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31" w:rsidRPr="00FC5131" w:rsidRDefault="00FC5131" w:rsidP="00257320">
      <w:pPr>
        <w:keepNext/>
        <w:keepLines/>
        <w:spacing w:after="0" w:line="240" w:lineRule="auto"/>
        <w:ind w:left="3363" w:hanging="10"/>
        <w:contextualSpacing/>
        <w:outlineLvl w:val="0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FC5131" w:rsidRPr="00FC5131" w:rsidRDefault="00FC5131" w:rsidP="00257320">
      <w:pPr>
        <w:keepNext/>
        <w:keepLines/>
        <w:spacing w:after="0" w:line="240" w:lineRule="auto"/>
        <w:ind w:left="5954" w:hanging="10"/>
        <w:contextualSpacing/>
        <w:outlineLvl w:val="0"/>
        <w:rPr>
          <w:rFonts w:ascii="Times New Roman" w:eastAsia="Times New Roman" w:hAnsi="Times New Roman" w:cs="Times New Roman"/>
          <w:b/>
          <w:color w:val="00000A"/>
          <w:sz w:val="32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ЗАТВЕРДЖЕНО</w:t>
      </w:r>
    </w:p>
    <w:p w:rsidR="00FC5131" w:rsidRDefault="00FC5131" w:rsidP="00257320">
      <w:pPr>
        <w:spacing w:after="0" w:line="240" w:lineRule="auto"/>
        <w:ind w:left="5954" w:right="241" w:hanging="10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Рішення </w:t>
      </w:r>
      <w:proofErr w:type="spellStart"/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>Роздільнянської</w:t>
      </w:r>
      <w:proofErr w:type="spellEnd"/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міської ради</w:t>
      </w:r>
      <w:r w:rsidR="00A3298C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Одеської області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     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     </w:t>
      </w:r>
      <w:r w:rsidR="00257320">
        <w:rPr>
          <w:rFonts w:ascii="Times New Roman" w:eastAsia="Times New Roman" w:hAnsi="Times New Roman" w:cs="Times New Roman"/>
          <w:color w:val="00000A"/>
          <w:sz w:val="24"/>
          <w:lang w:val="uk-UA"/>
        </w:rPr>
        <w:t>24 грудня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202</w:t>
      </w:r>
      <w:r w:rsidR="00A3298C">
        <w:rPr>
          <w:rFonts w:ascii="Times New Roman" w:eastAsia="Times New Roman" w:hAnsi="Times New Roman" w:cs="Times New Roman"/>
          <w:color w:val="00000A"/>
          <w:sz w:val="24"/>
          <w:lang w:val="uk-UA"/>
        </w:rPr>
        <w:t>5</w:t>
      </w: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року </w:t>
      </w:r>
    </w:p>
    <w:p w:rsidR="00257320" w:rsidRPr="00257320" w:rsidRDefault="00257320" w:rsidP="00257320">
      <w:pPr>
        <w:spacing w:after="0" w:line="240" w:lineRule="auto"/>
        <w:ind w:left="5954" w:right="241" w:hanging="10"/>
        <w:contextualSpacing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lang w:val="uk-UA"/>
        </w:rPr>
        <w:t>№ 5031-</w:t>
      </w:r>
      <w:r>
        <w:rPr>
          <w:rFonts w:ascii="Times New Roman" w:eastAsia="Times New Roman" w:hAnsi="Times New Roman" w:cs="Times New Roman"/>
          <w:color w:val="00000A"/>
          <w:sz w:val="24"/>
        </w:rPr>
        <w:t>VIII</w:t>
      </w:r>
    </w:p>
    <w:p w:rsidR="00FC5131" w:rsidRPr="00FC5131" w:rsidRDefault="00FC5131" w:rsidP="00A329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color w:val="00000A"/>
          <w:sz w:val="24"/>
          <w:lang w:val="uk-UA"/>
        </w:rPr>
        <w:t xml:space="preserve"> </w:t>
      </w: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A"/>
          <w:sz w:val="24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Програма</w:t>
      </w:r>
    </w:p>
    <w:p w:rsidR="00FC5131" w:rsidRPr="004F7E12" w:rsidRDefault="00C44C78" w:rsidP="00FC5131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«</w:t>
      </w:r>
      <w:r w:rsidR="00304D53" w:rsidRPr="00304D53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Безпечна </w:t>
      </w:r>
      <w:proofErr w:type="spellStart"/>
      <w:r w:rsidR="00304D53" w:rsidRPr="00304D53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Роздільнянська</w:t>
      </w:r>
      <w:proofErr w:type="spellEnd"/>
      <w:r w:rsidR="00304D53" w:rsidRPr="00304D53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міська територіальна громада</w:t>
      </w:r>
      <w:r w:rsidR="003842A8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»</w:t>
      </w:r>
      <w:bookmarkStart w:id="0" w:name="_GoBack"/>
      <w:bookmarkEnd w:id="0"/>
      <w:r w:rsidR="00FC5131"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на 2026-202</w:t>
      </w:r>
      <w:r w:rsidR="00DC372C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7</w:t>
      </w:r>
      <w:r w:rsidR="00FC5131" w:rsidRPr="004F7E12"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роки</w:t>
      </w: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32"/>
          <w:szCs w:val="32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sz w:val="32"/>
          <w:szCs w:val="32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A3298C" w:rsidRPr="00FC5131" w:rsidRDefault="00A3298C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1414BD" w:rsidRDefault="001414BD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1414BD" w:rsidRDefault="001414BD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1414BD" w:rsidRPr="00FC5131" w:rsidRDefault="001414BD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</w:pPr>
    </w:p>
    <w:p w:rsidR="00FC5131" w:rsidRPr="00FC5131" w:rsidRDefault="00FC5131" w:rsidP="00FC5131">
      <w:pPr>
        <w:spacing w:after="10" w:line="249" w:lineRule="auto"/>
        <w:ind w:left="10" w:right="856" w:hanging="10"/>
        <w:jc w:val="center"/>
        <w:rPr>
          <w:rFonts w:ascii="Calibri" w:eastAsia="Calibri" w:hAnsi="Calibri" w:cs="Calibri"/>
          <w:color w:val="000000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І.  ПАСПОРТ</w:t>
      </w:r>
    </w:p>
    <w:p w:rsidR="00FC5131" w:rsidRPr="00FC5131" w:rsidRDefault="00FC5131" w:rsidP="00FC5131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Програми </w:t>
      </w:r>
      <w:r w:rsidR="00304D53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«</w:t>
      </w:r>
      <w:r w:rsidR="00304D53" w:rsidRP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Безпечна </w:t>
      </w:r>
      <w:proofErr w:type="spellStart"/>
      <w:r w:rsidR="00304D53" w:rsidRP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Роздільнянська</w:t>
      </w:r>
      <w:proofErr w:type="spellEnd"/>
      <w:r w:rsidR="00304D53" w:rsidRP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міська територіальна громада</w:t>
      </w:r>
      <w:r w:rsid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»</w:t>
      </w:r>
      <w:r w:rsidR="00304D53" w:rsidRPr="00304D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</w:t>
      </w:r>
      <w:r w:rsidRPr="00FC513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на 2026-202</w:t>
      </w:r>
      <w:r w:rsidR="00DC37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7</w:t>
      </w:r>
      <w:r w:rsidRPr="00FC5131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роки</w:t>
      </w:r>
    </w:p>
    <w:p w:rsidR="00FC5131" w:rsidRPr="00E55217" w:rsidRDefault="00FC5131" w:rsidP="00FC5131">
      <w:pPr>
        <w:spacing w:after="0" w:line="240" w:lineRule="auto"/>
        <w:ind w:left="11" w:hanging="11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FC5131" w:rsidRPr="003842A8" w:rsidTr="00A3298C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Ініціатор розроблення </w:t>
            </w:r>
          </w:p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38488A" w:rsidP="00FC5131">
            <w:pPr>
              <w:ind w:left="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C5131" w:rsidRPr="003842A8" w:rsidTr="00A3298C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FC5131" w:rsidP="001B075B">
            <w:pPr>
              <w:spacing w:line="257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Розпорядження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</w:t>
            </w:r>
            <w:r w:rsidR="001B075B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</w:t>
            </w:r>
            <w:proofErr w:type="spellEnd"/>
            <w:r w:rsidR="001B075B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міського голови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№3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/од-202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 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.10.202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року «Про розроблення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Програми «Безпечна </w:t>
            </w:r>
            <w:proofErr w:type="spellStart"/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Роздільнянська</w:t>
            </w:r>
            <w:proofErr w:type="spellEnd"/>
            <w:r w:rsidR="00B65D08"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міська територіальна громада» на 2026-2027 роки</w:t>
            </w: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FC5131" w:rsidRPr="003842A8" w:rsidTr="00A3298C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C5131" w:rsidRPr="003842A8" w:rsidTr="00A3298C">
        <w:trPr>
          <w:trHeight w:val="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FC5131" w:rsidRPr="003842A8" w:rsidTr="00A3298C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 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D53" w:rsidRPr="00E55217" w:rsidRDefault="001B075B" w:rsidP="00740B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ради, фі</w:t>
            </w:r>
            <w:r w:rsidR="00304D53"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нансове управління міської ради,  ГУ ДСНС України в Одеській області.</w:t>
            </w:r>
          </w:p>
          <w:p w:rsidR="00FC5131" w:rsidRPr="00E55217" w:rsidRDefault="00FC5131" w:rsidP="00FC5131">
            <w:pPr>
              <w:ind w:left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C5131" w:rsidRPr="00E55217" w:rsidTr="00A3298C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FC5131" w:rsidP="00DC37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</w:t>
            </w:r>
            <w:r w:rsidR="00DC372C" w:rsidRPr="00E5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 w:rsidRPr="00E552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роки</w:t>
            </w:r>
          </w:p>
        </w:tc>
      </w:tr>
      <w:tr w:rsidR="00FC5131" w:rsidRPr="003842A8" w:rsidTr="00FC5131">
        <w:trPr>
          <w:trHeight w:val="1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5131" w:rsidRPr="00E55217" w:rsidRDefault="00B2040B" w:rsidP="00E55217">
            <w:pPr>
              <w:spacing w:line="239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Посилення безпеки населення, забезпечення стабільної життєдіяльності громади, підвищення рівня безпеки на дорогах, покращення ефективності розкриття правопорушень, а також узгоджена взаємодія органів виконавчої влади та правоохоронних структур для забезпечення оперативного, результативного та скоординованого реагування на надзвичайні ситуації, попередження небезпечних подій і підтримання громадського спокою та безперебійного функціонування інфраструктури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громади.</w:t>
            </w:r>
          </w:p>
        </w:tc>
      </w:tr>
      <w:tr w:rsidR="00FC5131" w:rsidRPr="00E55217" w:rsidTr="00A3298C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131" w:rsidRPr="00E55217" w:rsidRDefault="004B1C45" w:rsidP="004B1C45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1424000,00</w:t>
            </w:r>
            <w:r w:rsidR="00FC5131"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4B1C45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1424000,00 грн.</w:t>
            </w:r>
          </w:p>
        </w:tc>
      </w:tr>
      <w:tr w:rsidR="00FC5131" w:rsidRPr="00E55217" w:rsidTr="00A3298C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зокрема: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обласного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кошти  бюджету </w:t>
            </w:r>
            <w:proofErr w:type="spellStart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4B1C45" w:rsidP="00FC5131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1424000,00 грн.</w:t>
            </w:r>
          </w:p>
        </w:tc>
      </w:tr>
      <w:tr w:rsidR="00FC5131" w:rsidRPr="00E55217" w:rsidTr="00A3298C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FC5131" w:rsidP="00FC5131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FC5131" w:rsidRPr="003842A8" w:rsidTr="00A3298C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86B8E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>підвищення рівня громадської безпеки</w:t>
            </w:r>
            <w:r w:rsidR="00740BFD" w:rsidRPr="00E55217">
              <w:rPr>
                <w:lang w:val="uk-UA"/>
              </w:rPr>
              <w:t xml:space="preserve"> та правопорядку</w:t>
            </w:r>
            <w:r w:rsidRPr="00E55217">
              <w:rPr>
                <w:lang w:val="uk-UA"/>
              </w:rPr>
              <w:t>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>з</w:t>
            </w:r>
            <w:r w:rsidR="00740BFD" w:rsidRPr="00E55217">
              <w:rPr>
                <w:lang w:val="uk-UA"/>
              </w:rPr>
              <w:t>ниження кількості правопорушень,</w:t>
            </w:r>
            <w:r w:rsidRPr="00E55217">
              <w:rPr>
                <w:lang w:val="uk-UA"/>
              </w:rPr>
              <w:t xml:space="preserve"> дорожньо-транспортних пригод і пожеж</w:t>
            </w:r>
            <w:r w:rsidR="00740BFD" w:rsidRPr="00E55217">
              <w:rPr>
                <w:lang w:val="uk-UA"/>
              </w:rPr>
              <w:t>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>скорочення часу реагування правоохоронних та рятувальних служб на</w:t>
            </w:r>
            <w:r w:rsidR="00740BFD" w:rsidRPr="00E55217">
              <w:rPr>
                <w:lang w:val="uk-UA"/>
              </w:rPr>
              <w:t xml:space="preserve"> виклики і надзвичайні ситуації;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lastRenderedPageBreak/>
              <w:t>підвищення рівня довіри населення до силових структур</w:t>
            </w:r>
            <w:r w:rsidR="00740BFD" w:rsidRPr="00E55217">
              <w:rPr>
                <w:lang w:val="uk-UA"/>
              </w:rPr>
              <w:t>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 xml:space="preserve"> розвиток взаємодії між органами місцевого самоврядування, поліцією, ДСНС</w:t>
            </w:r>
            <w:r w:rsidR="00740BFD" w:rsidRPr="00E55217">
              <w:rPr>
                <w:lang w:val="uk-UA"/>
              </w:rPr>
              <w:t>;</w:t>
            </w:r>
          </w:p>
          <w:p w:rsidR="00740BFD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lang w:val="uk-UA"/>
              </w:rPr>
            </w:pPr>
            <w:r w:rsidRPr="00E55217">
              <w:rPr>
                <w:lang w:val="uk-UA"/>
              </w:rPr>
              <w:t xml:space="preserve"> покращення стану дорожньої інфраструктури</w:t>
            </w:r>
            <w:r w:rsidR="00740BFD" w:rsidRPr="00E55217">
              <w:rPr>
                <w:lang w:val="uk-UA"/>
              </w:rPr>
              <w:t>;</w:t>
            </w:r>
          </w:p>
          <w:p w:rsidR="00FC5131" w:rsidRPr="00E55217" w:rsidRDefault="00A86B8E" w:rsidP="00AF2D41">
            <w:pPr>
              <w:pStyle w:val="a7"/>
              <w:numPr>
                <w:ilvl w:val="0"/>
                <w:numId w:val="29"/>
              </w:numPr>
              <w:spacing w:before="0" w:beforeAutospacing="0" w:after="0" w:afterAutospacing="0"/>
              <w:ind w:left="-20" w:firstLine="142"/>
              <w:contextualSpacing/>
              <w:jc w:val="both"/>
              <w:rPr>
                <w:rFonts w:eastAsia="Calibri"/>
                <w:color w:val="000000"/>
                <w:lang w:val="uk-UA"/>
              </w:rPr>
            </w:pPr>
            <w:r w:rsidRPr="00E55217">
              <w:rPr>
                <w:lang w:val="uk-UA"/>
              </w:rPr>
              <w:t>зміцнення матеріально-технічної бази підрозділів безпеки, підвищення ефективності управління безпекою громади.</w:t>
            </w:r>
          </w:p>
        </w:tc>
      </w:tr>
      <w:tr w:rsidR="00FC5131" w:rsidRPr="003842A8" w:rsidTr="00A3298C">
        <w:trPr>
          <w:trHeight w:val="5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5131" w:rsidRPr="00E55217" w:rsidRDefault="00FC5131" w:rsidP="00FC51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Ключові показники ефективності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5131" w:rsidRPr="00E55217" w:rsidRDefault="00E55217" w:rsidP="00E55217">
            <w:pPr>
              <w:spacing w:after="1" w:line="239" w:lineRule="auto"/>
              <w:ind w:right="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552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Створення  безпечних умов для руху транспорту та пішоходів шляхом удосконалення дорожньої інфраструктури та організації руху, підтримання безперебійної роботи системи відеоспостереження (24/7), зростання частки злочинів, розкритих «по гарячих слідах» із використанням записів з камер відеоспостереження, забезпечення постійної присутності поліцейського офіцера громади та офіцера-рятувальника на території обслуговування з метою своєчасного реагування на події та надання необхідних послуг населенню.</w:t>
            </w:r>
          </w:p>
        </w:tc>
      </w:tr>
    </w:tbl>
    <w:p w:rsidR="00FC5131" w:rsidRPr="00E55217" w:rsidRDefault="00FC5131" w:rsidP="00FC5131">
      <w:pPr>
        <w:keepNext/>
        <w:keepLines/>
        <w:spacing w:after="0" w:line="240" w:lineRule="auto"/>
        <w:ind w:left="-142" w:right="628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E55217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   </w:t>
      </w:r>
    </w:p>
    <w:p w:rsidR="00DC57F5" w:rsidRPr="000C6A5F" w:rsidRDefault="00DC57F5" w:rsidP="00DC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638F0" w:rsidRPr="00930FAF" w:rsidRDefault="00E638F0" w:rsidP="00E638F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30FA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ІІ. Склад та визначення проблеми та обґрунтування необхідності її розв’язання програмним методом</w:t>
      </w:r>
    </w:p>
    <w:p w:rsidR="008C0EDE" w:rsidRDefault="008C0EDE" w:rsidP="00AB5626">
      <w:pPr>
        <w:pStyle w:val="a7"/>
        <w:ind w:firstLine="426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Безпечне середовище є однією з ключових умов сталого розвитку будь-якої територіальної громади. Забезпечення громадської безпеки, правопорядку, протидія злочинності, запобігання надзвичайним ситуаціям, утримання </w:t>
      </w:r>
      <w:proofErr w:type="spellStart"/>
      <w:r w:rsidRPr="008C0EDE">
        <w:rPr>
          <w:lang w:val="uk-UA"/>
        </w:rPr>
        <w:t>вулично</w:t>
      </w:r>
      <w:proofErr w:type="spellEnd"/>
      <w:r w:rsidRPr="008C0EDE">
        <w:rPr>
          <w:lang w:val="uk-UA"/>
        </w:rPr>
        <w:t xml:space="preserve">-дорожньої інфраструктури у належному стані та створення умов для комфортного </w:t>
      </w:r>
      <w:r>
        <w:rPr>
          <w:lang w:val="uk-UA"/>
        </w:rPr>
        <w:t xml:space="preserve"> та безпечного </w:t>
      </w:r>
      <w:r w:rsidRPr="008C0EDE">
        <w:rPr>
          <w:lang w:val="uk-UA"/>
        </w:rPr>
        <w:t xml:space="preserve">проживання мешканців — це питання, які потребують комплексного підходу та узгоджених дій усіх структур громади. </w:t>
      </w:r>
    </w:p>
    <w:p w:rsidR="00007E87" w:rsidRDefault="00007E87" w:rsidP="00007E87">
      <w:pPr>
        <w:pStyle w:val="a7"/>
        <w:ind w:firstLine="426"/>
        <w:contextualSpacing/>
        <w:jc w:val="both"/>
        <w:rPr>
          <w:lang w:val="uk-UA"/>
        </w:rPr>
      </w:pPr>
      <w:r w:rsidRPr="00B7303C">
        <w:rPr>
          <w:lang w:val="uk-UA"/>
        </w:rPr>
        <w:t xml:space="preserve">Ситуація </w:t>
      </w:r>
      <w:proofErr w:type="spellStart"/>
      <w:r w:rsidRPr="00B7303C">
        <w:rPr>
          <w:lang w:val="uk-UA"/>
        </w:rPr>
        <w:t>ускладнюється</w:t>
      </w:r>
      <w:proofErr w:type="spellEnd"/>
      <w:r w:rsidRPr="00B7303C">
        <w:rPr>
          <w:lang w:val="uk-UA"/>
        </w:rPr>
        <w:t xml:space="preserve"> зовнішніми факторами — воєнними діями в країні, зростанням соціальної напруги, загрозами диверсійних та терористичних актів. Це потребує посилення заходів безпеки, підвищення рівня готовності до реагування на надзвичайні ситуації, формування культури безпеки серед населення.</w:t>
      </w:r>
    </w:p>
    <w:p w:rsidR="00A915E0" w:rsidRDefault="00A915E0" w:rsidP="00AB5626">
      <w:pPr>
        <w:pStyle w:val="a7"/>
        <w:ind w:firstLine="426"/>
        <w:contextualSpacing/>
        <w:jc w:val="both"/>
        <w:rPr>
          <w:lang w:val="uk-UA"/>
        </w:rPr>
      </w:pPr>
      <w:r w:rsidRPr="00A915E0">
        <w:rPr>
          <w:lang w:val="uk-UA"/>
        </w:rPr>
        <w:t xml:space="preserve">Програма «Безпечна </w:t>
      </w:r>
      <w:proofErr w:type="spellStart"/>
      <w:r w:rsidRPr="00A915E0">
        <w:rPr>
          <w:lang w:val="uk-UA"/>
        </w:rPr>
        <w:t>Роздільнянська</w:t>
      </w:r>
      <w:proofErr w:type="spellEnd"/>
      <w:r w:rsidRPr="00A915E0">
        <w:rPr>
          <w:lang w:val="uk-UA"/>
        </w:rPr>
        <w:t xml:space="preserve"> міська територіальна громада» на 2026–2027 роки спрямован</w:t>
      </w:r>
      <w:r>
        <w:rPr>
          <w:lang w:val="uk-UA"/>
        </w:rPr>
        <w:t>а</w:t>
      </w:r>
      <w:r w:rsidRPr="00A915E0">
        <w:rPr>
          <w:lang w:val="uk-UA"/>
        </w:rPr>
        <w:t xml:space="preserve"> на удосконалення системи управління безпекою, модернізацію технічної інфраструктури, підвищення спроможності правоохоронних та рятувальних служб, а також розвиток партнерської взаємодії між владою, громадськістю та силовими структурами. Реалізація Програми ґрунтується на принципах прозорості, ефективності, гендерної рівності та </w:t>
      </w:r>
      <w:proofErr w:type="spellStart"/>
      <w:r w:rsidRPr="00A915E0">
        <w:rPr>
          <w:lang w:val="uk-UA"/>
        </w:rPr>
        <w:t>інклюзивності</w:t>
      </w:r>
      <w:proofErr w:type="spellEnd"/>
      <w:r w:rsidRPr="00A915E0">
        <w:rPr>
          <w:lang w:val="uk-UA"/>
        </w:rPr>
        <w:t>.</w:t>
      </w:r>
    </w:p>
    <w:p w:rsidR="00295C04" w:rsidRDefault="008C0EDE" w:rsidP="00AB5626">
      <w:pPr>
        <w:pStyle w:val="a7"/>
        <w:ind w:firstLine="426"/>
        <w:contextualSpacing/>
        <w:jc w:val="both"/>
        <w:rPr>
          <w:lang w:val="uk-UA"/>
        </w:rPr>
      </w:pPr>
      <w:proofErr w:type="spellStart"/>
      <w:r w:rsidRPr="008C0EDE">
        <w:rPr>
          <w:lang w:val="uk-UA"/>
        </w:rPr>
        <w:t>Роздільнянська</w:t>
      </w:r>
      <w:proofErr w:type="spellEnd"/>
      <w:r w:rsidRPr="008C0EDE">
        <w:rPr>
          <w:lang w:val="uk-UA"/>
        </w:rPr>
        <w:t xml:space="preserve"> міська територіальна громада має розгалужену систему </w:t>
      </w:r>
      <w:proofErr w:type="spellStart"/>
      <w:r w:rsidRPr="008C0EDE">
        <w:rPr>
          <w:lang w:val="uk-UA"/>
        </w:rPr>
        <w:t>вулично</w:t>
      </w:r>
      <w:proofErr w:type="spellEnd"/>
      <w:r w:rsidRPr="008C0EDE">
        <w:rPr>
          <w:lang w:val="uk-UA"/>
        </w:rPr>
        <w:t>-дорожньої мережі, що налічує понад 200 км вулиць, провулк</w:t>
      </w:r>
      <w:r w:rsidR="00295C04">
        <w:rPr>
          <w:lang w:val="uk-UA"/>
        </w:rPr>
        <w:t xml:space="preserve">ів та доріг місцевого значення. </w:t>
      </w:r>
      <w:r w:rsidR="00295C04" w:rsidRPr="00295C04">
        <w:rPr>
          <w:lang w:val="uk-UA"/>
        </w:rPr>
        <w:t xml:space="preserve">Цей значний обсяг дорожнього полотна зумовлює необхідність системного та щорічного оновлення дорожньої розмітки та встановлення сучасних засобів організації дорожнього руху, які є ключовими чинниками забезпечення високого рівня безпеки. Для підтримки належного стану інфраструктури щороку необхідно здійснювати відновлення 11539 метрів горизонтальної дорожньої розмітки (лінії) та 1564,98м² горизонтальної дорожньої розмітки (пішохідні переходи). </w:t>
      </w:r>
    </w:p>
    <w:p w:rsidR="008C0EDE" w:rsidRPr="008C0EDE" w:rsidRDefault="00DB2539" w:rsidP="00AB5626">
      <w:pPr>
        <w:pStyle w:val="a7"/>
        <w:ind w:firstLine="426"/>
        <w:contextualSpacing/>
        <w:jc w:val="both"/>
        <w:rPr>
          <w:lang w:val="uk-UA"/>
        </w:rPr>
      </w:pPr>
      <w:r w:rsidRPr="00DB2539">
        <w:rPr>
          <w:lang w:val="uk-UA"/>
        </w:rPr>
        <w:t xml:space="preserve">У межах громади ефективно функціонує система відеоспостереження, яка є </w:t>
      </w:r>
      <w:r w:rsidRPr="00DB2539">
        <w:rPr>
          <w:bCs/>
          <w:lang w:val="uk-UA"/>
        </w:rPr>
        <w:t>важливим інструментом</w:t>
      </w:r>
      <w:r w:rsidRPr="00DB2539">
        <w:rPr>
          <w:lang w:val="uk-UA"/>
        </w:rPr>
        <w:t xml:space="preserve"> у запобіганні правопорушенням, оперативній фіксації подій та забезпеченні громадського порядку. </w:t>
      </w:r>
      <w:r w:rsidR="009A0043" w:rsidRPr="009A0043">
        <w:rPr>
          <w:lang w:val="uk-UA"/>
        </w:rPr>
        <w:t>Система відеоспостереження постійно розширюється, кількість камер відеоспостереження послідовно зростає:</w:t>
      </w:r>
      <w:r w:rsidRPr="009A0043">
        <w:rPr>
          <w:lang w:val="uk-UA"/>
        </w:rPr>
        <w:t xml:space="preserve"> якщо у 2023 році функціонувало </w:t>
      </w:r>
      <w:r w:rsidRPr="009A0043">
        <w:rPr>
          <w:bCs/>
          <w:lang w:val="uk-UA"/>
        </w:rPr>
        <w:t>43 камери</w:t>
      </w:r>
      <w:r w:rsidRPr="009A0043">
        <w:rPr>
          <w:lang w:val="uk-UA"/>
        </w:rPr>
        <w:t xml:space="preserve">,  у 2024 році їх кількість зросла до </w:t>
      </w:r>
      <w:r w:rsidRPr="009A0043">
        <w:rPr>
          <w:bCs/>
          <w:lang w:val="uk-UA"/>
        </w:rPr>
        <w:t>46</w:t>
      </w:r>
      <w:r w:rsidRPr="009A0043">
        <w:rPr>
          <w:lang w:val="uk-UA"/>
        </w:rPr>
        <w:t xml:space="preserve">, а </w:t>
      </w:r>
      <w:r w:rsidR="009A0043" w:rsidRPr="009A0043">
        <w:rPr>
          <w:lang w:val="uk-UA"/>
        </w:rPr>
        <w:t xml:space="preserve">в </w:t>
      </w:r>
      <w:r w:rsidRPr="009A0043">
        <w:rPr>
          <w:lang w:val="uk-UA"/>
        </w:rPr>
        <w:t>2025</w:t>
      </w:r>
      <w:r w:rsidR="009A0043" w:rsidRPr="009A0043">
        <w:rPr>
          <w:lang w:val="uk-UA"/>
        </w:rPr>
        <w:t>році їх</w:t>
      </w:r>
      <w:r w:rsidRPr="009A0043">
        <w:rPr>
          <w:lang w:val="uk-UA"/>
        </w:rPr>
        <w:t xml:space="preserve"> налічується вже </w:t>
      </w:r>
      <w:r w:rsidRPr="009A0043">
        <w:rPr>
          <w:bCs/>
          <w:lang w:val="uk-UA"/>
        </w:rPr>
        <w:t>50 одиниць</w:t>
      </w:r>
      <w:r w:rsidRPr="009A0043">
        <w:rPr>
          <w:lang w:val="uk-UA"/>
        </w:rPr>
        <w:t>, що свідчить про системний підхід до посилення безпеки</w:t>
      </w:r>
      <w:r w:rsidRPr="000A00D4">
        <w:rPr>
          <w:lang w:val="uk-UA"/>
        </w:rPr>
        <w:t xml:space="preserve">. </w:t>
      </w:r>
      <w:r w:rsidR="00517381" w:rsidRPr="000A00D4">
        <w:rPr>
          <w:lang w:val="uk-UA"/>
        </w:rPr>
        <w:t xml:space="preserve">До прикладу, протягом 2023-2025 років, за допомогою записів з камер відеоспостереження, близько </w:t>
      </w:r>
      <w:r w:rsidR="004B08C3" w:rsidRPr="000A00D4">
        <w:rPr>
          <w:lang w:val="uk-UA"/>
        </w:rPr>
        <w:t xml:space="preserve">14 </w:t>
      </w:r>
      <w:r w:rsidR="00517381" w:rsidRPr="000A00D4">
        <w:rPr>
          <w:lang w:val="uk-UA"/>
        </w:rPr>
        <w:t xml:space="preserve">% злочинів  було розкрито по «гарячих слідах», </w:t>
      </w:r>
      <w:r w:rsidR="00517381" w:rsidRPr="000A00D4">
        <w:rPr>
          <w:lang w:val="uk-UA"/>
        </w:rPr>
        <w:lastRenderedPageBreak/>
        <w:t xml:space="preserve">та </w:t>
      </w:r>
      <w:r w:rsidR="004B08C3" w:rsidRPr="000A00D4">
        <w:rPr>
          <w:lang w:val="uk-UA"/>
        </w:rPr>
        <w:t xml:space="preserve">встановлено </w:t>
      </w:r>
      <w:r w:rsidR="00517381" w:rsidRPr="000A00D4">
        <w:rPr>
          <w:lang w:val="uk-UA"/>
        </w:rPr>
        <w:t xml:space="preserve"> близько </w:t>
      </w:r>
      <w:r w:rsidR="004B08C3" w:rsidRPr="000A00D4">
        <w:rPr>
          <w:lang w:val="uk-UA"/>
        </w:rPr>
        <w:t xml:space="preserve">7 </w:t>
      </w:r>
      <w:r w:rsidR="00517381" w:rsidRPr="000A00D4">
        <w:rPr>
          <w:lang w:val="uk-UA"/>
        </w:rPr>
        <w:t xml:space="preserve">% </w:t>
      </w:r>
      <w:r w:rsidR="004B08C3" w:rsidRPr="000A00D4">
        <w:rPr>
          <w:lang w:val="uk-UA"/>
        </w:rPr>
        <w:t xml:space="preserve">осіб, </w:t>
      </w:r>
      <w:r w:rsidR="00517381" w:rsidRPr="000A00D4">
        <w:rPr>
          <w:lang w:val="uk-UA"/>
        </w:rPr>
        <w:t xml:space="preserve">причетних до скоєння злочинів на території </w:t>
      </w:r>
      <w:proofErr w:type="spellStart"/>
      <w:r w:rsidR="00517381" w:rsidRPr="000A00D4">
        <w:rPr>
          <w:lang w:val="uk-UA"/>
        </w:rPr>
        <w:t>м.Роздільна</w:t>
      </w:r>
      <w:proofErr w:type="spellEnd"/>
      <w:r w:rsidR="004B08C3" w:rsidRPr="000A00D4">
        <w:rPr>
          <w:lang w:val="uk-UA"/>
        </w:rPr>
        <w:t xml:space="preserve">. </w:t>
      </w:r>
      <w:r w:rsidR="008C0EDE" w:rsidRPr="000A00D4">
        <w:rPr>
          <w:lang w:val="uk-UA"/>
        </w:rPr>
        <w:t xml:space="preserve">Проте частина обладнання </w:t>
      </w:r>
      <w:r w:rsidR="004B08C3" w:rsidRPr="000A00D4">
        <w:rPr>
          <w:lang w:val="uk-UA"/>
        </w:rPr>
        <w:t xml:space="preserve">системи відеоспостереження </w:t>
      </w:r>
      <w:r w:rsidR="008C0EDE" w:rsidRPr="000A00D4">
        <w:rPr>
          <w:lang w:val="uk-UA"/>
        </w:rPr>
        <w:t>застаріла або потребує ремонту, щ</w:t>
      </w:r>
      <w:r w:rsidR="004B08C3" w:rsidRPr="000A00D4">
        <w:rPr>
          <w:lang w:val="uk-UA"/>
        </w:rPr>
        <w:t>о знижує ефективність її роботи</w:t>
      </w:r>
      <w:r w:rsidR="008C0EDE" w:rsidRPr="000A00D4">
        <w:rPr>
          <w:lang w:val="uk-UA"/>
        </w:rPr>
        <w:t>, тому оновлення та розширення системи відеоспостереження є необхідним для підвищення рів</w:t>
      </w:r>
      <w:r w:rsidR="00AB5626" w:rsidRPr="000A00D4">
        <w:rPr>
          <w:lang w:val="uk-UA"/>
        </w:rPr>
        <w:t>ня безпеки</w:t>
      </w:r>
      <w:r w:rsidR="008C0EDE" w:rsidRPr="000A00D4">
        <w:rPr>
          <w:lang w:val="uk-UA"/>
        </w:rPr>
        <w:t>.</w:t>
      </w:r>
    </w:p>
    <w:p w:rsidR="008C0EDE" w:rsidRPr="008C0EDE" w:rsidRDefault="008C0EDE" w:rsidP="00AB5626">
      <w:pPr>
        <w:pStyle w:val="a7"/>
        <w:ind w:firstLine="567"/>
        <w:contextualSpacing/>
        <w:jc w:val="both"/>
        <w:rPr>
          <w:lang w:val="uk-UA"/>
        </w:rPr>
      </w:pPr>
      <w:r w:rsidRPr="008C0EDE">
        <w:rPr>
          <w:lang w:val="uk-UA"/>
        </w:rPr>
        <w:t>Проблемним залишається й питання матеріально-технічного забезпечення підрозділів, які відповідають за безпеку населення. Зокрема, підрозділи поліції та Державної служби України з надзвичайних ситуацій на території громади потребують оновлення обладнання, засобів зв’язку, спеціального транспорту, паливно-мастильних матеріалів, захисного одягу та спорядження. Через дефіцит ресурсів оперативність реагування на події іноді є недостатньою, що може призводити до затримок у ліквідації наслідків надзвичайних ситуацій або запобіганні правопорушенням.</w:t>
      </w:r>
    </w:p>
    <w:p w:rsidR="00B7303C" w:rsidRDefault="008C0EDE" w:rsidP="00AB5626">
      <w:pPr>
        <w:pStyle w:val="a7"/>
        <w:ind w:firstLine="567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Крім того, громада активно впроваджує ініціативи, спрямовані на розвиток </w:t>
      </w:r>
      <w:proofErr w:type="spellStart"/>
      <w:r w:rsidRPr="008C0EDE">
        <w:rPr>
          <w:lang w:val="uk-UA"/>
        </w:rPr>
        <w:t>проєктів</w:t>
      </w:r>
      <w:proofErr w:type="spellEnd"/>
      <w:r w:rsidRPr="008C0EDE">
        <w:rPr>
          <w:lang w:val="uk-UA"/>
        </w:rPr>
        <w:t xml:space="preserve"> «Поліцейський офіцер громади» та «Офіцер-рятувальник громади». </w:t>
      </w:r>
      <w:r w:rsidR="00DF20BD">
        <w:rPr>
          <w:lang w:val="uk-UA"/>
        </w:rPr>
        <w:t xml:space="preserve">До прикладу, поліцейськими офіцерами громади, </w:t>
      </w:r>
      <w:r w:rsidR="000E683F" w:rsidRPr="00B7303C">
        <w:rPr>
          <w:i/>
          <w:lang w:val="uk-UA"/>
        </w:rPr>
        <w:t>протягом 2023 року</w:t>
      </w:r>
      <w:r w:rsidR="000E683F">
        <w:rPr>
          <w:lang w:val="uk-UA"/>
        </w:rPr>
        <w:t xml:space="preserve">: </w:t>
      </w:r>
      <w:r w:rsidR="000E683F" w:rsidRPr="000E683F">
        <w:rPr>
          <w:lang w:val="uk-UA"/>
        </w:rPr>
        <w:t xml:space="preserve">здійснено </w:t>
      </w:r>
      <w:r w:rsidR="000E683F">
        <w:rPr>
          <w:lang w:val="uk-UA"/>
        </w:rPr>
        <w:t>20</w:t>
      </w:r>
      <w:r w:rsidR="000E683F" w:rsidRPr="000E683F">
        <w:rPr>
          <w:lang w:val="uk-UA"/>
        </w:rPr>
        <w:t xml:space="preserve"> виїздів на виклики, опрацьовано </w:t>
      </w:r>
      <w:r w:rsidR="000E683F">
        <w:rPr>
          <w:lang w:val="uk-UA"/>
        </w:rPr>
        <w:t>342</w:t>
      </w:r>
      <w:r w:rsidR="000E683F" w:rsidRPr="000E683F">
        <w:rPr>
          <w:lang w:val="uk-UA"/>
        </w:rPr>
        <w:t xml:space="preserve"> звернення від жителів громади, здійснено  </w:t>
      </w:r>
      <w:r w:rsidR="000E683F">
        <w:rPr>
          <w:lang w:val="uk-UA"/>
        </w:rPr>
        <w:t>25</w:t>
      </w:r>
      <w:r w:rsidR="000E683F" w:rsidRPr="000E683F">
        <w:rPr>
          <w:lang w:val="uk-UA"/>
        </w:rPr>
        <w:t xml:space="preserve"> перевірок ВПО,  складено  </w:t>
      </w:r>
      <w:r w:rsidR="000E683F">
        <w:rPr>
          <w:lang w:val="uk-UA"/>
        </w:rPr>
        <w:t>33</w:t>
      </w:r>
      <w:r w:rsidR="000E683F" w:rsidRPr="000E683F">
        <w:rPr>
          <w:lang w:val="uk-UA"/>
        </w:rPr>
        <w:t xml:space="preserve"> </w:t>
      </w:r>
      <w:proofErr w:type="spellStart"/>
      <w:r w:rsidR="000E683F" w:rsidRPr="000E683F">
        <w:rPr>
          <w:lang w:val="uk-UA"/>
        </w:rPr>
        <w:t>адмінпротоколи</w:t>
      </w:r>
      <w:proofErr w:type="spellEnd"/>
      <w:r w:rsidR="000E683F" w:rsidRPr="000E683F">
        <w:rPr>
          <w:lang w:val="uk-UA"/>
        </w:rPr>
        <w:t xml:space="preserve"> за домашнє насильство, надано 10 приписів, які дали постраждалим право на захист, проведено </w:t>
      </w:r>
      <w:r w:rsidR="000E683F">
        <w:rPr>
          <w:lang w:val="uk-UA"/>
        </w:rPr>
        <w:t>профілактично-роз’яснювальну роботу – 29 заходів</w:t>
      </w:r>
      <w:r w:rsidR="000E683F" w:rsidRPr="000E683F">
        <w:rPr>
          <w:lang w:val="uk-UA"/>
        </w:rPr>
        <w:t xml:space="preserve">, </w:t>
      </w:r>
      <w:r w:rsidR="000E683F">
        <w:rPr>
          <w:lang w:val="uk-UA"/>
        </w:rPr>
        <w:t>7</w:t>
      </w:r>
      <w:r w:rsidR="000E683F" w:rsidRPr="000E683F">
        <w:rPr>
          <w:lang w:val="uk-UA"/>
        </w:rPr>
        <w:t xml:space="preserve"> публічних виступів, здійснювався супровід </w:t>
      </w:r>
      <w:r w:rsidR="00B7303C">
        <w:rPr>
          <w:lang w:val="uk-UA"/>
        </w:rPr>
        <w:t>25</w:t>
      </w:r>
      <w:r w:rsidR="000E683F" w:rsidRPr="000E683F">
        <w:rPr>
          <w:lang w:val="uk-UA"/>
        </w:rPr>
        <w:t xml:space="preserve"> сімей, які опинилися у складних життєвих обставинах</w:t>
      </w:r>
      <w:r w:rsidR="000E683F">
        <w:rPr>
          <w:lang w:val="uk-UA"/>
        </w:rPr>
        <w:t xml:space="preserve">, </w:t>
      </w:r>
      <w:r w:rsidR="000E683F" w:rsidRPr="00B7303C">
        <w:rPr>
          <w:i/>
          <w:lang w:val="uk-UA"/>
        </w:rPr>
        <w:t>протягом 2024</w:t>
      </w:r>
      <w:r w:rsidR="000E683F">
        <w:rPr>
          <w:lang w:val="uk-UA"/>
        </w:rPr>
        <w:t xml:space="preserve"> року </w:t>
      </w:r>
      <w:r w:rsidR="000E683F" w:rsidRPr="000E683F">
        <w:rPr>
          <w:lang w:val="uk-UA"/>
        </w:rPr>
        <w:t xml:space="preserve">здійснено </w:t>
      </w:r>
      <w:r w:rsidR="000E683F">
        <w:rPr>
          <w:lang w:val="uk-UA"/>
        </w:rPr>
        <w:t>25</w:t>
      </w:r>
      <w:r w:rsidR="000E683F" w:rsidRPr="000E683F">
        <w:rPr>
          <w:lang w:val="uk-UA"/>
        </w:rPr>
        <w:t xml:space="preserve"> виїздів на виклики, опрацьовано </w:t>
      </w:r>
      <w:r w:rsidR="000E683F">
        <w:rPr>
          <w:lang w:val="uk-UA"/>
        </w:rPr>
        <w:t>528</w:t>
      </w:r>
      <w:r w:rsidR="000E683F" w:rsidRPr="000E683F">
        <w:rPr>
          <w:lang w:val="uk-UA"/>
        </w:rPr>
        <w:t xml:space="preserve"> звернення від жителів громади, здійснено  2</w:t>
      </w:r>
      <w:r w:rsidR="000E683F">
        <w:rPr>
          <w:lang w:val="uk-UA"/>
        </w:rPr>
        <w:t>6</w:t>
      </w:r>
      <w:r w:rsidR="000E683F" w:rsidRPr="000E683F">
        <w:rPr>
          <w:lang w:val="uk-UA"/>
        </w:rPr>
        <w:t xml:space="preserve"> перевірок ВПО,  складено  </w:t>
      </w:r>
      <w:r w:rsidR="000E683F">
        <w:rPr>
          <w:lang w:val="uk-UA"/>
        </w:rPr>
        <w:t>51</w:t>
      </w:r>
      <w:r w:rsidR="000E683F" w:rsidRPr="000E683F">
        <w:rPr>
          <w:lang w:val="uk-UA"/>
        </w:rPr>
        <w:t xml:space="preserve"> </w:t>
      </w:r>
      <w:proofErr w:type="spellStart"/>
      <w:r w:rsidR="000E683F" w:rsidRPr="000E683F">
        <w:rPr>
          <w:lang w:val="uk-UA"/>
        </w:rPr>
        <w:t>адмінпротокол</w:t>
      </w:r>
      <w:proofErr w:type="spellEnd"/>
      <w:r w:rsidR="000E683F" w:rsidRPr="000E683F">
        <w:rPr>
          <w:lang w:val="uk-UA"/>
        </w:rPr>
        <w:t xml:space="preserve"> за домашнє насильство, надано 1</w:t>
      </w:r>
      <w:r w:rsidR="000E683F">
        <w:rPr>
          <w:lang w:val="uk-UA"/>
        </w:rPr>
        <w:t>2</w:t>
      </w:r>
      <w:r w:rsidR="000E683F" w:rsidRPr="000E683F">
        <w:rPr>
          <w:lang w:val="uk-UA"/>
        </w:rPr>
        <w:t xml:space="preserve"> приписів, які дали постраждалим право на захист, проведено профілактично-роз’яснювальну роботу – </w:t>
      </w:r>
      <w:r w:rsidR="000E683F">
        <w:rPr>
          <w:lang w:val="uk-UA"/>
        </w:rPr>
        <w:t>41</w:t>
      </w:r>
      <w:r w:rsidR="000E683F" w:rsidRPr="000E683F">
        <w:rPr>
          <w:lang w:val="uk-UA"/>
        </w:rPr>
        <w:t xml:space="preserve"> зах</w:t>
      </w:r>
      <w:r w:rsidR="000E683F">
        <w:rPr>
          <w:lang w:val="uk-UA"/>
        </w:rPr>
        <w:t>ід</w:t>
      </w:r>
      <w:r w:rsidR="00B7303C">
        <w:rPr>
          <w:lang w:val="uk-UA"/>
        </w:rPr>
        <w:t>, 7 публічних виступів та взято на облік та здійснювався супровід 10</w:t>
      </w:r>
      <w:r w:rsidR="000E683F" w:rsidRPr="000E683F">
        <w:rPr>
          <w:lang w:val="uk-UA"/>
        </w:rPr>
        <w:t xml:space="preserve"> сімей, які опинилися у складних життєвих обставинах</w:t>
      </w:r>
      <w:r w:rsidR="00B7303C">
        <w:rPr>
          <w:lang w:val="uk-UA"/>
        </w:rPr>
        <w:t xml:space="preserve"> та </w:t>
      </w:r>
      <w:r w:rsidR="00DF20BD" w:rsidRPr="00B7303C">
        <w:rPr>
          <w:i/>
          <w:lang w:val="uk-UA"/>
        </w:rPr>
        <w:t>лише за перше півріччя 2025 року</w:t>
      </w:r>
      <w:r w:rsidR="00DF20BD" w:rsidRPr="00DF20BD">
        <w:rPr>
          <w:lang w:val="uk-UA"/>
        </w:rPr>
        <w:t xml:space="preserve"> </w:t>
      </w:r>
      <w:r w:rsidR="00B7303C">
        <w:rPr>
          <w:lang w:val="uk-UA"/>
        </w:rPr>
        <w:t xml:space="preserve">поліцейськими офіцерами громади </w:t>
      </w:r>
      <w:r w:rsidR="00DF20BD">
        <w:rPr>
          <w:lang w:val="uk-UA"/>
        </w:rPr>
        <w:t xml:space="preserve">здійснено </w:t>
      </w:r>
      <w:r w:rsidR="00DF20BD" w:rsidRPr="00DF20BD">
        <w:rPr>
          <w:lang w:val="uk-UA"/>
        </w:rPr>
        <w:t>27 виїздів на виклики</w:t>
      </w:r>
      <w:r w:rsidR="00DF20BD">
        <w:rPr>
          <w:lang w:val="uk-UA"/>
        </w:rPr>
        <w:t xml:space="preserve">, опрацьовано </w:t>
      </w:r>
      <w:r w:rsidR="00DF20BD" w:rsidRPr="00DF20BD">
        <w:rPr>
          <w:lang w:val="uk-UA"/>
        </w:rPr>
        <w:t xml:space="preserve">193 звернення від жителів громади, </w:t>
      </w:r>
      <w:r w:rsidR="00DF20BD">
        <w:rPr>
          <w:lang w:val="uk-UA"/>
        </w:rPr>
        <w:t xml:space="preserve">здійснено  16 перевірок ВПО,  складено </w:t>
      </w:r>
      <w:r w:rsidR="00DF20BD" w:rsidRPr="00DF20BD">
        <w:rPr>
          <w:lang w:val="uk-UA"/>
        </w:rPr>
        <w:t xml:space="preserve"> 24 </w:t>
      </w:r>
      <w:proofErr w:type="spellStart"/>
      <w:r w:rsidR="00DF20BD" w:rsidRPr="00DF20BD">
        <w:rPr>
          <w:lang w:val="uk-UA"/>
        </w:rPr>
        <w:t>адмін</w:t>
      </w:r>
      <w:r w:rsidR="00DF20BD">
        <w:rPr>
          <w:lang w:val="uk-UA"/>
        </w:rPr>
        <w:t>протоколи</w:t>
      </w:r>
      <w:proofErr w:type="spellEnd"/>
      <w:r w:rsidR="00DF20BD">
        <w:rPr>
          <w:lang w:val="uk-UA"/>
        </w:rPr>
        <w:t xml:space="preserve"> за домашнє насильство, надано </w:t>
      </w:r>
      <w:r w:rsidR="00DF20BD" w:rsidRPr="00DF20BD">
        <w:rPr>
          <w:lang w:val="uk-UA"/>
        </w:rPr>
        <w:t>10 приписів, які да</w:t>
      </w:r>
      <w:r w:rsidR="00DF20BD">
        <w:rPr>
          <w:lang w:val="uk-UA"/>
        </w:rPr>
        <w:t xml:space="preserve">ли постраждалим право на захист, проведено </w:t>
      </w:r>
      <w:r w:rsidR="00DF20BD" w:rsidRPr="00DF20BD">
        <w:rPr>
          <w:lang w:val="uk-UA"/>
        </w:rPr>
        <w:t xml:space="preserve">9 акцій, 5 публічних виступів, </w:t>
      </w:r>
      <w:r w:rsidR="00DF20BD">
        <w:rPr>
          <w:lang w:val="uk-UA"/>
        </w:rPr>
        <w:t xml:space="preserve">здійснювався супровід </w:t>
      </w:r>
      <w:r w:rsidR="00DF20BD" w:rsidRPr="00DF20BD">
        <w:rPr>
          <w:lang w:val="uk-UA"/>
        </w:rPr>
        <w:t>10 сімей, які опинилися</w:t>
      </w:r>
      <w:r w:rsidR="00397C0D">
        <w:rPr>
          <w:lang w:val="uk-UA"/>
        </w:rPr>
        <w:t xml:space="preserve"> у складних життєвих обставинах.</w:t>
      </w:r>
      <w:r w:rsidR="006B3862">
        <w:rPr>
          <w:lang w:val="uk-UA"/>
        </w:rPr>
        <w:t xml:space="preserve"> </w:t>
      </w:r>
      <w:proofErr w:type="spellStart"/>
      <w:r w:rsidR="00B7303C" w:rsidRPr="00B7303C">
        <w:rPr>
          <w:lang w:val="uk-UA"/>
        </w:rPr>
        <w:t>Проєкт</w:t>
      </w:r>
      <w:proofErr w:type="spellEnd"/>
      <w:r w:rsidR="00B7303C" w:rsidRPr="00B7303C">
        <w:rPr>
          <w:lang w:val="uk-UA"/>
        </w:rPr>
        <w:t xml:space="preserve"> «Поліцейський офіцер громади» демонструє високу ефективність через зростання оперативної роботи та з</w:t>
      </w:r>
      <w:r w:rsidR="00B7303C">
        <w:rPr>
          <w:lang w:val="uk-UA"/>
        </w:rPr>
        <w:t>начну профілактичну діяльність</w:t>
      </w:r>
      <w:r w:rsidR="00B7303C" w:rsidRPr="00B7303C">
        <w:rPr>
          <w:lang w:val="uk-UA"/>
        </w:rPr>
        <w:t xml:space="preserve">, посилюючи правопорядок </w:t>
      </w:r>
      <w:r w:rsidR="00B7303C">
        <w:rPr>
          <w:lang w:val="uk-UA"/>
        </w:rPr>
        <w:t>на території громади</w:t>
      </w:r>
      <w:r w:rsidR="00E55217">
        <w:rPr>
          <w:lang w:val="uk-UA"/>
        </w:rPr>
        <w:t xml:space="preserve">. </w:t>
      </w:r>
      <w:proofErr w:type="spellStart"/>
      <w:r w:rsidR="00E55217">
        <w:rPr>
          <w:lang w:val="uk-UA"/>
        </w:rPr>
        <w:t>П</w:t>
      </w:r>
      <w:r w:rsidR="00E55217" w:rsidRPr="00E55217">
        <w:rPr>
          <w:lang w:val="uk-UA"/>
        </w:rPr>
        <w:t>подальше</w:t>
      </w:r>
      <w:proofErr w:type="spellEnd"/>
      <w:r w:rsidR="00E55217" w:rsidRPr="00E55217">
        <w:rPr>
          <w:lang w:val="uk-UA"/>
        </w:rPr>
        <w:t xml:space="preserve"> продовження та масштабування цієї ініціативи є необхідним кроком для забезпечення сталого правопорядку та розвитку громад.</w:t>
      </w:r>
    </w:p>
    <w:p w:rsidR="00397C0D" w:rsidRDefault="006B3862" w:rsidP="00AB5626">
      <w:pPr>
        <w:pStyle w:val="a7"/>
        <w:ind w:firstLine="567"/>
        <w:contextualSpacing/>
        <w:jc w:val="both"/>
        <w:rPr>
          <w:lang w:val="uk-UA"/>
        </w:rPr>
      </w:pPr>
      <w:r>
        <w:rPr>
          <w:lang w:val="uk-UA"/>
        </w:rPr>
        <w:t xml:space="preserve">Впровадження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</w:t>
      </w:r>
      <w:r w:rsidR="000E11C4" w:rsidRPr="000E11C4">
        <w:rPr>
          <w:lang w:val="uk-UA"/>
        </w:rPr>
        <w:t xml:space="preserve">«Офіцер-рятувальник громади» </w:t>
      </w:r>
      <w:r w:rsidR="000E11C4">
        <w:rPr>
          <w:lang w:val="uk-UA"/>
        </w:rPr>
        <w:t xml:space="preserve">дозволить </w:t>
      </w:r>
      <w:r w:rsidR="000E11C4" w:rsidRPr="000E11C4">
        <w:rPr>
          <w:lang w:val="uk-UA"/>
        </w:rPr>
        <w:t>забезпеч</w:t>
      </w:r>
      <w:r w:rsidR="000E11C4">
        <w:rPr>
          <w:lang w:val="uk-UA"/>
        </w:rPr>
        <w:t>ити</w:t>
      </w:r>
      <w:r w:rsidR="000E11C4" w:rsidRPr="000E11C4">
        <w:rPr>
          <w:lang w:val="uk-UA"/>
        </w:rPr>
        <w:t xml:space="preserve"> цивільн</w:t>
      </w:r>
      <w:r w:rsidR="000E11C4">
        <w:rPr>
          <w:lang w:val="uk-UA"/>
        </w:rPr>
        <w:t>ий</w:t>
      </w:r>
      <w:r w:rsidR="000E11C4" w:rsidRPr="000E11C4">
        <w:rPr>
          <w:lang w:val="uk-UA"/>
        </w:rPr>
        <w:t xml:space="preserve"> захист на території громади,  зни</w:t>
      </w:r>
      <w:r w:rsidR="000E11C4">
        <w:rPr>
          <w:lang w:val="uk-UA"/>
        </w:rPr>
        <w:t>зити</w:t>
      </w:r>
      <w:r w:rsidR="000E11C4" w:rsidRPr="000E11C4">
        <w:rPr>
          <w:lang w:val="uk-UA"/>
        </w:rPr>
        <w:t xml:space="preserve"> ризик виникнення надзвичайних ситуацій техногенного природного характеру, підвищ</w:t>
      </w:r>
      <w:r w:rsidR="000E11C4">
        <w:rPr>
          <w:lang w:val="uk-UA"/>
        </w:rPr>
        <w:t>ити</w:t>
      </w:r>
      <w:r w:rsidR="000E11C4" w:rsidRPr="000E11C4">
        <w:rPr>
          <w:lang w:val="uk-UA"/>
        </w:rPr>
        <w:t xml:space="preserve"> рів</w:t>
      </w:r>
      <w:r w:rsidR="000E11C4">
        <w:rPr>
          <w:lang w:val="uk-UA"/>
        </w:rPr>
        <w:t>ень</w:t>
      </w:r>
      <w:r w:rsidR="000E11C4" w:rsidRPr="000E11C4">
        <w:rPr>
          <w:lang w:val="uk-UA"/>
        </w:rPr>
        <w:t xml:space="preserve"> безпеки населення і захищеності територі</w:t>
      </w:r>
      <w:r w:rsidR="000E11C4">
        <w:rPr>
          <w:lang w:val="uk-UA"/>
        </w:rPr>
        <w:t>ї</w:t>
      </w:r>
      <w:r w:rsidR="000E11C4" w:rsidRPr="000E11C4">
        <w:rPr>
          <w:lang w:val="uk-UA"/>
        </w:rPr>
        <w:t xml:space="preserve"> громад</w:t>
      </w:r>
      <w:r w:rsidR="000E11C4">
        <w:rPr>
          <w:lang w:val="uk-UA"/>
        </w:rPr>
        <w:t>и</w:t>
      </w:r>
      <w:r w:rsidR="000E11C4" w:rsidRPr="000E11C4">
        <w:rPr>
          <w:lang w:val="uk-UA"/>
        </w:rPr>
        <w:t xml:space="preserve"> від пожеж, надзвичайних ситуацій техногенного природного характеру, ві</w:t>
      </w:r>
      <w:r w:rsidR="000E11C4">
        <w:rPr>
          <w:lang w:val="uk-UA"/>
        </w:rPr>
        <w:t>д радіаційних і хімічних загроз</w:t>
      </w:r>
      <w:r w:rsidR="000E11C4" w:rsidRPr="000E11C4">
        <w:rPr>
          <w:lang w:val="uk-UA"/>
        </w:rPr>
        <w:t>.</w:t>
      </w:r>
    </w:p>
    <w:p w:rsidR="008C0EDE" w:rsidRPr="008C0EDE" w:rsidRDefault="008C0EDE" w:rsidP="00AB5626">
      <w:pPr>
        <w:pStyle w:val="a7"/>
        <w:ind w:firstLine="567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Реалізація цих </w:t>
      </w:r>
      <w:proofErr w:type="spellStart"/>
      <w:r w:rsidRPr="008C0EDE">
        <w:rPr>
          <w:lang w:val="uk-UA"/>
        </w:rPr>
        <w:t>проєктів</w:t>
      </w:r>
      <w:proofErr w:type="spellEnd"/>
      <w:r w:rsidRPr="008C0EDE">
        <w:rPr>
          <w:lang w:val="uk-UA"/>
        </w:rPr>
        <w:t xml:space="preserve"> дозволяє наблизити правоохоронців та рятувальників до мешканців, покращити взаємодію між службами, підвищити довіру населення до силових структур та сприяти швидкому реагуванню на виклики. Однак для належного функціонування зазначених </w:t>
      </w:r>
      <w:proofErr w:type="spellStart"/>
      <w:r w:rsidRPr="008C0EDE">
        <w:rPr>
          <w:lang w:val="uk-UA"/>
        </w:rPr>
        <w:t>проєктів</w:t>
      </w:r>
      <w:proofErr w:type="spellEnd"/>
      <w:r w:rsidRPr="008C0EDE">
        <w:rPr>
          <w:lang w:val="uk-UA"/>
        </w:rPr>
        <w:t xml:space="preserve"> необхідне фінансування придбання техніки, спорядження, засобів індивідуального захисту, безпілотних літальних апаратів, радіостанцій, захищених планшетів, </w:t>
      </w:r>
      <w:proofErr w:type="spellStart"/>
      <w:r w:rsidRPr="008C0EDE">
        <w:rPr>
          <w:lang w:val="uk-UA"/>
        </w:rPr>
        <w:t>боді</w:t>
      </w:r>
      <w:proofErr w:type="spellEnd"/>
      <w:r w:rsidRPr="008C0EDE">
        <w:rPr>
          <w:lang w:val="uk-UA"/>
        </w:rPr>
        <w:t>-камер, первинних засобів пожежогасіння тощо.</w:t>
      </w:r>
    </w:p>
    <w:p w:rsidR="00AB5626" w:rsidRPr="008C0EDE" w:rsidRDefault="00AB5626" w:rsidP="00AB5626">
      <w:pPr>
        <w:pStyle w:val="a7"/>
        <w:ind w:firstLine="567"/>
        <w:contextualSpacing/>
        <w:jc w:val="both"/>
        <w:rPr>
          <w:lang w:val="uk-UA"/>
        </w:rPr>
      </w:pPr>
      <w:r w:rsidRPr="00AB5626">
        <w:rPr>
          <w:lang w:val="uk-UA"/>
        </w:rPr>
        <w:t xml:space="preserve">Програма розроблена з урахуванням потреб усіх членів громади та має </w:t>
      </w:r>
      <w:proofErr w:type="spellStart"/>
      <w:r w:rsidRPr="00AB5626">
        <w:rPr>
          <w:lang w:val="uk-UA"/>
        </w:rPr>
        <w:t>гендерно</w:t>
      </w:r>
      <w:proofErr w:type="spellEnd"/>
      <w:r w:rsidRPr="00AB5626">
        <w:rPr>
          <w:lang w:val="uk-UA"/>
        </w:rPr>
        <w:t>-нейтральний характер, забезпечуючи рівний доступ до послуг та можливостей, незалежно від статі. Заходи, передбачені Програмою, спрямовані на створення безпечного та інклюзивного середовища для кожного жителя громади.</w:t>
      </w:r>
    </w:p>
    <w:p w:rsidR="008C0EDE" w:rsidRPr="008C0EDE" w:rsidRDefault="008C0EDE" w:rsidP="00AB5626">
      <w:pPr>
        <w:pStyle w:val="a7"/>
        <w:ind w:firstLine="567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Проблеми безпеки мають комплексний характер і не можуть бути розв’язані в межах однієї галузі чи за рахунок окремих заходів. Саме тому виникає необхідність застосування </w:t>
      </w:r>
      <w:r w:rsidRPr="00AB5626">
        <w:rPr>
          <w:rStyle w:val="a8"/>
          <w:b w:val="0"/>
          <w:lang w:val="uk-UA"/>
        </w:rPr>
        <w:t>програмного методу управління</w:t>
      </w:r>
      <w:r w:rsidRPr="008C0EDE">
        <w:rPr>
          <w:lang w:val="uk-UA"/>
        </w:rPr>
        <w:t>, який дозволяє узгодити дії всіх виконавців, забезпечити ефективне використання фінансових ресурсів, визначити пріоритети та очікувані результати, встановити систему моніторингу та контролю за реалізацією заходів.</w:t>
      </w:r>
    </w:p>
    <w:p w:rsidR="008C0EDE" w:rsidRPr="008C0EDE" w:rsidRDefault="008C0EDE" w:rsidP="00AB5626">
      <w:pPr>
        <w:pStyle w:val="a7"/>
        <w:contextualSpacing/>
        <w:jc w:val="both"/>
        <w:rPr>
          <w:lang w:val="uk-UA"/>
        </w:rPr>
      </w:pPr>
      <w:r w:rsidRPr="008C0EDE">
        <w:rPr>
          <w:lang w:val="uk-UA"/>
        </w:rPr>
        <w:t>Запровадження програмного підходу сприятиме: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t>системному розвитку інфраструктури безпеки громади;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lastRenderedPageBreak/>
        <w:t>підвищенню рівня взаємодії між органами влади, поліцією, ДСНС, громадськими формуваннями;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t>формуванню стійкої культури безпечної поведінки серед населення;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t>зменшенню кількості правопорушень і дорожньо-транспортних пригод;</w:t>
      </w:r>
    </w:p>
    <w:p w:rsidR="008C0EDE" w:rsidRPr="008C0EDE" w:rsidRDefault="008C0EDE" w:rsidP="00AB5626">
      <w:pPr>
        <w:pStyle w:val="a7"/>
        <w:numPr>
          <w:ilvl w:val="0"/>
          <w:numId w:val="18"/>
        </w:numPr>
        <w:contextualSpacing/>
        <w:jc w:val="both"/>
        <w:rPr>
          <w:lang w:val="uk-UA"/>
        </w:rPr>
      </w:pPr>
      <w:r w:rsidRPr="008C0EDE">
        <w:rPr>
          <w:lang w:val="uk-UA"/>
        </w:rPr>
        <w:t>створенню умов для комфортного і безпечного життя кожної особи, незалежно від віку, статі чи соціального статусу.</w:t>
      </w:r>
    </w:p>
    <w:p w:rsidR="008C0EDE" w:rsidRPr="008C0EDE" w:rsidRDefault="008C0EDE" w:rsidP="00A915E0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  <w:r w:rsidRPr="008C0EDE">
        <w:rPr>
          <w:lang w:val="uk-UA"/>
        </w:rPr>
        <w:t xml:space="preserve">Таким чином, розв’язання окреслених проблем можливе лише шляхом реалізації цілісної місцевої програми, що поєднає у собі технічні, організаційні, освітні та превентивні заходи, забезпечить стабільне фінансування і сталий розвиток </w:t>
      </w:r>
      <w:proofErr w:type="spellStart"/>
      <w:r w:rsidRPr="008C0EDE">
        <w:rPr>
          <w:lang w:val="uk-UA"/>
        </w:rPr>
        <w:t>безпекового</w:t>
      </w:r>
      <w:proofErr w:type="spellEnd"/>
      <w:r w:rsidRPr="008C0EDE">
        <w:rPr>
          <w:lang w:val="uk-UA"/>
        </w:rPr>
        <w:t xml:space="preserve"> середовища на території громади.</w:t>
      </w:r>
    </w:p>
    <w:p w:rsidR="004F7E12" w:rsidRDefault="00E638F0" w:rsidP="00E638F0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III. Мета програми</w:t>
      </w:r>
    </w:p>
    <w:p w:rsidR="001414BD" w:rsidRPr="005F6BC4" w:rsidRDefault="001414BD" w:rsidP="00E638F0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31884" w:rsidRDefault="00031884" w:rsidP="000318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Мета Програми «Безпечна </w:t>
      </w:r>
      <w:proofErr w:type="spellStart"/>
      <w:r w:rsidRPr="005F6B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Роздільнянська</w:t>
      </w:r>
      <w:proofErr w:type="spellEnd"/>
      <w:r w:rsidRPr="005F6B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міська територіальна громада» </w:t>
      </w:r>
      <w:r w:rsidR="00E552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- п</w:t>
      </w:r>
      <w:r w:rsidR="00E55217" w:rsidRPr="00E552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осилення безпеки населення, забезпечення стабільної життєдіяльності громади, підвищення рівня безпеки на дорогах, покращення ефективності розкриття правопорушень, а також узгоджена взаємодія органів виконавчої влади та правоохоронних структур для забезпечення оперативного, результативного та скоординованого реагування на надзвичайні ситуації, попередження небезпечних подій і підтримання громадського спокою та безперебійного функціонування інфраструктури </w:t>
      </w:r>
      <w:proofErr w:type="spellStart"/>
      <w:r w:rsidR="00E55217" w:rsidRPr="00E552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Роздільнянської</w:t>
      </w:r>
      <w:proofErr w:type="spellEnd"/>
      <w:r w:rsidR="00E55217" w:rsidRPr="00E552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територіальної громади.</w:t>
      </w:r>
    </w:p>
    <w:p w:rsidR="001414BD" w:rsidRDefault="001414BD" w:rsidP="0003188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3298C" w:rsidRPr="005F6BC4" w:rsidRDefault="00E638F0" w:rsidP="00246F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IV. Обґрунтування завдань  і засобів розв’язання проблеми,</w:t>
      </w:r>
    </w:p>
    <w:p w:rsidR="00E638F0" w:rsidRDefault="00E638F0" w:rsidP="00E63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показники результативності</w:t>
      </w:r>
    </w:p>
    <w:p w:rsidR="001414BD" w:rsidRPr="005F6BC4" w:rsidRDefault="001414BD" w:rsidP="00E638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A809B5" w:rsidRPr="005F6BC4" w:rsidRDefault="00A809B5" w:rsidP="008918D9">
      <w:pPr>
        <w:pStyle w:val="a7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F6BC4">
        <w:rPr>
          <w:lang w:val="uk-UA"/>
        </w:rPr>
        <w:t>Для досягнення поставленої мети, Програма передбачає реалізацію комплексу взаємопов’язаних завдань і заходів, спрямованих на підвищення рівня громадської безпеки, ефективність реагування на надзвичайні ситуації та створення комфортного і безпечного середовища для життя мешканців громади.</w:t>
      </w:r>
    </w:p>
    <w:p w:rsidR="008918D9" w:rsidRPr="005F6BC4" w:rsidRDefault="008918D9" w:rsidP="008918D9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  <w:r w:rsidRPr="005F6BC4">
        <w:rPr>
          <w:lang w:val="uk-UA"/>
        </w:rPr>
        <w:t>Основними завданнями Програми є: м</w:t>
      </w:r>
      <w:r w:rsidRPr="005F6BC4">
        <w:rPr>
          <w:bCs/>
          <w:lang w:val="uk-UA"/>
        </w:rPr>
        <w:t>одернізація системи відеоспостереження</w:t>
      </w:r>
      <w:r w:rsidRPr="005F6BC4">
        <w:rPr>
          <w:lang w:val="uk-UA"/>
        </w:rPr>
        <w:t xml:space="preserve">, </w:t>
      </w:r>
      <w:r w:rsidRPr="005F6BC4">
        <w:rPr>
          <w:bCs/>
          <w:lang w:val="uk-UA"/>
        </w:rPr>
        <w:t xml:space="preserve">розвиток </w:t>
      </w:r>
      <w:proofErr w:type="spellStart"/>
      <w:r w:rsidRPr="005F6BC4">
        <w:rPr>
          <w:bCs/>
          <w:lang w:val="uk-UA"/>
        </w:rPr>
        <w:t>проєктів</w:t>
      </w:r>
      <w:proofErr w:type="spellEnd"/>
      <w:r w:rsidRPr="005F6BC4">
        <w:rPr>
          <w:bCs/>
          <w:lang w:val="uk-UA"/>
        </w:rPr>
        <w:t xml:space="preserve"> «Поліцейський офіцер громади» та «Офіцер-рятувальник громади»</w:t>
      </w:r>
      <w:r w:rsidRPr="005F6BC4">
        <w:rPr>
          <w:lang w:val="uk-UA"/>
        </w:rPr>
        <w:t>,</w:t>
      </w:r>
      <w:r w:rsidR="004B6F11" w:rsidRPr="004B6F11">
        <w:rPr>
          <w:lang w:val="uk-UA"/>
        </w:rPr>
        <w:t xml:space="preserve"> підвищення технічної спроможності підрозділів поліції та ДСНС</w:t>
      </w:r>
      <w:r w:rsidR="004B6F11">
        <w:rPr>
          <w:lang w:val="uk-UA"/>
        </w:rPr>
        <w:t xml:space="preserve">, </w:t>
      </w:r>
      <w:r w:rsidRPr="005F6BC4">
        <w:rPr>
          <w:lang w:val="uk-UA"/>
        </w:rPr>
        <w:t xml:space="preserve"> п</w:t>
      </w:r>
      <w:r w:rsidRPr="005F6BC4">
        <w:rPr>
          <w:bCs/>
          <w:lang w:val="uk-UA"/>
        </w:rPr>
        <w:t>окращення безпеки дорожнього руху</w:t>
      </w:r>
      <w:r w:rsidRPr="005F6BC4">
        <w:rPr>
          <w:lang w:val="uk-UA"/>
        </w:rPr>
        <w:t>, п</w:t>
      </w:r>
      <w:r w:rsidRPr="005F6BC4">
        <w:rPr>
          <w:bCs/>
          <w:lang w:val="uk-UA"/>
        </w:rPr>
        <w:t>ідвищення рівня готовності до реагування на надзвичайні ситуації.</w:t>
      </w:r>
    </w:p>
    <w:p w:rsidR="00A809B5" w:rsidRPr="005F6BC4" w:rsidRDefault="00A809B5" w:rsidP="00A809B5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  <w:r w:rsidRPr="005F6BC4">
        <w:rPr>
          <w:lang w:val="uk-UA"/>
        </w:rPr>
        <w:t xml:space="preserve">Основні заходи з реалізації Програми зазначені у </w:t>
      </w:r>
      <w:r w:rsidRPr="005F6BC4">
        <w:rPr>
          <w:i/>
          <w:lang w:val="uk-UA"/>
        </w:rPr>
        <w:t>додатку 1 до Програми</w:t>
      </w:r>
    </w:p>
    <w:p w:rsidR="001B075B" w:rsidRPr="00E55217" w:rsidRDefault="001B075B" w:rsidP="001B075B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  <w:r w:rsidRPr="001B075B">
        <w:rPr>
          <w:lang w:val="uk-UA"/>
        </w:rPr>
        <w:t xml:space="preserve">Результативними показниками виконання Програми має стати </w:t>
      </w:r>
      <w:r w:rsidRPr="00E55217">
        <w:rPr>
          <w:lang w:val="uk-UA"/>
        </w:rPr>
        <w:t xml:space="preserve">створення  безпечних умов для руху транспорту та пішоходів шляхом удосконалення дорожньої інфраструктури та організації руху, </w:t>
      </w:r>
      <w:r w:rsidR="00E55217" w:rsidRPr="00E55217">
        <w:rPr>
          <w:lang w:val="uk-UA"/>
        </w:rPr>
        <w:t>підтримання безперебійної роботи системи відеоспостереження (24/7), зростання частки злочинів, розкритих «по гарячих слідах» із використанням записів з камер відеоспостереження, забезпечення постійної присутності поліцейськ</w:t>
      </w:r>
      <w:r w:rsidR="00E55217">
        <w:rPr>
          <w:lang w:val="uk-UA"/>
        </w:rPr>
        <w:t xml:space="preserve">ого </w:t>
      </w:r>
      <w:r w:rsidR="00E55217" w:rsidRPr="00E55217">
        <w:rPr>
          <w:lang w:val="uk-UA"/>
        </w:rPr>
        <w:t>офіцер</w:t>
      </w:r>
      <w:r w:rsidR="00E55217">
        <w:rPr>
          <w:lang w:val="uk-UA"/>
        </w:rPr>
        <w:t>а</w:t>
      </w:r>
      <w:r w:rsidR="00E55217" w:rsidRPr="00E55217">
        <w:rPr>
          <w:lang w:val="uk-UA"/>
        </w:rPr>
        <w:t xml:space="preserve"> громади та офіцера-рятувальника на території обслуговування з метою своєчасного реагування на події та надання необхідних послуг населенню</w:t>
      </w:r>
      <w:r w:rsidRPr="00E55217">
        <w:rPr>
          <w:lang w:val="uk-UA"/>
        </w:rPr>
        <w:t>.</w:t>
      </w:r>
    </w:p>
    <w:p w:rsidR="00A809B5" w:rsidRDefault="00A809B5" w:rsidP="001B075B">
      <w:pPr>
        <w:pStyle w:val="a7"/>
        <w:spacing w:before="0" w:beforeAutospacing="0" w:after="0" w:afterAutospacing="0"/>
        <w:ind w:firstLine="360"/>
        <w:contextualSpacing/>
        <w:jc w:val="both"/>
        <w:rPr>
          <w:i/>
          <w:lang w:val="uk-UA"/>
        </w:rPr>
      </w:pPr>
      <w:r w:rsidRPr="001B075B">
        <w:rPr>
          <w:lang w:val="uk-UA"/>
        </w:rPr>
        <w:t xml:space="preserve">Результативні показники зазначені в </w:t>
      </w:r>
      <w:r w:rsidRPr="001B075B">
        <w:rPr>
          <w:i/>
          <w:lang w:val="uk-UA"/>
        </w:rPr>
        <w:t>додатку 2 до Програми</w:t>
      </w:r>
      <w:r w:rsidR="002E4AD6">
        <w:rPr>
          <w:i/>
          <w:lang w:val="uk-UA"/>
        </w:rPr>
        <w:t>.</w:t>
      </w:r>
    </w:p>
    <w:p w:rsidR="002E4AD6" w:rsidRPr="001414BD" w:rsidRDefault="002E4AD6" w:rsidP="001B075B">
      <w:pPr>
        <w:pStyle w:val="a7"/>
        <w:spacing w:before="0" w:beforeAutospacing="0" w:after="0" w:afterAutospacing="0"/>
        <w:ind w:firstLine="360"/>
        <w:contextualSpacing/>
        <w:jc w:val="both"/>
        <w:rPr>
          <w:lang w:val="uk-UA"/>
        </w:rPr>
      </w:pPr>
    </w:p>
    <w:p w:rsidR="000F4D06" w:rsidRDefault="000F4D06" w:rsidP="005F6B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5F6BC4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V. Очікувані  результати виконання Програми</w:t>
      </w:r>
    </w:p>
    <w:p w:rsidR="002E4AD6" w:rsidRPr="005F6BC4" w:rsidRDefault="002E4AD6" w:rsidP="005F6B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5F6BC4" w:rsidRPr="00A86B8E" w:rsidRDefault="005F6BC4" w:rsidP="005F6BC4">
      <w:pPr>
        <w:pStyle w:val="a7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5F6BC4">
        <w:rPr>
          <w:lang w:val="uk-UA"/>
        </w:rPr>
        <w:t xml:space="preserve">Виконання заходів Програми протягом 2026–2027 років забезпечить створення </w:t>
      </w:r>
      <w:r w:rsidRPr="00A86B8E">
        <w:rPr>
          <w:lang w:val="uk-UA"/>
        </w:rPr>
        <w:t>комплексної та ефективної системи громадської безпеки, підвищення рівня правопорядку, готовності до надзвичайних ситуацій і зміцнення довіри мешканців до органів влади та силових структур. Реалізація Програми сприятиме формуванню стабільного, безпечного та комфортного середовища проживання на території громади.</w:t>
      </w:r>
    </w:p>
    <w:p w:rsidR="00A86B8E" w:rsidRDefault="00A86B8E" w:rsidP="00A86B8E">
      <w:pPr>
        <w:pStyle w:val="a7"/>
        <w:spacing w:before="0" w:beforeAutospacing="0" w:after="0" w:afterAutospacing="0"/>
        <w:ind w:firstLine="567"/>
        <w:contextualSpacing/>
        <w:jc w:val="both"/>
        <w:rPr>
          <w:lang w:val="uk-UA"/>
        </w:rPr>
      </w:pPr>
      <w:r w:rsidRPr="00A86B8E">
        <w:rPr>
          <w:lang w:val="uk-UA"/>
        </w:rPr>
        <w:t>Результатами виконання Програми після її закінчення має стати</w:t>
      </w:r>
      <w:r w:rsidR="005F6BC4" w:rsidRPr="00A86B8E">
        <w:rPr>
          <w:lang w:val="uk-UA"/>
        </w:rPr>
        <w:t>:</w:t>
      </w:r>
      <w:r w:rsidRPr="00A86B8E">
        <w:rPr>
          <w:lang w:val="uk-UA"/>
        </w:rPr>
        <w:t xml:space="preserve"> п</w:t>
      </w:r>
      <w:r w:rsidR="005F6BC4" w:rsidRPr="00A86B8E">
        <w:rPr>
          <w:lang w:val="uk-UA"/>
        </w:rPr>
        <w:t>ідвищення рівня громадської безпеки</w:t>
      </w:r>
      <w:r w:rsidRPr="00A86B8E">
        <w:rPr>
          <w:lang w:val="uk-UA"/>
        </w:rPr>
        <w:t>, з</w:t>
      </w:r>
      <w:r w:rsidR="005F6BC4" w:rsidRPr="00A86B8E">
        <w:rPr>
          <w:lang w:val="uk-UA"/>
        </w:rPr>
        <w:t>ниження кількості правопорушень, дорожньо-транспортних пригод і пожеж</w:t>
      </w:r>
      <w:r w:rsidRPr="00A86B8E">
        <w:rPr>
          <w:lang w:val="uk-UA"/>
        </w:rPr>
        <w:t>, с</w:t>
      </w:r>
      <w:r w:rsidR="005F6BC4" w:rsidRPr="00A86B8E">
        <w:rPr>
          <w:lang w:val="uk-UA"/>
        </w:rPr>
        <w:t>корочення часу реагування правоохоронних та рятувальних служб на</w:t>
      </w:r>
      <w:r w:rsidRPr="00A86B8E">
        <w:rPr>
          <w:lang w:val="uk-UA"/>
        </w:rPr>
        <w:t xml:space="preserve"> виклики і надзвичайні ситуації, п</w:t>
      </w:r>
      <w:r w:rsidR="005F6BC4" w:rsidRPr="00A86B8E">
        <w:rPr>
          <w:lang w:val="uk-UA"/>
        </w:rPr>
        <w:t>ідвищення рівня довіри населення до силових структур,</w:t>
      </w:r>
      <w:r w:rsidRPr="00A86B8E">
        <w:rPr>
          <w:lang w:val="uk-UA"/>
        </w:rPr>
        <w:t xml:space="preserve"> р</w:t>
      </w:r>
      <w:r w:rsidR="005F6BC4" w:rsidRPr="00A86B8E">
        <w:rPr>
          <w:lang w:val="uk-UA"/>
        </w:rPr>
        <w:t>озвиток  взаємодії між органами місцевого самоврядування, поліцією, ДСНС</w:t>
      </w:r>
      <w:r w:rsidRPr="00A86B8E">
        <w:rPr>
          <w:lang w:val="uk-UA"/>
        </w:rPr>
        <w:t>, п</w:t>
      </w:r>
      <w:r w:rsidR="005F6BC4" w:rsidRPr="00A86B8E">
        <w:rPr>
          <w:lang w:val="uk-UA"/>
        </w:rPr>
        <w:t xml:space="preserve">окращення стану </w:t>
      </w:r>
      <w:r w:rsidR="005F6BC4" w:rsidRPr="00A86B8E">
        <w:rPr>
          <w:lang w:val="uk-UA"/>
        </w:rPr>
        <w:lastRenderedPageBreak/>
        <w:t>дорожньої інфраструктури</w:t>
      </w:r>
      <w:r w:rsidRPr="00A86B8E">
        <w:rPr>
          <w:lang w:val="uk-UA"/>
        </w:rPr>
        <w:t>, з</w:t>
      </w:r>
      <w:r w:rsidR="005F6BC4" w:rsidRPr="00A86B8E">
        <w:rPr>
          <w:lang w:val="uk-UA"/>
        </w:rPr>
        <w:t xml:space="preserve">міцнення матеріально-технічної бази підрозділів безпеки, </w:t>
      </w:r>
      <w:r w:rsidRPr="00A86B8E">
        <w:rPr>
          <w:lang w:val="uk-UA"/>
        </w:rPr>
        <w:t>п</w:t>
      </w:r>
      <w:r w:rsidR="005F6BC4" w:rsidRPr="00A86B8E">
        <w:rPr>
          <w:lang w:val="uk-UA"/>
        </w:rPr>
        <w:t>ідвищення ефективності управління безпекою громади</w:t>
      </w:r>
      <w:r w:rsidRPr="00A86B8E">
        <w:rPr>
          <w:lang w:val="uk-UA"/>
        </w:rPr>
        <w:t>.</w:t>
      </w:r>
    </w:p>
    <w:p w:rsidR="002E4AD6" w:rsidRPr="00A86B8E" w:rsidRDefault="002E4AD6" w:rsidP="00A86B8E">
      <w:pPr>
        <w:pStyle w:val="a7"/>
        <w:spacing w:before="0" w:beforeAutospacing="0" w:after="0" w:afterAutospacing="0"/>
        <w:ind w:firstLine="567"/>
        <w:contextualSpacing/>
        <w:jc w:val="both"/>
        <w:rPr>
          <w:lang w:val="uk-UA"/>
        </w:rPr>
      </w:pPr>
    </w:p>
    <w:p w:rsidR="008F069B" w:rsidRDefault="008F069B" w:rsidP="00930FAF">
      <w:pPr>
        <w:keepNext/>
        <w:keepLines/>
        <w:spacing w:after="0" w:line="240" w:lineRule="auto"/>
        <w:ind w:left="-142" w:right="91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VІ. Обсяги та джерела фінансування Програми</w:t>
      </w:r>
    </w:p>
    <w:p w:rsidR="002E4AD6" w:rsidRPr="008F069B" w:rsidRDefault="002E4AD6" w:rsidP="00930FAF">
      <w:pPr>
        <w:keepNext/>
        <w:keepLines/>
        <w:spacing w:after="0" w:line="240" w:lineRule="auto"/>
        <w:ind w:left="-142" w:right="91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Фінансування Програми здійснюється за рахунок коштів місцевого бюджету, які передбачаються для виконання Програми, а також за рахунок інших джерел, не заборонених законодавством. </w:t>
      </w:r>
    </w:p>
    <w:p w:rsidR="008F069B" w:rsidRP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Обсяги фінансування заходів Програми, можуть коригуватися в залежності від змін, що вносяться до цієї Програми. </w:t>
      </w:r>
    </w:p>
    <w:p w:rsidR="008F069B" w:rsidRDefault="008F069B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Ресурсне забезпечення </w:t>
      </w:r>
      <w:r w:rsidR="00366B7B" w:rsidRPr="00366B7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Програми «Безпечна </w:t>
      </w:r>
      <w:proofErr w:type="spellStart"/>
      <w:r w:rsidR="00366B7B" w:rsidRPr="00366B7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Роздільнянська</w:t>
      </w:r>
      <w:proofErr w:type="spellEnd"/>
      <w:r w:rsidR="00366B7B" w:rsidRPr="00366B7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міська територіальна громада» на 2026-2027 роки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, зазначається у </w:t>
      </w:r>
      <w:r w:rsidRPr="008F069B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uk-UA"/>
        </w:rPr>
        <w:t>додатку 3</w:t>
      </w:r>
      <w:r w:rsidRPr="008F069B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uk-UA"/>
        </w:rPr>
        <w:t xml:space="preserve"> </w:t>
      </w:r>
      <w:r w:rsidRPr="008F069B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uk-UA"/>
        </w:rPr>
        <w:t>до Програми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.</w:t>
      </w:r>
    </w:p>
    <w:p w:rsidR="002E4AD6" w:rsidRPr="008F069B" w:rsidRDefault="002E4AD6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</w:p>
    <w:p w:rsidR="008F069B" w:rsidRDefault="008F069B" w:rsidP="00930FAF">
      <w:pPr>
        <w:spacing w:after="0" w:line="240" w:lineRule="auto"/>
        <w:ind w:left="-142" w:right="171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VІI. Строки та етапи виконання програми</w:t>
      </w:r>
    </w:p>
    <w:p w:rsidR="002E4AD6" w:rsidRPr="008F069B" w:rsidRDefault="002E4AD6" w:rsidP="00930FAF">
      <w:pPr>
        <w:spacing w:after="0" w:line="240" w:lineRule="auto"/>
        <w:ind w:left="-142" w:right="171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8F069B" w:rsidRDefault="008F069B" w:rsidP="00930FAF">
      <w:pPr>
        <w:spacing w:after="0" w:line="240" w:lineRule="auto"/>
        <w:ind w:left="-142" w:right="171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Програма реалізовується в один етап, протягом 202</w:t>
      </w:r>
      <w:r w:rsidRPr="00930FAF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6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-202</w:t>
      </w:r>
      <w:r w:rsidR="00A86B8E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7</w:t>
      </w:r>
      <w:r w:rsidR="002E4AD6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</w:t>
      </w:r>
      <w:r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років</w:t>
      </w:r>
      <w:r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2E4AD6" w:rsidRPr="008F069B" w:rsidRDefault="002E4AD6" w:rsidP="00930FAF">
      <w:pPr>
        <w:spacing w:after="0" w:line="240" w:lineRule="auto"/>
        <w:ind w:left="-142" w:right="1710" w:firstLine="426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</w:p>
    <w:p w:rsidR="008F069B" w:rsidRDefault="008F069B" w:rsidP="00930FAF">
      <w:pPr>
        <w:spacing w:after="0" w:line="240" w:lineRule="auto"/>
        <w:ind w:left="-142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8F0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VІІI. Координація та контроль за ходом виконання програми</w:t>
      </w:r>
    </w:p>
    <w:p w:rsidR="002E4AD6" w:rsidRPr="008F069B" w:rsidRDefault="002E4AD6" w:rsidP="00930FAF">
      <w:pPr>
        <w:spacing w:after="0" w:line="240" w:lineRule="auto"/>
        <w:ind w:left="-142" w:firstLine="709"/>
        <w:contextualSpacing/>
        <w:jc w:val="center"/>
        <w:rPr>
          <w:rFonts w:ascii="Calibri" w:eastAsia="Calibri" w:hAnsi="Calibri" w:cs="Calibri"/>
          <w:color w:val="000000"/>
          <w:sz w:val="24"/>
          <w:szCs w:val="24"/>
          <w:lang w:val="uk-UA"/>
        </w:rPr>
      </w:pPr>
    </w:p>
    <w:p w:rsidR="008F069B" w:rsidRPr="008F069B" w:rsidRDefault="00137C85" w:rsidP="00930FAF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Відповідальним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виконавцем і координатором Програми є </w:t>
      </w:r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Управління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житлово-комунального господарства та інфраструктури </w:t>
      </w:r>
      <w:proofErr w:type="spellStart"/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Роздільнянської</w:t>
      </w:r>
      <w:proofErr w:type="spellEnd"/>
      <w:r w:rsidR="008F069B" w:rsidRPr="008F069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ради. </w:t>
      </w:r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Контроль за виконанням Програми здійснює Управління житлового-комунального господарства та інфраструктури </w:t>
      </w:r>
      <w:proofErr w:type="spellStart"/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>Роздільнянської</w:t>
      </w:r>
      <w:proofErr w:type="spellEnd"/>
      <w:r w:rsidR="008F069B" w:rsidRPr="008F069B">
        <w:rPr>
          <w:rFonts w:ascii="Times New Roman" w:eastAsia="Times New Roman" w:hAnsi="Times New Roman" w:cs="Times New Roman"/>
          <w:color w:val="00000A"/>
          <w:sz w:val="24"/>
          <w:szCs w:val="24"/>
          <w:lang w:val="uk-UA"/>
        </w:rPr>
        <w:t xml:space="preserve"> міської ради, постійна комісія  з питань бюджету, фінансування, інвестицій, реалізації державної регуляторної політики. </w:t>
      </w:r>
    </w:p>
    <w:p w:rsidR="003E31E9" w:rsidRDefault="003E31E9" w:rsidP="00137C85">
      <w:p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Відповідальний виконавець, </w:t>
      </w:r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два рази на рік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інформує міську раду </w:t>
      </w:r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 стан виконання Програми. </w:t>
      </w:r>
    </w:p>
    <w:p w:rsidR="00137C85" w:rsidRDefault="003E31E9" w:rsidP="003E31E9">
      <w:pPr>
        <w:spacing w:after="0" w:line="240" w:lineRule="auto"/>
        <w:ind w:left="-142" w:firstLine="568"/>
        <w:contextualSpacing/>
        <w:jc w:val="both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Відповідальний виконавець, для здійснення моніторингу реалізації Програми щороку, до 31 січні року, що настає за звітнім періодом, звітує про стан і результати виконання заходів Програми. </w:t>
      </w:r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Звіт публікуються на офіційному </w:t>
      </w:r>
      <w:proofErr w:type="spellStart"/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вебсайті</w:t>
      </w:r>
      <w:proofErr w:type="spellEnd"/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Роздільнянської</w:t>
      </w:r>
      <w:proofErr w:type="spellEnd"/>
      <w:r w:rsidR="00137C8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ради.</w:t>
      </w:r>
    </w:p>
    <w:p w:rsidR="004F7E12" w:rsidRPr="00930FAF" w:rsidRDefault="004F7E12" w:rsidP="00930FAF">
      <w:pPr>
        <w:spacing w:after="0" w:line="240" w:lineRule="auto"/>
        <w:contextualSpacing/>
        <w:jc w:val="both"/>
        <w:rPr>
          <w:sz w:val="24"/>
          <w:szCs w:val="24"/>
          <w:lang w:val="uk-UA"/>
        </w:rPr>
      </w:pPr>
    </w:p>
    <w:p w:rsidR="00A3298C" w:rsidRDefault="00A3298C" w:rsidP="00930FAF">
      <w:pPr>
        <w:spacing w:after="0" w:line="240" w:lineRule="auto"/>
        <w:contextualSpacing/>
        <w:jc w:val="both"/>
        <w:rPr>
          <w:lang w:val="uk-UA"/>
        </w:rPr>
      </w:pPr>
    </w:p>
    <w:p w:rsidR="00A3298C" w:rsidRDefault="00A3298C" w:rsidP="00930FAF">
      <w:pPr>
        <w:spacing w:after="0" w:line="240" w:lineRule="auto"/>
        <w:contextualSpacing/>
        <w:jc w:val="both"/>
        <w:rPr>
          <w:lang w:val="uk-UA"/>
        </w:rPr>
        <w:sectPr w:rsidR="00A3298C" w:rsidSect="00A3298C">
          <w:pgSz w:w="11906" w:h="16838"/>
          <w:pgMar w:top="992" w:right="709" w:bottom="1134" w:left="1418" w:header="720" w:footer="720" w:gutter="0"/>
          <w:cols w:space="720"/>
          <w:docGrid w:linePitch="299"/>
        </w:sectPr>
      </w:pPr>
    </w:p>
    <w:p w:rsidR="00A3298C" w:rsidRPr="00A3298C" w:rsidRDefault="00A3298C" w:rsidP="00A3298C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lastRenderedPageBreak/>
        <w:t xml:space="preserve">Додаток 1 </w:t>
      </w:r>
    </w:p>
    <w:p w:rsidR="00A3298C" w:rsidRDefault="00A3298C" w:rsidP="00317CDE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68311C" w:rsidRPr="00A3298C" w:rsidRDefault="0068311C" w:rsidP="0068311C">
      <w:pPr>
        <w:spacing w:after="0" w:line="240" w:lineRule="auto"/>
        <w:ind w:right="255"/>
        <w:contextualSpacing/>
        <w:jc w:val="center"/>
        <w:rPr>
          <w:rFonts w:ascii="Times New Roman" w:eastAsia="Calibri" w:hAnsi="Times New Roman" w:cs="Times New Roman"/>
          <w:b/>
          <w:color w:val="000000"/>
          <w:lang w:val="uk-UA"/>
        </w:rPr>
      </w:pPr>
    </w:p>
    <w:p w:rsidR="00A3298C" w:rsidRPr="00A3298C" w:rsidRDefault="00A3298C" w:rsidP="0068311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Завдання і заходи реалізації</w:t>
      </w:r>
    </w:p>
    <w:p w:rsidR="00366B7B" w:rsidRPr="00366B7B" w:rsidRDefault="00366B7B" w:rsidP="0068311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366B7B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Програми «</w:t>
      </w:r>
      <w:r w:rsidRPr="00366B7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Безпечна </w:t>
      </w:r>
      <w:proofErr w:type="spellStart"/>
      <w:r w:rsidRPr="00366B7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Роздільнянська</w:t>
      </w:r>
      <w:proofErr w:type="spellEnd"/>
      <w:r w:rsidRPr="00366B7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міська територіальна громада» на 2026-2027 роки</w:t>
      </w:r>
    </w:p>
    <w:p w:rsidR="00A3298C" w:rsidRPr="00366B7B" w:rsidRDefault="00A3298C" w:rsidP="00317CD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</w:p>
    <w:tbl>
      <w:tblPr>
        <w:tblStyle w:val="TableGrid1"/>
        <w:tblW w:w="15871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992"/>
        <w:gridCol w:w="1840"/>
        <w:gridCol w:w="849"/>
        <w:gridCol w:w="1272"/>
        <w:gridCol w:w="1418"/>
        <w:gridCol w:w="1134"/>
        <w:gridCol w:w="698"/>
        <w:gridCol w:w="578"/>
        <w:gridCol w:w="399"/>
        <w:gridCol w:w="876"/>
        <w:gridCol w:w="1134"/>
        <w:gridCol w:w="7"/>
        <w:gridCol w:w="1699"/>
        <w:gridCol w:w="851"/>
        <w:gridCol w:w="1277"/>
        <w:gridCol w:w="142"/>
      </w:tblGrid>
      <w:tr w:rsidR="00137B9A" w:rsidRPr="003842A8" w:rsidTr="00576067">
        <w:trPr>
          <w:trHeight w:val="369"/>
          <w:jc w:val="center"/>
        </w:trPr>
        <w:tc>
          <w:tcPr>
            <w:tcW w:w="70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137B9A" w:rsidRPr="00A3298C" w:rsidRDefault="00137B9A" w:rsidP="00137B9A">
            <w:pPr>
              <w:ind w:left="20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№п</w:t>
            </w:r>
          </w:p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137B9A" w:rsidRPr="00A3298C" w:rsidRDefault="00137B9A" w:rsidP="00A3298C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84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137B9A" w:rsidRPr="00A3298C" w:rsidRDefault="00137B9A" w:rsidP="00A3298C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8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Термін</w:t>
            </w:r>
          </w:p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12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137B9A" w:rsidRPr="00A3298C" w:rsidRDefault="00137B9A" w:rsidP="00A3298C">
            <w:pPr>
              <w:ind w:right="5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фінансува</w:t>
            </w:r>
            <w:proofErr w:type="spellEnd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137B9A" w:rsidRPr="00A3298C" w:rsidRDefault="00137B9A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98" w:type="dxa"/>
            <w:tcBorders>
              <w:top w:val="single" w:sz="4" w:space="0" w:color="000001"/>
              <w:left w:val="nil"/>
              <w:bottom w:val="single" w:sz="4" w:space="0" w:color="auto"/>
              <w:right w:val="nil"/>
            </w:tcBorders>
            <w:shd w:val="clear" w:color="auto" w:fill="FFD7D7"/>
          </w:tcPr>
          <w:p w:rsidR="00137B9A" w:rsidRPr="00A3298C" w:rsidRDefault="00137B9A" w:rsidP="00A329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1"/>
              <w:left w:val="nil"/>
              <w:bottom w:val="single" w:sz="4" w:space="0" w:color="auto"/>
              <w:right w:val="nil"/>
            </w:tcBorders>
            <w:shd w:val="clear" w:color="auto" w:fill="FFD7D7"/>
          </w:tcPr>
          <w:p w:rsidR="00137B9A" w:rsidRPr="00A3298C" w:rsidRDefault="00137B9A" w:rsidP="00A329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844" w:type="dxa"/>
            <w:gridSpan w:val="6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137B9A" w:rsidRPr="00A3298C" w:rsidRDefault="00137B9A" w:rsidP="00A3298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Обсяги фінансування по роках, </w:t>
            </w:r>
            <w:proofErr w:type="spellStart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2" w:type="dxa"/>
            <w:tcBorders>
              <w:top w:val="nil"/>
            </w:tcBorders>
            <w:shd w:val="clear" w:color="auto" w:fill="auto"/>
          </w:tcPr>
          <w:p w:rsidR="00137B9A" w:rsidRPr="00A3298C" w:rsidRDefault="00137B9A" w:rsidP="00A3298C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840"/>
          <w:jc w:val="center"/>
        </w:trPr>
        <w:tc>
          <w:tcPr>
            <w:tcW w:w="705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A3298C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A3298C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277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576067" w:rsidRPr="00A3298C" w:rsidTr="00576067">
        <w:trPr>
          <w:gridAfter w:val="1"/>
          <w:wAfter w:w="142" w:type="dxa"/>
          <w:trHeight w:val="138"/>
          <w:jc w:val="center"/>
        </w:trPr>
        <w:tc>
          <w:tcPr>
            <w:tcW w:w="70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137B9A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137B9A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576067" w:rsidRPr="00A3298C" w:rsidRDefault="00576067" w:rsidP="00137B9A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137B9A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576067" w:rsidRPr="003842A8" w:rsidTr="00576067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576067" w:rsidRPr="00A3298C" w:rsidRDefault="004B6F11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</w:t>
            </w:r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одернізація системи відеоспостереження</w:t>
            </w:r>
            <w:r w:rsidRPr="004B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розвиток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проєктів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 «Поліцейський офіцер громади» та «Офіцер-рятувальн</w:t>
            </w:r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lastRenderedPageBreak/>
              <w:t>ик громади»</w:t>
            </w:r>
            <w:r w:rsidRPr="004B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підвищення технічної спроможності підрозділів поліції та ДСНС,  п</w:t>
            </w:r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окращення безпеки дорожнього руху</w:t>
            </w:r>
            <w:r w:rsidRPr="004B6F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, п</w:t>
            </w:r>
            <w:r w:rsidRPr="004B6F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ідвищення рівня готовності до реагування на надзвичайні ситуації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Утримання </w:t>
            </w:r>
            <w:proofErr w:type="spellStart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вулично</w:t>
            </w:r>
            <w:proofErr w:type="spellEnd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-шляхової мережі (Нанесення дорожньої розмітки на об’єктах інфраструктури </w:t>
            </w:r>
            <w:proofErr w:type="spellStart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ОТГ)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 роки</w:t>
            </w:r>
          </w:p>
        </w:tc>
        <w:tc>
          <w:tcPr>
            <w:tcW w:w="1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proofErr w:type="spellStart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B1F1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800,000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400,000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76067" w:rsidRPr="00A3298C" w:rsidRDefault="00576067" w:rsidP="00B65D0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</w:t>
            </w:r>
            <w:r w:rsidRPr="00B65D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ідвищення рівня громадської безпеки та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авопорядку на території громади, </w:t>
            </w:r>
            <w:r w:rsidRPr="00B65D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зменшення кількості правопорушень, дорож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ньо-транспортних пригод і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пожеж, </w:t>
            </w:r>
            <w:r w:rsidRPr="00B65D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скорочення часу реагування правоохоронних і рятувал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ьних служб на надзвичайні події, </w:t>
            </w:r>
            <w:r w:rsidRPr="00B65D08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зміцнення матеріально-технічно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ї бази структур безпеки громади.</w:t>
            </w:r>
          </w:p>
        </w:tc>
      </w:tr>
      <w:tr w:rsidR="00576067" w:rsidRPr="00A3298C" w:rsidTr="00576067">
        <w:trPr>
          <w:gridAfter w:val="1"/>
          <w:wAfter w:w="142" w:type="dxa"/>
          <w:trHeight w:val="692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Послуги  технічного обслуговування локальної мережі та послуги провайдерів за користування інтернетом</w:t>
            </w:r>
          </w:p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proofErr w:type="spellStart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2B1F1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B1F1A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4E4A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2B1F1A" w:rsidRDefault="00576067" w:rsidP="004E4A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2B1F1A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B1F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150,000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CA474D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Поточний ремонт системи відеоспостереження  в </w:t>
            </w:r>
            <w:proofErr w:type="spellStart"/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м.Роздільна</w:t>
            </w:r>
            <w:proofErr w:type="spellEnd"/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Одеської області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CA474D" w:rsidRDefault="00576067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proofErr w:type="spellStart"/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CA474D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A474D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CA474D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CA474D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B74DA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4E4A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CA474D" w:rsidRDefault="00576067" w:rsidP="004E4A7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CA474D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A47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90,000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Створення належних</w:t>
            </w:r>
          </w:p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умов для реалізації проекту </w:t>
            </w:r>
          </w:p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«Поліцейський офіцер громади»</w:t>
            </w:r>
          </w:p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576067" w:rsidRPr="00B65227" w:rsidRDefault="00576067" w:rsidP="00B74DA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2026-202</w:t>
            </w:r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7" w:rsidRPr="00B65227" w:rsidRDefault="00576067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proofErr w:type="spellStart"/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B65227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Міський</w:t>
            </w:r>
            <w:proofErr w:type="spellEnd"/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52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B65227" w:rsidRDefault="00576067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72,000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B65227" w:rsidRDefault="00576067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72,000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72,000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4E4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576067" w:rsidRPr="00B65227" w:rsidRDefault="00576067" w:rsidP="004E4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144,000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576067" w:rsidRPr="00B65227" w:rsidRDefault="00576067" w:rsidP="00A329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65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72,000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76067" w:rsidRPr="00A3298C" w:rsidRDefault="00576067" w:rsidP="00A3298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40147B" w:rsidRPr="00A3298C" w:rsidTr="0040147B">
        <w:trPr>
          <w:gridAfter w:val="1"/>
          <w:wAfter w:w="142" w:type="dxa"/>
          <w:trHeight w:val="281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47B" w:rsidRPr="00A3298C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147B" w:rsidRPr="00A3298C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7B" w:rsidRPr="0040147B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Створення належних умов для реалізації </w:t>
            </w:r>
            <w:proofErr w:type="spellStart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«Офіцер-рятувальник громади», а саме: придбання спеціалізованого автомобіля, паливо-мастильних матеріалів, захисного одягу та каски пожежника, засобів </w:t>
            </w:r>
            <w:proofErr w:type="spellStart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бронезахисту</w:t>
            </w:r>
            <w:proofErr w:type="spellEnd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(бронежилети та шоломи із відповідним ступенем захисту), безпілотних літальних апаратів, радіостанцій, захищених планшетів, </w:t>
            </w:r>
            <w:proofErr w:type="spellStart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боді</w:t>
            </w:r>
            <w:proofErr w:type="spellEnd"/>
            <w:r w:rsidRPr="0040147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-камер, первинних засобів пожежогасіння (вогнегасники приладів радіаційної та хімічної розвідки, медичних укладок"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Pr="0040147B" w:rsidRDefault="0040147B" w:rsidP="004014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>2026-202</w:t>
            </w:r>
            <w:r w:rsidRPr="004014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7B" w:rsidRPr="0040147B" w:rsidRDefault="0040147B" w:rsidP="004014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014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Фінансове управління, </w:t>
            </w:r>
          </w:p>
          <w:p w:rsidR="0040147B" w:rsidRPr="0040147B" w:rsidRDefault="0040147B" w:rsidP="004014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0147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ГУ ДСНС України в Одеській області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Pr="0040147B" w:rsidRDefault="0040147B" w:rsidP="0040147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>Міський</w:t>
            </w:r>
            <w:proofErr w:type="spellEnd"/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147B">
              <w:rPr>
                <w:rFonts w:ascii="Times New Roman" w:eastAsia="Calibri" w:hAnsi="Times New Roman" w:cs="Times New Roman"/>
                <w:sz w:val="20"/>
                <w:szCs w:val="20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0147B" w:rsidRPr="0040147B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0147B" w:rsidRDefault="0040147B" w:rsidP="0040147B">
            <w:pPr>
              <w:jc w:val="center"/>
            </w:pPr>
            <w:r w:rsidRPr="004F1E2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147B" w:rsidRPr="00A3298C" w:rsidRDefault="0040147B" w:rsidP="0040147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576067" w:rsidRPr="00A3298C" w:rsidTr="00576067">
        <w:trPr>
          <w:gridAfter w:val="1"/>
          <w:wAfter w:w="142" w:type="dxa"/>
          <w:trHeight w:val="99"/>
          <w:jc w:val="center"/>
        </w:trPr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79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712,000</w:t>
            </w:r>
          </w:p>
        </w:tc>
        <w:tc>
          <w:tcPr>
            <w:tcW w:w="127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712,000</w:t>
            </w:r>
          </w:p>
        </w:tc>
        <w:tc>
          <w:tcPr>
            <w:tcW w:w="127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712,000</w:t>
            </w:r>
          </w:p>
        </w:tc>
        <w:tc>
          <w:tcPr>
            <w:tcW w:w="11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auto"/>
            </w:tcBorders>
            <w:vAlign w:val="center"/>
          </w:tcPr>
          <w:p w:rsidR="00576067" w:rsidRPr="00A3298C" w:rsidRDefault="00576067" w:rsidP="005760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76067" w:rsidRPr="00A3298C" w:rsidRDefault="00576067" w:rsidP="005760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1424,000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576067" w:rsidRPr="00A3298C" w:rsidRDefault="00576067" w:rsidP="005760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712,000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576067" w:rsidRPr="00A3298C" w:rsidRDefault="00576067" w:rsidP="0057606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lastRenderedPageBreak/>
        <w:t xml:space="preserve">Додаток 2 </w:t>
      </w:r>
    </w:p>
    <w:p w:rsidR="00A3298C" w:rsidRPr="00A3298C" w:rsidRDefault="00A3298C" w:rsidP="00A3298C">
      <w:pPr>
        <w:tabs>
          <w:tab w:val="left" w:pos="14175"/>
        </w:tabs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до Програми</w:t>
      </w:r>
    </w:p>
    <w:p w:rsidR="00A3298C" w:rsidRPr="00A3298C" w:rsidRDefault="00A3298C" w:rsidP="00A3298C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A3298C" w:rsidRPr="00A3298C" w:rsidRDefault="00A3298C" w:rsidP="00A3298C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A3298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ПОКАЗНИКИ РЕЗУЛЬТАТИВНОСТІ </w:t>
      </w:r>
    </w:p>
    <w:p w:rsidR="00A3298C" w:rsidRPr="00A3298C" w:rsidRDefault="00A3298C" w:rsidP="003C5725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           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Програми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«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Безпечна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Роздільнянська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міська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</w:t>
      </w:r>
      <w:proofErr w:type="spellStart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територіальна</w:t>
      </w:r>
      <w:proofErr w:type="spellEnd"/>
      <w:r w:rsidR="003C5725" w:rsidRPr="003C5725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громада» на 2026-2027 роки</w:t>
      </w: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2126"/>
        <w:gridCol w:w="1701"/>
        <w:gridCol w:w="1843"/>
        <w:gridCol w:w="1842"/>
        <w:gridCol w:w="1276"/>
      </w:tblGrid>
      <w:tr w:rsidR="00137B9A" w:rsidRPr="004B6F11" w:rsidTr="00B25912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№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37B9A" w:rsidRPr="004B6F11" w:rsidRDefault="00137B9A" w:rsidP="00A3298C">
            <w:pPr>
              <w:ind w:right="15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Назва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показника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Одиниця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виміру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137B9A" w:rsidRPr="004B6F11" w:rsidRDefault="00137B9A" w:rsidP="00A3298C">
            <w:pPr>
              <w:spacing w:line="253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Вихідні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дані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 xml:space="preserve"> на початок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дії</w:t>
            </w:r>
            <w:proofErr w:type="spellEnd"/>
          </w:p>
          <w:p w:rsidR="00137B9A" w:rsidRPr="004B6F11" w:rsidRDefault="00137B9A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Програми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137B9A" w:rsidRPr="004B6F11" w:rsidRDefault="00137B9A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І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етап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виконання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Програми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І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І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етап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20___ - 20___ 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роки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І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ІІ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етап</w:t>
            </w:r>
            <w:proofErr w:type="spellEnd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20___ - 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 xml:space="preserve"> 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20___ </w:t>
            </w:r>
          </w:p>
          <w:p w:rsidR="00137B9A" w:rsidRPr="004B6F11" w:rsidRDefault="00137B9A" w:rsidP="00A3298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роки</w:t>
            </w:r>
            <w:proofErr w:type="spellEnd"/>
          </w:p>
        </w:tc>
      </w:tr>
      <w:tr w:rsidR="00B25912" w:rsidRPr="004B6F11" w:rsidTr="00576067">
        <w:trPr>
          <w:trHeight w:val="706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B25912" w:rsidRPr="004B6F11" w:rsidRDefault="00B25912" w:rsidP="00137B9A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202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6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рік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202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>7</w:t>
            </w:r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B6F11">
              <w:rPr>
                <w:rFonts w:ascii="Times New Roman" w:eastAsia="Calibri" w:hAnsi="Times New Roman" w:cs="Times New Roman"/>
                <w:b/>
                <w:color w:val="000000"/>
              </w:rPr>
              <w:t>рік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B25912" w:rsidRPr="004B6F11" w:rsidTr="00B25912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5912" w:rsidRPr="004B6F11" w:rsidRDefault="00B25912" w:rsidP="00A3298C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5912" w:rsidRPr="004B6F11" w:rsidRDefault="00B25912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5912" w:rsidRPr="004B6F11" w:rsidRDefault="00B25912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5912" w:rsidRPr="004B6F11" w:rsidRDefault="00B25912" w:rsidP="00A3298C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5912" w:rsidRPr="004B6F11" w:rsidRDefault="00B25912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25912" w:rsidRPr="004B6F11" w:rsidRDefault="00B25912" w:rsidP="00137B9A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25912" w:rsidRPr="004B6F11" w:rsidRDefault="00B25912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B25912" w:rsidRPr="004B6F11" w:rsidRDefault="00B25912" w:rsidP="00A3298C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8</w:t>
            </w:r>
          </w:p>
        </w:tc>
      </w:tr>
    </w:tbl>
    <w:tbl>
      <w:tblPr>
        <w:tblStyle w:val="a6"/>
        <w:tblW w:w="15320" w:type="dxa"/>
        <w:tblInd w:w="-431" w:type="dxa"/>
        <w:tblLook w:val="04A0" w:firstRow="1" w:lastRow="0" w:firstColumn="1" w:lastColumn="0" w:noHBand="0" w:noVBand="1"/>
      </w:tblPr>
      <w:tblGrid>
        <w:gridCol w:w="706"/>
        <w:gridCol w:w="4682"/>
        <w:gridCol w:w="1134"/>
        <w:gridCol w:w="2126"/>
        <w:gridCol w:w="1701"/>
        <w:gridCol w:w="1843"/>
        <w:gridCol w:w="1842"/>
        <w:gridCol w:w="1276"/>
        <w:gridCol w:w="10"/>
      </w:tblGrid>
      <w:tr w:rsidR="00A3298C" w:rsidRPr="004B6F11" w:rsidTr="00A3298C">
        <w:tc>
          <w:tcPr>
            <w:tcW w:w="706" w:type="dxa"/>
          </w:tcPr>
          <w:p w:rsidR="00A3298C" w:rsidRPr="004B6F11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614" w:type="dxa"/>
            <w:gridSpan w:val="8"/>
          </w:tcPr>
          <w:p w:rsidR="00A3298C" w:rsidRPr="004B6F11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І.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 затрат</w:t>
            </w:r>
          </w:p>
        </w:tc>
      </w:tr>
      <w:tr w:rsidR="00B25912" w:rsidRPr="004B6F11" w:rsidTr="0040147B">
        <w:trPr>
          <w:gridAfter w:val="1"/>
          <w:wAfter w:w="10" w:type="dxa"/>
          <w:trHeight w:val="746"/>
        </w:trPr>
        <w:tc>
          <w:tcPr>
            <w:tcW w:w="706" w:type="dxa"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утримання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вулично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-шляхової мережі (Нанесення дорожньої розмітки на об’єктах інфраструктури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Роздільнянської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ОТГ)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DC372C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800000,00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400000,00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400000,00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696"/>
        </w:trPr>
        <w:tc>
          <w:tcPr>
            <w:tcW w:w="706" w:type="dxa"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Обсяг видатків на послуги  технічного обслуговування локальної мережі та послуги провайдерів за користування інтернетом (камери зовнішнього відеоспостереження)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300000,00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150000,00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150000,00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129"/>
        </w:trPr>
        <w:tc>
          <w:tcPr>
            <w:tcW w:w="706" w:type="dxa"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поточний ремонт системи відеоспостереження  в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м.Роздільна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Одеської області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180000,00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90000,00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90000,00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634"/>
        </w:trPr>
        <w:tc>
          <w:tcPr>
            <w:tcW w:w="706" w:type="dxa"/>
            <w:vMerge w:val="restart"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Обсяг видатків на створення належних</w:t>
            </w:r>
          </w:p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умов для реалізації проекту </w:t>
            </w:r>
          </w:p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«Поліцейський офіцер громади», а саме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144000,00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72000,00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72000,00</w:t>
            </w:r>
          </w:p>
        </w:tc>
        <w:tc>
          <w:tcPr>
            <w:tcW w:w="184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81"/>
        </w:trPr>
        <w:tc>
          <w:tcPr>
            <w:tcW w:w="706" w:type="dxa"/>
            <w:vMerge/>
          </w:tcPr>
          <w:p w:rsidR="00B25912" w:rsidRPr="004B6F11" w:rsidRDefault="00B25912" w:rsidP="008D787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оплата електроенергії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8D787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50000,00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50000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25912" w:rsidRPr="004B6F11" w:rsidTr="0040147B">
        <w:trPr>
          <w:gridAfter w:val="1"/>
          <w:wAfter w:w="10" w:type="dxa"/>
          <w:trHeight w:val="64"/>
        </w:trPr>
        <w:tc>
          <w:tcPr>
            <w:tcW w:w="706" w:type="dxa"/>
            <w:vMerge/>
          </w:tcPr>
          <w:p w:rsidR="00B25912" w:rsidRPr="004B6F11" w:rsidRDefault="00B25912" w:rsidP="00076A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оплата водопостачання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4000,00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076A53">
            <w:pPr>
              <w:jc w:val="center"/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2000,00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2000,00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25912" w:rsidRPr="004B6F11" w:rsidTr="0040147B">
        <w:trPr>
          <w:gridAfter w:val="1"/>
          <w:wAfter w:w="10" w:type="dxa"/>
          <w:trHeight w:val="183"/>
        </w:trPr>
        <w:tc>
          <w:tcPr>
            <w:tcW w:w="706" w:type="dxa"/>
            <w:vMerge/>
          </w:tcPr>
          <w:p w:rsidR="00B25912" w:rsidRPr="004B6F11" w:rsidRDefault="00B25912" w:rsidP="00076A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послуги інтернет-провайдерів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20000,00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10000,00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25912" w:rsidRPr="004B6F11" w:rsidTr="0040147B">
        <w:trPr>
          <w:gridAfter w:val="1"/>
          <w:wAfter w:w="10" w:type="dxa"/>
          <w:trHeight w:val="371"/>
        </w:trPr>
        <w:tc>
          <w:tcPr>
            <w:tcW w:w="706" w:type="dxa"/>
            <w:vMerge/>
          </w:tcPr>
          <w:p w:rsidR="00B25912" w:rsidRPr="004B6F11" w:rsidRDefault="00B25912" w:rsidP="00076A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12" w:rsidRPr="004B6F11" w:rsidRDefault="00B25912" w:rsidP="009B7687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послуги охорони приміщення</w:t>
            </w: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20000,00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Calibri" w:hAnsi="Times New Roman" w:cs="Times New Roman"/>
                <w:color w:val="000000"/>
                <w:lang w:val="uk-UA"/>
              </w:rPr>
              <w:t>10000,00</w:t>
            </w:r>
          </w:p>
        </w:tc>
        <w:tc>
          <w:tcPr>
            <w:tcW w:w="184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25912" w:rsidRPr="004B6F11" w:rsidTr="00061FB4">
        <w:trPr>
          <w:gridAfter w:val="1"/>
          <w:wAfter w:w="10" w:type="dxa"/>
          <w:trHeight w:val="150"/>
        </w:trPr>
        <w:tc>
          <w:tcPr>
            <w:tcW w:w="706" w:type="dxa"/>
          </w:tcPr>
          <w:p w:rsidR="00B25912" w:rsidRPr="004B6F11" w:rsidRDefault="00B25912" w:rsidP="00076A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12" w:rsidRPr="004B6F11" w:rsidRDefault="00B25912" w:rsidP="00B65D08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Обсяг видатків на субвенцію з місцевого до державного бюджету на створення належних умов для реалізації 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проєк</w:t>
            </w:r>
            <w:r w:rsidR="00AF2D41" w:rsidRPr="004B6F11">
              <w:rPr>
                <w:rFonts w:ascii="Times New Roman" w:eastAsia="Times New Roman" w:hAnsi="Times New Roman" w:cs="Times New Roman"/>
                <w:lang w:val="uk-UA"/>
              </w:rPr>
              <w:t>ту</w:t>
            </w:r>
            <w:proofErr w:type="spellEnd"/>
            <w:r w:rsidR="00AF2D41"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«Офіцер-рятувальник громади»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076A5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40147B" w:rsidP="004E4A72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40147B" w:rsidP="00076A53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40147B" w:rsidP="00061FB4">
            <w:pPr>
              <w:jc w:val="center"/>
              <w:rPr>
                <w:lang w:val="ru-RU"/>
              </w:rPr>
            </w:pPr>
            <w:r w:rsidRPr="004B6F11">
              <w:rPr>
                <w:lang w:val="ru-RU"/>
              </w:rPr>
              <w:t>0</w:t>
            </w:r>
          </w:p>
        </w:tc>
        <w:tc>
          <w:tcPr>
            <w:tcW w:w="184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40147B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3298C" w:rsidRPr="004B6F11" w:rsidTr="0040147B">
        <w:trPr>
          <w:gridAfter w:val="1"/>
          <w:wAfter w:w="10" w:type="dxa"/>
        </w:trPr>
        <w:tc>
          <w:tcPr>
            <w:tcW w:w="12192" w:type="dxa"/>
            <w:gridSpan w:val="6"/>
          </w:tcPr>
          <w:p w:rsidR="00A3298C" w:rsidRPr="004B6F11" w:rsidRDefault="00A3298C" w:rsidP="00A3298C">
            <w:pPr>
              <w:ind w:right="-393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ІІ.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 продукту</w:t>
            </w:r>
          </w:p>
        </w:tc>
        <w:tc>
          <w:tcPr>
            <w:tcW w:w="3118" w:type="dxa"/>
            <w:gridSpan w:val="2"/>
            <w:vAlign w:val="center"/>
          </w:tcPr>
          <w:p w:rsidR="00A3298C" w:rsidRPr="004B6F11" w:rsidRDefault="00A3298C" w:rsidP="0040147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25912" w:rsidRPr="004B6F11" w:rsidTr="0040147B">
        <w:trPr>
          <w:gridAfter w:val="1"/>
          <w:wAfter w:w="10" w:type="dxa"/>
          <w:trHeight w:val="183"/>
        </w:trPr>
        <w:tc>
          <w:tcPr>
            <w:tcW w:w="706" w:type="dxa"/>
            <w:vMerge w:val="restart"/>
          </w:tcPr>
          <w:p w:rsidR="00B25912" w:rsidRPr="004B6F11" w:rsidRDefault="00B25912" w:rsidP="00CE1A6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CE1A6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Обсяг відновлення горизонтальної дорожньої розмітки 1.1, 1.3, 1.5, 1.6, 1.7, 1.11 (лінія)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11539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11539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11539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40147B">
        <w:trPr>
          <w:gridAfter w:val="1"/>
          <w:wAfter w:w="10" w:type="dxa"/>
          <w:trHeight w:val="393"/>
        </w:trPr>
        <w:tc>
          <w:tcPr>
            <w:tcW w:w="706" w:type="dxa"/>
            <w:vMerge/>
          </w:tcPr>
          <w:p w:rsidR="00B25912" w:rsidRPr="004B6F11" w:rsidRDefault="00B25912" w:rsidP="00CE1A6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CE1A6E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Обсяг відновлення горизонтальної дорожньої розмітки 1.14.1 (пішохідний перехід)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м2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1564,98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1564,98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1564,98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  <w:vAlign w:val="center"/>
          </w:tcPr>
          <w:p w:rsidR="00B25912" w:rsidRPr="004B6F11" w:rsidRDefault="00B25912" w:rsidP="0040147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290"/>
        </w:trPr>
        <w:tc>
          <w:tcPr>
            <w:tcW w:w="706" w:type="dxa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CE1A6E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Кількість камер відеоспостереження, які будуть забезпечені обслуговуванням та доступом до мережі інтернет</w:t>
            </w:r>
          </w:p>
        </w:tc>
        <w:tc>
          <w:tcPr>
            <w:tcW w:w="1134" w:type="dxa"/>
            <w:vAlign w:val="center"/>
          </w:tcPr>
          <w:p w:rsidR="00B25912" w:rsidRPr="004B6F11" w:rsidRDefault="00B25912" w:rsidP="00CE1A6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камера</w:t>
            </w:r>
          </w:p>
        </w:tc>
        <w:tc>
          <w:tcPr>
            <w:tcW w:w="2126" w:type="dxa"/>
            <w:vAlign w:val="center"/>
          </w:tcPr>
          <w:p w:rsidR="00B25912" w:rsidRPr="004B6F11" w:rsidRDefault="00B25912" w:rsidP="00CE1A6E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CE1A6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161"/>
        </w:trPr>
        <w:tc>
          <w:tcPr>
            <w:tcW w:w="706" w:type="dxa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A3298C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Кількість камер відеоспостереження, які будуть відремонтовані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од.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25912" w:rsidRPr="004B6F11" w:rsidRDefault="00B25912" w:rsidP="009B768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701"/>
        </w:trPr>
        <w:tc>
          <w:tcPr>
            <w:tcW w:w="706" w:type="dxa"/>
            <w:vMerge w:val="restart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D15849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Орієнтовний обсяг  споживання електроенергії для забезпечення приміщення дільничних офіцерів громади електроенергією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квт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>*год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8300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4150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413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Орієнтовна кількість споживання холодної води для забезпечення приміщення дільничних офіцерів громади водопостачанням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м3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413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Швидкість передавання та приймання даних для послуг доступу до мережі інтернет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Кбіт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>/с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413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Охорона  об’єкта за допомогою пульта централізованого 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год/добу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F2D41" w:rsidRPr="004B6F11" w:rsidTr="00AF2D41">
        <w:trPr>
          <w:gridAfter w:val="1"/>
          <w:wAfter w:w="10" w:type="dxa"/>
          <w:trHeight w:val="78"/>
        </w:trPr>
        <w:tc>
          <w:tcPr>
            <w:tcW w:w="706" w:type="dxa"/>
            <w:vMerge w:val="restart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AF2D41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Кількість обладнання яка буде придбана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F2D41" w:rsidRPr="004B6F11" w:rsidTr="00DB2539">
        <w:trPr>
          <w:gridAfter w:val="1"/>
          <w:wAfter w:w="10" w:type="dxa"/>
          <w:trHeight w:val="323"/>
        </w:trPr>
        <w:tc>
          <w:tcPr>
            <w:tcW w:w="706" w:type="dxa"/>
            <w:vMerge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AF2D41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Кількість ПММ яка буде придбана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л.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A3298C" w:rsidRPr="004B6F11" w:rsidTr="00B25912">
        <w:trPr>
          <w:gridAfter w:val="1"/>
          <w:wAfter w:w="10" w:type="dxa"/>
        </w:trPr>
        <w:tc>
          <w:tcPr>
            <w:tcW w:w="12192" w:type="dxa"/>
            <w:gridSpan w:val="6"/>
          </w:tcPr>
          <w:p w:rsidR="00A3298C" w:rsidRPr="004B6F11" w:rsidRDefault="00A3298C" w:rsidP="00A3298C">
            <w:pPr>
              <w:ind w:right="-3789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ІІІ.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ефективності</w:t>
            </w:r>
            <w:proofErr w:type="spellEnd"/>
          </w:p>
        </w:tc>
        <w:tc>
          <w:tcPr>
            <w:tcW w:w="3118" w:type="dxa"/>
            <w:gridSpan w:val="2"/>
          </w:tcPr>
          <w:p w:rsidR="00A3298C" w:rsidRPr="004B6F11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25912" w:rsidRPr="004B6F11" w:rsidTr="00B25912">
        <w:trPr>
          <w:gridAfter w:val="1"/>
          <w:wAfter w:w="10" w:type="dxa"/>
          <w:trHeight w:val="81"/>
        </w:trPr>
        <w:tc>
          <w:tcPr>
            <w:tcW w:w="706" w:type="dxa"/>
            <w:vMerge w:val="restart"/>
          </w:tcPr>
          <w:p w:rsidR="00B25912" w:rsidRPr="004B6F11" w:rsidRDefault="00B25912" w:rsidP="007A73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7A738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 відновлення 1-го метру горизонтальної дорожньої розмітки 1.1, 1.3, 1.5, 1.6, 1.7, 1.11 (лінія)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12,28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7A738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12,28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12,28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161"/>
        </w:trPr>
        <w:tc>
          <w:tcPr>
            <w:tcW w:w="706" w:type="dxa"/>
            <w:vMerge/>
          </w:tcPr>
          <w:p w:rsidR="00B25912" w:rsidRPr="004B6F11" w:rsidRDefault="00B25912" w:rsidP="007A73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7A7386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 відновлення 1-го м2 горизонтальної дорожньої розмітки 1.14.1 (пішохідний перехід)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7A7386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165,05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165,05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118"/>
        </w:trPr>
        <w:tc>
          <w:tcPr>
            <w:tcW w:w="706" w:type="dxa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утримання та забезпечення інтернетом 1-го комплекту обладнання камер відеоспостереження на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3000,00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3000,00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92"/>
        </w:trPr>
        <w:tc>
          <w:tcPr>
            <w:tcW w:w="706" w:type="dxa"/>
          </w:tcPr>
          <w:p w:rsidR="00B25912" w:rsidRPr="004B6F11" w:rsidRDefault="00B25912" w:rsidP="007A738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7A7386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 на проведення поточного ремонту 1-ї камери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7A7386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  <w:trHeight w:val="53"/>
        </w:trPr>
        <w:tc>
          <w:tcPr>
            <w:tcW w:w="706" w:type="dxa"/>
            <w:vMerge w:val="restart"/>
            <w:vAlign w:val="center"/>
          </w:tcPr>
          <w:p w:rsidR="00B25912" w:rsidRPr="004B6F11" w:rsidRDefault="00B25912" w:rsidP="003F26A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B5401D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оплату електроенергії на місяць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5912" w:rsidRPr="004B6F11" w:rsidRDefault="00B25912" w:rsidP="00B5401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4166,67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4166,67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B5401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912" w:rsidRPr="004B6F11" w:rsidRDefault="00B25912" w:rsidP="00B5401D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182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оплату водопостачання на місяць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166,67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166,67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B25912">
        <w:trPr>
          <w:gridAfter w:val="1"/>
          <w:wAfter w:w="10" w:type="dxa"/>
          <w:trHeight w:val="269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Середні витрати на забезпечення  доступом до мережі інтернет приміщення для здійснення </w:t>
            </w:r>
            <w:r w:rsidRPr="004B6F1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службової діяльності поліцейськими офіцерами громади, на місяць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F5D8A" w:rsidRPr="004B6F11" w:rsidTr="00DB2539">
        <w:trPr>
          <w:gridAfter w:val="1"/>
          <w:wAfter w:w="10" w:type="dxa"/>
          <w:trHeight w:val="561"/>
        </w:trPr>
        <w:tc>
          <w:tcPr>
            <w:tcW w:w="706" w:type="dxa"/>
            <w:vMerge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забезпечення  спостереження об’єкта за допомогою пульта централізованого спостереження,  на місяць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833,33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</w:rPr>
            </w:pPr>
            <w:r w:rsidRPr="004B6F11">
              <w:rPr>
                <w:rFonts w:ascii="Times New Roman" w:hAnsi="Times New Roman" w:cs="Times New Roman"/>
              </w:rPr>
              <w:t>833,33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F2D41" w:rsidRPr="004B6F11" w:rsidTr="00AF2D41">
        <w:trPr>
          <w:gridAfter w:val="1"/>
          <w:wAfter w:w="10" w:type="dxa"/>
          <w:trHeight w:val="274"/>
        </w:trPr>
        <w:tc>
          <w:tcPr>
            <w:tcW w:w="706" w:type="dxa"/>
            <w:vMerge w:val="restart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AF2D41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обладнання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F2D41" w:rsidRPr="004B6F11" w:rsidTr="00AF2D41">
        <w:trPr>
          <w:gridAfter w:val="1"/>
          <w:wAfter w:w="10" w:type="dxa"/>
          <w:trHeight w:val="410"/>
        </w:trPr>
        <w:tc>
          <w:tcPr>
            <w:tcW w:w="706" w:type="dxa"/>
            <w:vMerge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Середні витрати на придбання 1-го обладнання, 1-го літру ПММ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AF2D41" w:rsidRPr="004B6F11" w:rsidRDefault="00AF2D41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F2D41" w:rsidRPr="004B6F11" w:rsidRDefault="00AF2D41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A3298C" w:rsidRPr="004B6F11" w:rsidTr="00B25912">
        <w:trPr>
          <w:gridAfter w:val="1"/>
          <w:wAfter w:w="10" w:type="dxa"/>
        </w:trPr>
        <w:tc>
          <w:tcPr>
            <w:tcW w:w="12192" w:type="dxa"/>
            <w:gridSpan w:val="6"/>
          </w:tcPr>
          <w:p w:rsidR="00A3298C" w:rsidRPr="004B6F11" w:rsidRDefault="00A3298C" w:rsidP="00A3298C">
            <w:pPr>
              <w:ind w:right="-3364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6F11">
              <w:rPr>
                <w:rFonts w:ascii="Times New Roman" w:hAnsi="Times New Roman" w:cs="Times New Roman"/>
                <w:b/>
                <w:lang w:val="ru-RU"/>
              </w:rPr>
              <w:t>І</w:t>
            </w:r>
            <w:r w:rsidRPr="004B6F11">
              <w:rPr>
                <w:rFonts w:ascii="Times New Roman" w:hAnsi="Times New Roman" w:cs="Times New Roman"/>
                <w:b/>
              </w:rPr>
              <w:t>V</w:t>
            </w:r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4B6F1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4B6F11">
              <w:rPr>
                <w:rFonts w:ascii="Times New Roman" w:hAnsi="Times New Roman" w:cs="Times New Roman"/>
                <w:b/>
                <w:lang w:val="ru-RU"/>
              </w:rPr>
              <w:t>якості</w:t>
            </w:r>
            <w:proofErr w:type="spellEnd"/>
          </w:p>
        </w:tc>
        <w:tc>
          <w:tcPr>
            <w:tcW w:w="3118" w:type="dxa"/>
            <w:gridSpan w:val="2"/>
          </w:tcPr>
          <w:p w:rsidR="00A3298C" w:rsidRPr="004B6F11" w:rsidRDefault="00A3298C" w:rsidP="00A3298C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B25912" w:rsidRPr="004B6F11" w:rsidTr="00B25912">
        <w:trPr>
          <w:gridAfter w:val="1"/>
          <w:wAfter w:w="10" w:type="dxa"/>
        </w:trPr>
        <w:tc>
          <w:tcPr>
            <w:tcW w:w="706" w:type="dxa"/>
          </w:tcPr>
          <w:p w:rsidR="00B25912" w:rsidRPr="004B6F11" w:rsidRDefault="00B25912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82" w:type="dxa"/>
            <w:vAlign w:val="center"/>
          </w:tcPr>
          <w:p w:rsidR="00B25912" w:rsidRPr="004B6F11" w:rsidRDefault="00B25912" w:rsidP="00DC372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proofErr w:type="spellStart"/>
            <w:r w:rsidRPr="004B6F11">
              <w:rPr>
                <w:rFonts w:ascii="Times New Roman" w:eastAsia="Times New Roman" w:hAnsi="Times New Roman" w:cs="Times New Roman"/>
                <w:lang w:val="uk-UA"/>
              </w:rPr>
              <w:t>абезпечення</w:t>
            </w:r>
            <w:proofErr w:type="spellEnd"/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візуального орієнтування водіїв під час вибору напрямку й режимів руху за різних дорожніх умов, позначення ділянок для перетину проїзної частини пішоходами.</w:t>
            </w:r>
          </w:p>
        </w:tc>
        <w:tc>
          <w:tcPr>
            <w:tcW w:w="1134" w:type="dxa"/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B25912" w:rsidRPr="004B6F11" w:rsidTr="00B25912">
        <w:trPr>
          <w:gridAfter w:val="1"/>
          <w:wAfter w:w="10" w:type="dxa"/>
        </w:trPr>
        <w:tc>
          <w:tcPr>
            <w:tcW w:w="706" w:type="dxa"/>
          </w:tcPr>
          <w:p w:rsidR="00B25912" w:rsidRPr="004B6F11" w:rsidRDefault="00B25912" w:rsidP="00EB396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5912" w:rsidRPr="004B6F11" w:rsidRDefault="00B25912" w:rsidP="00EB3961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 Підтримання постійної працездатності камер відеоспостереження (24/7) у місті Роздільна шляхом їх технічного обслуговування та надання доступу до мережі Інтернет.</w:t>
            </w:r>
          </w:p>
        </w:tc>
        <w:tc>
          <w:tcPr>
            <w:tcW w:w="1134" w:type="dxa"/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5912" w:rsidRPr="004B6F11" w:rsidRDefault="00B25912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25912" w:rsidRPr="004B6F11" w:rsidRDefault="00B25912" w:rsidP="00EB3961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6245B" w:rsidRPr="004B6F11" w:rsidTr="00B25912">
        <w:trPr>
          <w:gridAfter w:val="1"/>
          <w:wAfter w:w="10" w:type="dxa"/>
          <w:trHeight w:val="759"/>
        </w:trPr>
        <w:tc>
          <w:tcPr>
            <w:tcW w:w="706" w:type="dxa"/>
            <w:vMerge w:val="restart"/>
          </w:tcPr>
          <w:p w:rsidR="0006245B" w:rsidRPr="004B6F11" w:rsidRDefault="0006245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3</w:t>
            </w:r>
          </w:p>
          <w:p w:rsidR="0006245B" w:rsidRPr="004B6F11" w:rsidRDefault="0006245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vAlign w:val="center"/>
          </w:tcPr>
          <w:p w:rsidR="0006245B" w:rsidRPr="004B6F11" w:rsidRDefault="0006245B" w:rsidP="00A3298C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Відсоток відремонтованих камер відеоспостереження, відносно загальної кількості</w:t>
            </w:r>
          </w:p>
        </w:tc>
        <w:tc>
          <w:tcPr>
            <w:tcW w:w="1134" w:type="dxa"/>
            <w:vMerge w:val="restart"/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EB3961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137B9A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6245B" w:rsidRPr="004B6F11" w:rsidTr="00B25912">
        <w:trPr>
          <w:gridAfter w:val="1"/>
          <w:wAfter w:w="10" w:type="dxa"/>
          <w:trHeight w:val="341"/>
        </w:trPr>
        <w:tc>
          <w:tcPr>
            <w:tcW w:w="706" w:type="dxa"/>
            <w:vMerge/>
          </w:tcPr>
          <w:p w:rsidR="0006245B" w:rsidRPr="004B6F11" w:rsidRDefault="0006245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82" w:type="dxa"/>
            <w:vAlign w:val="center"/>
          </w:tcPr>
          <w:p w:rsidR="0006245B" w:rsidRPr="004B6F11" w:rsidRDefault="0006245B" w:rsidP="00795B78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 xml:space="preserve">Відсоток розкриття, за допомогою записів з камер відеоспостереження, злочинів по «гарячих слідах» </w:t>
            </w:r>
          </w:p>
        </w:tc>
        <w:tc>
          <w:tcPr>
            <w:tcW w:w="1134" w:type="dxa"/>
            <w:vMerge/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6245B" w:rsidRPr="004B6F11" w:rsidRDefault="0006245B" w:rsidP="00DC372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9,74</w:t>
            </w:r>
          </w:p>
        </w:tc>
        <w:tc>
          <w:tcPr>
            <w:tcW w:w="1701" w:type="dxa"/>
            <w:vAlign w:val="center"/>
          </w:tcPr>
          <w:p w:rsidR="0006245B" w:rsidRPr="004B6F11" w:rsidRDefault="0006245B" w:rsidP="00DC372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4,87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6245B" w:rsidRPr="004B6F11" w:rsidRDefault="0006245B" w:rsidP="00137B9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4,87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06245B" w:rsidRPr="004B6F11" w:rsidTr="00B25912">
        <w:trPr>
          <w:gridAfter w:val="1"/>
          <w:wAfter w:w="10" w:type="dxa"/>
          <w:trHeight w:val="341"/>
        </w:trPr>
        <w:tc>
          <w:tcPr>
            <w:tcW w:w="706" w:type="dxa"/>
          </w:tcPr>
          <w:p w:rsidR="0006245B" w:rsidRPr="004B6F11" w:rsidRDefault="0006245B" w:rsidP="00A32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682" w:type="dxa"/>
            <w:vAlign w:val="center"/>
          </w:tcPr>
          <w:p w:rsidR="0006245B" w:rsidRPr="004B6F11" w:rsidRDefault="0006245B" w:rsidP="0006245B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Забезпечення постійної присутності поліцейських офіцерів громади на території обслуговування та своєчасне надання поліцейських послуг населенню</w:t>
            </w:r>
          </w:p>
        </w:tc>
        <w:tc>
          <w:tcPr>
            <w:tcW w:w="1134" w:type="dxa"/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06245B" w:rsidRPr="004B6F11" w:rsidRDefault="0006245B" w:rsidP="00DC372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06245B" w:rsidRPr="004B6F11" w:rsidRDefault="0006245B" w:rsidP="00DC372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6245B" w:rsidRPr="004B6F11" w:rsidRDefault="0006245B" w:rsidP="00137B9A">
            <w:pPr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45B" w:rsidRPr="004B6F11" w:rsidRDefault="0006245B" w:rsidP="00A3298C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F5D8A" w:rsidRPr="004B6F11" w:rsidTr="00AF2D41">
        <w:trPr>
          <w:gridAfter w:val="1"/>
          <w:wAfter w:w="10" w:type="dxa"/>
          <w:trHeight w:val="56"/>
        </w:trPr>
        <w:tc>
          <w:tcPr>
            <w:tcW w:w="706" w:type="dxa"/>
          </w:tcPr>
          <w:p w:rsidR="00BF5D8A" w:rsidRPr="004B6F11" w:rsidRDefault="00BF5D8A" w:rsidP="00BF5D8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B6F11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682" w:type="dxa"/>
            <w:vAlign w:val="center"/>
          </w:tcPr>
          <w:p w:rsidR="00BF5D8A" w:rsidRPr="004B6F11" w:rsidRDefault="00BF5D8A" w:rsidP="00BF5D8A">
            <w:pPr>
              <w:contextualSpacing/>
              <w:jc w:val="both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Забезпечення постійної присутності офіцера-рятувальника громади на території обслуговування та своєчасне надання послуг населенню</w:t>
            </w:r>
          </w:p>
        </w:tc>
        <w:tc>
          <w:tcPr>
            <w:tcW w:w="1134" w:type="dxa"/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%</w:t>
            </w:r>
          </w:p>
        </w:tc>
        <w:tc>
          <w:tcPr>
            <w:tcW w:w="2126" w:type="dxa"/>
            <w:vAlign w:val="center"/>
          </w:tcPr>
          <w:p w:rsidR="00BF5D8A" w:rsidRPr="004B6F11" w:rsidRDefault="00850582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vAlign w:val="center"/>
          </w:tcPr>
          <w:p w:rsidR="00BF5D8A" w:rsidRPr="004B6F11" w:rsidRDefault="00850582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F5D8A" w:rsidRPr="004B6F11" w:rsidRDefault="00850582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5D8A" w:rsidRPr="004B6F11" w:rsidRDefault="00BF5D8A" w:rsidP="00BF5D8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B6F11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</w:tbl>
    <w:p w:rsidR="00A3298C" w:rsidRPr="00A3298C" w:rsidRDefault="00A3298C" w:rsidP="00A3298C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  <w:sectPr w:rsidR="00A3298C" w:rsidRPr="00A3298C" w:rsidSect="002E4AD6">
          <w:pgSz w:w="16838" w:h="11906" w:orient="landscape"/>
          <w:pgMar w:top="1701" w:right="1134" w:bottom="567" w:left="992" w:header="720" w:footer="720" w:gutter="0"/>
          <w:cols w:space="720"/>
          <w:docGrid w:linePitch="299"/>
        </w:sectPr>
      </w:pPr>
    </w:p>
    <w:p w:rsidR="00A3298C" w:rsidRPr="00A3298C" w:rsidRDefault="00A3298C" w:rsidP="00A3298C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lastRenderedPageBreak/>
        <w:t>Додаток 3</w:t>
      </w:r>
    </w:p>
    <w:p w:rsidR="00A3298C" w:rsidRPr="00A3298C" w:rsidRDefault="00A3298C" w:rsidP="00A3298C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до Програми  </w:t>
      </w:r>
    </w:p>
    <w:p w:rsidR="00A3298C" w:rsidRPr="00A3298C" w:rsidRDefault="00A3298C" w:rsidP="00A3298C">
      <w:pPr>
        <w:spacing w:after="0" w:line="240" w:lineRule="auto"/>
        <w:ind w:right="217"/>
        <w:contextualSpacing/>
        <w:rPr>
          <w:rFonts w:ascii="Calibri" w:eastAsia="Calibri" w:hAnsi="Calibri" w:cs="Calibri"/>
          <w:b/>
          <w:color w:val="00000A"/>
          <w:lang w:val="uk-UA"/>
        </w:rPr>
      </w:pPr>
    </w:p>
    <w:p w:rsidR="00A3298C" w:rsidRPr="00A3298C" w:rsidRDefault="00A3298C" w:rsidP="00A3298C">
      <w:pPr>
        <w:keepNext/>
        <w:keepLines/>
        <w:spacing w:after="0" w:line="240" w:lineRule="auto"/>
        <w:ind w:right="537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Ресурсне забезпечення </w:t>
      </w:r>
    </w:p>
    <w:p w:rsidR="003C5725" w:rsidRDefault="003C5725" w:rsidP="00317CDE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</w:pPr>
      <w:r w:rsidRPr="003C5725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Програми «Безпечна </w:t>
      </w:r>
      <w:proofErr w:type="spellStart"/>
      <w:r w:rsidRPr="003C5725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>Роздільнянська</w:t>
      </w:r>
      <w:proofErr w:type="spellEnd"/>
      <w:r w:rsidRPr="003C5725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 міська територіальна громада»</w:t>
      </w:r>
    </w:p>
    <w:p w:rsidR="00A3298C" w:rsidRPr="00A3298C" w:rsidRDefault="003C5725" w:rsidP="00317CDE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  <w:lang w:val="ru-RU"/>
        </w:rPr>
      </w:pPr>
      <w:r w:rsidRPr="003C5725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 на 2026-2027 роки</w:t>
      </w:r>
    </w:p>
    <w:tbl>
      <w:tblPr>
        <w:tblStyle w:val="TableGrid2"/>
        <w:tblpPr w:vertAnchor="page" w:horzAnchor="margin" w:tblpY="3133"/>
        <w:tblOverlap w:val="never"/>
        <w:tblW w:w="10201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2076"/>
        <w:gridCol w:w="1701"/>
        <w:gridCol w:w="1559"/>
        <w:gridCol w:w="1418"/>
        <w:gridCol w:w="1417"/>
      </w:tblGrid>
      <w:tr w:rsidR="007E242D" w:rsidRPr="003842A8" w:rsidTr="007E242D">
        <w:trPr>
          <w:trHeight w:val="397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6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витрат на виконання Програми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7E242D" w:rsidRPr="00A3298C" w:rsidTr="007E242D">
        <w:trPr>
          <w:trHeight w:val="172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E242D" w:rsidRPr="00A3298C" w:rsidTr="007E242D">
        <w:trPr>
          <w:trHeight w:val="284"/>
        </w:trPr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242D" w:rsidRPr="00A3298C" w:rsidTr="007E242D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</w:tr>
      <w:tr w:rsidR="007E242D" w:rsidRPr="00A3298C" w:rsidTr="007E242D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Обсяг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грн.,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42D" w:rsidRPr="003C5725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712000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1424000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7E242D" w:rsidRPr="00A3298C" w:rsidTr="007E242D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Державний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7E242D" w:rsidRPr="00A3298C" w:rsidTr="007E242D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Обласний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7E242D" w:rsidRPr="00A3298C" w:rsidTr="007E242D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Роздільнянської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712000,00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1424000,00</w:t>
            </w:r>
          </w:p>
        </w:tc>
      </w:tr>
      <w:tr w:rsidR="007E242D" w:rsidRPr="00A3298C" w:rsidTr="007E242D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джерела</w:t>
            </w:r>
            <w:proofErr w:type="spell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7E242D" w:rsidRPr="00A3298C" w:rsidTr="007E242D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712000,00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7E242D" w:rsidRPr="00A3298C" w:rsidRDefault="007E242D" w:rsidP="007E242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C5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1424000,00</w:t>
            </w:r>
          </w:p>
        </w:tc>
      </w:tr>
    </w:tbl>
    <w:p w:rsidR="00A3298C" w:rsidRPr="003B036E" w:rsidRDefault="00A3298C" w:rsidP="007E242D">
      <w:pPr>
        <w:spacing w:after="0" w:line="240" w:lineRule="auto"/>
        <w:contextualSpacing/>
        <w:jc w:val="both"/>
        <w:rPr>
          <w:lang w:val="uk-UA"/>
        </w:rPr>
      </w:pPr>
    </w:p>
    <w:sectPr w:rsidR="00A3298C" w:rsidRPr="003B036E" w:rsidSect="00E638F0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CF1"/>
    <w:multiLevelType w:val="multilevel"/>
    <w:tmpl w:val="6310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4037"/>
    <w:multiLevelType w:val="multilevel"/>
    <w:tmpl w:val="5CFC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A0E9B"/>
    <w:multiLevelType w:val="multilevel"/>
    <w:tmpl w:val="E892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07F28"/>
    <w:multiLevelType w:val="hybridMultilevel"/>
    <w:tmpl w:val="FCAAA7A8"/>
    <w:lvl w:ilvl="0" w:tplc="767CF480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3251E4">
      <w:start w:val="1"/>
      <w:numFmt w:val="bullet"/>
      <w:lvlText w:val="o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00FBE8">
      <w:start w:val="1"/>
      <w:numFmt w:val="bullet"/>
      <w:lvlText w:val="▪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0007C04">
      <w:start w:val="1"/>
      <w:numFmt w:val="bullet"/>
      <w:lvlText w:val="•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CCFD74">
      <w:start w:val="1"/>
      <w:numFmt w:val="bullet"/>
      <w:lvlText w:val="o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D40042">
      <w:start w:val="1"/>
      <w:numFmt w:val="bullet"/>
      <w:lvlText w:val="▪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3012A8">
      <w:start w:val="1"/>
      <w:numFmt w:val="bullet"/>
      <w:lvlText w:val="•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DEF1E6">
      <w:start w:val="1"/>
      <w:numFmt w:val="bullet"/>
      <w:lvlText w:val="o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7659F4">
      <w:start w:val="1"/>
      <w:numFmt w:val="bullet"/>
      <w:lvlText w:val="▪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C2CB8"/>
    <w:multiLevelType w:val="hybridMultilevel"/>
    <w:tmpl w:val="8D4E86C6"/>
    <w:lvl w:ilvl="0" w:tplc="E72652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29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765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AD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61A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A0F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A5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0A1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E18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354412"/>
    <w:multiLevelType w:val="multilevel"/>
    <w:tmpl w:val="4F5A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473FA"/>
    <w:multiLevelType w:val="hybridMultilevel"/>
    <w:tmpl w:val="7D7A3EDE"/>
    <w:lvl w:ilvl="0" w:tplc="3A7037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D060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947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42A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28AA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C0C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4E4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4076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237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FF70F4"/>
    <w:multiLevelType w:val="multilevel"/>
    <w:tmpl w:val="1B92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6192C"/>
    <w:multiLevelType w:val="multilevel"/>
    <w:tmpl w:val="D978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222B3"/>
    <w:multiLevelType w:val="multilevel"/>
    <w:tmpl w:val="C60E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67573"/>
    <w:multiLevelType w:val="multilevel"/>
    <w:tmpl w:val="F77E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670CC"/>
    <w:multiLevelType w:val="hybridMultilevel"/>
    <w:tmpl w:val="2B94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738C1"/>
    <w:multiLevelType w:val="multilevel"/>
    <w:tmpl w:val="E7F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AC6627"/>
    <w:multiLevelType w:val="multilevel"/>
    <w:tmpl w:val="40CE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B1791"/>
    <w:multiLevelType w:val="hybridMultilevel"/>
    <w:tmpl w:val="B436024C"/>
    <w:lvl w:ilvl="0" w:tplc="639274F6">
      <w:start w:val="1"/>
      <w:numFmt w:val="bullet"/>
      <w:lvlText w:val=""/>
      <w:lvlJc w:val="left"/>
      <w:pPr>
        <w:ind w:left="1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699A4">
      <w:start w:val="1"/>
      <w:numFmt w:val="bullet"/>
      <w:lvlText w:val="o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D045E2">
      <w:start w:val="1"/>
      <w:numFmt w:val="bullet"/>
      <w:lvlText w:val="▪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8D896">
      <w:start w:val="1"/>
      <w:numFmt w:val="bullet"/>
      <w:lvlText w:val="•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2B640">
      <w:start w:val="1"/>
      <w:numFmt w:val="bullet"/>
      <w:lvlText w:val="o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6FC26">
      <w:start w:val="1"/>
      <w:numFmt w:val="bullet"/>
      <w:lvlText w:val="▪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CE156">
      <w:start w:val="1"/>
      <w:numFmt w:val="bullet"/>
      <w:lvlText w:val="•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66B12">
      <w:start w:val="1"/>
      <w:numFmt w:val="bullet"/>
      <w:lvlText w:val="o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4F8D8">
      <w:start w:val="1"/>
      <w:numFmt w:val="bullet"/>
      <w:lvlText w:val="▪"/>
      <w:lvlJc w:val="left"/>
      <w:pPr>
        <w:ind w:left="69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904B77"/>
    <w:multiLevelType w:val="hybridMultilevel"/>
    <w:tmpl w:val="E362BFEA"/>
    <w:lvl w:ilvl="0" w:tplc="E6CE18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03BB5"/>
    <w:multiLevelType w:val="multilevel"/>
    <w:tmpl w:val="7902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66013"/>
    <w:multiLevelType w:val="hybridMultilevel"/>
    <w:tmpl w:val="F73A0D4C"/>
    <w:lvl w:ilvl="0" w:tplc="698A2F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49FA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D6330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DE9B1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64670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7C441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028B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CE6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827BC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24606E"/>
    <w:multiLevelType w:val="multilevel"/>
    <w:tmpl w:val="4512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9010BC"/>
    <w:multiLevelType w:val="hybridMultilevel"/>
    <w:tmpl w:val="88244470"/>
    <w:lvl w:ilvl="0" w:tplc="F4C005D2">
      <w:start w:val="2026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602127E9"/>
    <w:multiLevelType w:val="multilevel"/>
    <w:tmpl w:val="B666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2A0058"/>
    <w:multiLevelType w:val="multilevel"/>
    <w:tmpl w:val="CDB4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44641"/>
    <w:multiLevelType w:val="multilevel"/>
    <w:tmpl w:val="C278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587E21"/>
    <w:multiLevelType w:val="multilevel"/>
    <w:tmpl w:val="113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CD6D54"/>
    <w:multiLevelType w:val="multilevel"/>
    <w:tmpl w:val="F8D0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4316CC"/>
    <w:multiLevelType w:val="multilevel"/>
    <w:tmpl w:val="6FB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61A8A"/>
    <w:multiLevelType w:val="multilevel"/>
    <w:tmpl w:val="CD0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AD01DF"/>
    <w:multiLevelType w:val="multilevel"/>
    <w:tmpl w:val="E4E0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264D9"/>
    <w:multiLevelType w:val="multilevel"/>
    <w:tmpl w:val="44E6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3"/>
  </w:num>
  <w:num w:numId="3">
    <w:abstractNumId w:val="28"/>
  </w:num>
  <w:num w:numId="4">
    <w:abstractNumId w:val="8"/>
  </w:num>
  <w:num w:numId="5">
    <w:abstractNumId w:val="22"/>
  </w:num>
  <w:num w:numId="6">
    <w:abstractNumId w:val="1"/>
  </w:num>
  <w:num w:numId="7">
    <w:abstractNumId w:val="25"/>
  </w:num>
  <w:num w:numId="8">
    <w:abstractNumId w:val="21"/>
  </w:num>
  <w:num w:numId="9">
    <w:abstractNumId w:val="2"/>
  </w:num>
  <w:num w:numId="10">
    <w:abstractNumId w:val="9"/>
  </w:num>
  <w:num w:numId="11">
    <w:abstractNumId w:val="3"/>
  </w:num>
  <w:num w:numId="12">
    <w:abstractNumId w:val="19"/>
  </w:num>
  <w:num w:numId="13">
    <w:abstractNumId w:val="6"/>
  </w:num>
  <w:num w:numId="14">
    <w:abstractNumId w:val="4"/>
  </w:num>
  <w:num w:numId="15">
    <w:abstractNumId w:val="14"/>
  </w:num>
  <w:num w:numId="16">
    <w:abstractNumId w:val="11"/>
  </w:num>
  <w:num w:numId="17">
    <w:abstractNumId w:val="17"/>
  </w:num>
  <w:num w:numId="18">
    <w:abstractNumId w:val="10"/>
  </w:num>
  <w:num w:numId="19">
    <w:abstractNumId w:val="13"/>
  </w:num>
  <w:num w:numId="20">
    <w:abstractNumId w:val="26"/>
  </w:num>
  <w:num w:numId="21">
    <w:abstractNumId w:val="27"/>
  </w:num>
  <w:num w:numId="22">
    <w:abstractNumId w:val="12"/>
  </w:num>
  <w:num w:numId="23">
    <w:abstractNumId w:val="24"/>
  </w:num>
  <w:num w:numId="24">
    <w:abstractNumId w:val="7"/>
  </w:num>
  <w:num w:numId="25">
    <w:abstractNumId w:val="18"/>
  </w:num>
  <w:num w:numId="26">
    <w:abstractNumId w:val="16"/>
  </w:num>
  <w:num w:numId="27">
    <w:abstractNumId w:val="5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2A"/>
    <w:rsid w:val="00007E87"/>
    <w:rsid w:val="00012B69"/>
    <w:rsid w:val="000213CF"/>
    <w:rsid w:val="00031884"/>
    <w:rsid w:val="00051133"/>
    <w:rsid w:val="00061FB4"/>
    <w:rsid w:val="0006245B"/>
    <w:rsid w:val="00076A53"/>
    <w:rsid w:val="00080937"/>
    <w:rsid w:val="000A00D4"/>
    <w:rsid w:val="000C2EA6"/>
    <w:rsid w:val="000C6A5F"/>
    <w:rsid w:val="000E11C4"/>
    <w:rsid w:val="000E683F"/>
    <w:rsid w:val="000F4D06"/>
    <w:rsid w:val="00111FFA"/>
    <w:rsid w:val="00137B9A"/>
    <w:rsid w:val="00137C85"/>
    <w:rsid w:val="001414BD"/>
    <w:rsid w:val="001A15FD"/>
    <w:rsid w:val="001B075B"/>
    <w:rsid w:val="001B76C1"/>
    <w:rsid w:val="00246F18"/>
    <w:rsid w:val="00257320"/>
    <w:rsid w:val="0028222C"/>
    <w:rsid w:val="00295C04"/>
    <w:rsid w:val="002B1F1A"/>
    <w:rsid w:val="002E4AD6"/>
    <w:rsid w:val="00304D53"/>
    <w:rsid w:val="00317CDE"/>
    <w:rsid w:val="003648E9"/>
    <w:rsid w:val="00366B7B"/>
    <w:rsid w:val="003842A8"/>
    <w:rsid w:val="0038488A"/>
    <w:rsid w:val="00397C0D"/>
    <w:rsid w:val="003B036E"/>
    <w:rsid w:val="003C5725"/>
    <w:rsid w:val="003E31E9"/>
    <w:rsid w:val="003F26A6"/>
    <w:rsid w:val="0040147B"/>
    <w:rsid w:val="00454B10"/>
    <w:rsid w:val="00481D6D"/>
    <w:rsid w:val="004B08C3"/>
    <w:rsid w:val="004B1C45"/>
    <w:rsid w:val="004B6F11"/>
    <w:rsid w:val="004E2ADF"/>
    <w:rsid w:val="004E4A72"/>
    <w:rsid w:val="004F7E12"/>
    <w:rsid w:val="00517381"/>
    <w:rsid w:val="00572C1B"/>
    <w:rsid w:val="00576067"/>
    <w:rsid w:val="005E270B"/>
    <w:rsid w:val="005F6BC4"/>
    <w:rsid w:val="005F7F26"/>
    <w:rsid w:val="0068311C"/>
    <w:rsid w:val="00694143"/>
    <w:rsid w:val="006B3862"/>
    <w:rsid w:val="00740BFD"/>
    <w:rsid w:val="00744405"/>
    <w:rsid w:val="00795B78"/>
    <w:rsid w:val="007A7386"/>
    <w:rsid w:val="007E242D"/>
    <w:rsid w:val="007F59B5"/>
    <w:rsid w:val="00850582"/>
    <w:rsid w:val="00854A2A"/>
    <w:rsid w:val="00875176"/>
    <w:rsid w:val="008918D9"/>
    <w:rsid w:val="008C0EDE"/>
    <w:rsid w:val="008D73C9"/>
    <w:rsid w:val="008D787D"/>
    <w:rsid w:val="008F069B"/>
    <w:rsid w:val="00930FAF"/>
    <w:rsid w:val="009A0043"/>
    <w:rsid w:val="009B7687"/>
    <w:rsid w:val="00A02196"/>
    <w:rsid w:val="00A25A4A"/>
    <w:rsid w:val="00A3298C"/>
    <w:rsid w:val="00A50EF2"/>
    <w:rsid w:val="00A809B5"/>
    <w:rsid w:val="00A86B8E"/>
    <w:rsid w:val="00A915E0"/>
    <w:rsid w:val="00AB5626"/>
    <w:rsid w:val="00AF2D41"/>
    <w:rsid w:val="00B13230"/>
    <w:rsid w:val="00B2040B"/>
    <w:rsid w:val="00B25912"/>
    <w:rsid w:val="00B5401D"/>
    <w:rsid w:val="00B65227"/>
    <w:rsid w:val="00B65D08"/>
    <w:rsid w:val="00B7303C"/>
    <w:rsid w:val="00B74DAB"/>
    <w:rsid w:val="00BF5D8A"/>
    <w:rsid w:val="00C17309"/>
    <w:rsid w:val="00C34293"/>
    <w:rsid w:val="00C44C78"/>
    <w:rsid w:val="00C659D1"/>
    <w:rsid w:val="00C75C9A"/>
    <w:rsid w:val="00CA474D"/>
    <w:rsid w:val="00CE1A6E"/>
    <w:rsid w:val="00CE26DC"/>
    <w:rsid w:val="00D15849"/>
    <w:rsid w:val="00D67ED3"/>
    <w:rsid w:val="00DB2539"/>
    <w:rsid w:val="00DC372C"/>
    <w:rsid w:val="00DC57F5"/>
    <w:rsid w:val="00DF05F5"/>
    <w:rsid w:val="00DF20BD"/>
    <w:rsid w:val="00E55217"/>
    <w:rsid w:val="00E638F0"/>
    <w:rsid w:val="00EB3961"/>
    <w:rsid w:val="00F53B5F"/>
    <w:rsid w:val="00F80CCF"/>
    <w:rsid w:val="00F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BEFC"/>
  <w15:chartTrackingRefBased/>
  <w15:docId w15:val="{A6FA9A19-3440-4875-80BE-90D8AEA5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7B"/>
  </w:style>
  <w:style w:type="paragraph" w:styleId="1">
    <w:name w:val="heading 1"/>
    <w:next w:val="a"/>
    <w:link w:val="10"/>
    <w:uiPriority w:val="9"/>
    <w:unhideWhenUsed/>
    <w:qFormat/>
    <w:rsid w:val="00A3298C"/>
    <w:pPr>
      <w:keepNext/>
      <w:keepLines/>
      <w:spacing w:after="0"/>
      <w:ind w:right="2"/>
      <w:jc w:val="center"/>
      <w:outlineLvl w:val="0"/>
    </w:pPr>
    <w:rPr>
      <w:rFonts w:ascii="Times New Roman" w:eastAsia="Times New Roman" w:hAnsi="Times New Roman" w:cs="Times New Roman"/>
      <w:b/>
      <w:color w:val="00000A"/>
      <w:sz w:val="32"/>
    </w:rPr>
  </w:style>
  <w:style w:type="paragraph" w:styleId="2">
    <w:name w:val="heading 2"/>
    <w:next w:val="a"/>
    <w:link w:val="20"/>
    <w:uiPriority w:val="9"/>
    <w:unhideWhenUsed/>
    <w:qFormat/>
    <w:rsid w:val="00A3298C"/>
    <w:pPr>
      <w:keepNext/>
      <w:keepLines/>
      <w:spacing w:after="181" w:line="249" w:lineRule="auto"/>
      <w:ind w:left="3363" w:hanging="10"/>
      <w:jc w:val="center"/>
      <w:outlineLvl w:val="1"/>
    </w:pPr>
    <w:rPr>
      <w:rFonts w:ascii="Times New Roman" w:eastAsia="Times New Roman" w:hAnsi="Times New Roman" w:cs="Times New Roman"/>
      <w:b/>
      <w:color w:val="00000A"/>
      <w:sz w:val="24"/>
    </w:rPr>
  </w:style>
  <w:style w:type="paragraph" w:styleId="3">
    <w:name w:val="heading 3"/>
    <w:next w:val="a"/>
    <w:link w:val="30"/>
    <w:uiPriority w:val="9"/>
    <w:unhideWhenUsed/>
    <w:qFormat/>
    <w:rsid w:val="00A3298C"/>
    <w:pPr>
      <w:keepNext/>
      <w:keepLines/>
      <w:spacing w:after="0"/>
      <w:ind w:left="10" w:right="8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C51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C51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3298C"/>
    <w:rPr>
      <w:rFonts w:ascii="Times New Roman" w:eastAsia="Times New Roman" w:hAnsi="Times New Roman" w:cs="Times New Roman"/>
      <w:b/>
      <w:color w:val="00000A"/>
      <w:sz w:val="32"/>
    </w:rPr>
  </w:style>
  <w:style w:type="character" w:customStyle="1" w:styleId="20">
    <w:name w:val="Заголовок 2 Знак"/>
    <w:basedOn w:val="a0"/>
    <w:link w:val="2"/>
    <w:uiPriority w:val="9"/>
    <w:rsid w:val="00A3298C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30">
    <w:name w:val="Заголовок 3 Знак"/>
    <w:basedOn w:val="a0"/>
    <w:link w:val="3"/>
    <w:uiPriority w:val="9"/>
    <w:rsid w:val="00A3298C"/>
    <w:rPr>
      <w:rFonts w:ascii="Times New Roman" w:eastAsia="Times New Roman" w:hAnsi="Times New Roman" w:cs="Times New Roman"/>
      <w:b/>
      <w:color w:val="000000"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A3298C"/>
  </w:style>
  <w:style w:type="table" w:customStyle="1" w:styleId="TableGrid1">
    <w:name w:val="TableGrid1"/>
    <w:rsid w:val="00A329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98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8C"/>
    <w:rPr>
      <w:rFonts w:ascii="Segoe UI" w:eastAsia="Calibr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A32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A329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unhideWhenUsed/>
    <w:rsid w:val="007F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8C0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2E27C-3B9E-4802-A47E-FB79C157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3375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2025-12-15T12:32:00Z</cp:lastPrinted>
  <dcterms:created xsi:type="dcterms:W3CDTF">2025-12-15T12:32:00Z</dcterms:created>
  <dcterms:modified xsi:type="dcterms:W3CDTF">2025-12-23T10:36:00Z</dcterms:modified>
</cp:coreProperties>
</file>