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280" w:after="280"/>
        <w:jc w:val="center"/>
        <w:rPr/>
      </w:pPr>
      <w:r>
        <w:rPr>
          <w:rStyle w:val="Strong"/>
        </w:rPr>
        <w:t>ЗВІТ</w:t>
      </w:r>
      <w:r>
        <w:rPr/>
        <w:br/>
      </w:r>
      <w:r>
        <w:rPr>
          <w:rStyle w:val="Strong"/>
        </w:rPr>
        <w:t>щодо статутної діяльності закладів загальної середньої освіти</w:t>
      </w:r>
      <w:r>
        <w:rPr>
          <w:b/>
          <w:bCs/>
        </w:rPr>
        <w:br/>
      </w:r>
      <w:r>
        <w:rPr>
          <w:rStyle w:val="Strong"/>
        </w:rPr>
        <w:t>Роздільнянської міської територіальної громади за 2025 рік</w:t>
      </w:r>
    </w:p>
    <w:p>
      <w:pPr>
        <w:pStyle w:val="NormalWeb"/>
        <w:spacing w:before="280" w:after="280"/>
        <w:jc w:val="both"/>
        <w:rPr/>
      </w:pPr>
      <w:r>
        <w:rPr/>
        <w:t>Даний звіт складено на підставі рішення Роздільнянської міської ради від 25 лютого 2025 року № 4462-VIII «Про затвердження плану роботи Роздільнянської міської ради на 2025 рік», керуючись статтею 26 Закону України «Про місцеве самоврядування в Україні».</w:t>
      </w:r>
    </w:p>
    <w:p>
      <w:pPr>
        <w:pStyle w:val="NormalWeb"/>
        <w:spacing w:before="280" w:after="280"/>
        <w:jc w:val="both"/>
        <w:rPr/>
      </w:pPr>
      <w:r>
        <w:rPr/>
        <w:t>На території Роздільнянської міської територіальної громади функціонує 16 закладів загальної середньої освіти. У 2025 році в очному режимі працювали 12 закладів, 4 – у змішаному форматі з використанням підвальних та напівпідвальних укриттів подвійного призначення («дві стіни»), модульних укриттів, а також розташованих поруч споруд, облаштованих як укриття.</w:t>
      </w:r>
    </w:p>
    <w:p>
      <w:pPr>
        <w:pStyle w:val="NormalWeb"/>
        <w:spacing w:before="280" w:after="280"/>
        <w:jc w:val="both"/>
        <w:rPr/>
      </w:pPr>
      <w:r>
        <w:rPr/>
        <w:t>Мережа класів у 2025 році складалася з:</w:t>
      </w:r>
    </w:p>
    <w:p>
      <w:pPr>
        <w:pStyle w:val="NormalWeb"/>
        <w:numPr>
          <w:ilvl w:val="0"/>
          <w:numId w:val="1"/>
        </w:numPr>
        <w:spacing w:before="280" w:after="0"/>
        <w:jc w:val="both"/>
        <w:rPr/>
      </w:pPr>
      <w:r>
        <w:rPr/>
        <w:t>18 перших класів;</w:t>
      </w:r>
    </w:p>
    <w:p>
      <w:pPr>
        <w:pStyle w:val="NormalWeb"/>
        <w:numPr>
          <w:ilvl w:val="0"/>
          <w:numId w:val="1"/>
        </w:numPr>
        <w:spacing w:before="0" w:after="0"/>
        <w:jc w:val="both"/>
        <w:rPr/>
      </w:pPr>
      <w:r>
        <w:rPr/>
        <w:t>19 других класів;</w:t>
      </w:r>
    </w:p>
    <w:p>
      <w:pPr>
        <w:pStyle w:val="NormalWeb"/>
        <w:numPr>
          <w:ilvl w:val="0"/>
          <w:numId w:val="1"/>
        </w:numPr>
        <w:spacing w:before="0" w:after="0"/>
        <w:jc w:val="both"/>
        <w:rPr/>
      </w:pPr>
      <w:r>
        <w:rPr/>
        <w:t>18 третіх класів;</w:t>
      </w:r>
    </w:p>
    <w:p>
      <w:pPr>
        <w:pStyle w:val="NormalWeb"/>
        <w:numPr>
          <w:ilvl w:val="0"/>
          <w:numId w:val="1"/>
        </w:numPr>
        <w:spacing w:before="0" w:after="0"/>
        <w:jc w:val="both"/>
        <w:rPr/>
      </w:pPr>
      <w:r>
        <w:rPr/>
        <w:t>20 четвертих класів;</w:t>
      </w:r>
    </w:p>
    <w:p>
      <w:pPr>
        <w:pStyle w:val="NormalWeb"/>
        <w:numPr>
          <w:ilvl w:val="0"/>
          <w:numId w:val="1"/>
        </w:numPr>
        <w:spacing w:before="0" w:after="0"/>
        <w:jc w:val="both"/>
        <w:rPr/>
      </w:pPr>
      <w:r>
        <w:rPr/>
        <w:t>22 п’ятих класів;</w:t>
      </w:r>
    </w:p>
    <w:p>
      <w:pPr>
        <w:pStyle w:val="NormalWeb"/>
        <w:numPr>
          <w:ilvl w:val="0"/>
          <w:numId w:val="1"/>
        </w:numPr>
        <w:spacing w:before="0" w:after="0"/>
        <w:jc w:val="both"/>
        <w:rPr/>
      </w:pPr>
      <w:r>
        <w:rPr/>
        <w:t>22 шостих класів;</w:t>
      </w:r>
    </w:p>
    <w:p>
      <w:pPr>
        <w:pStyle w:val="NormalWeb"/>
        <w:numPr>
          <w:ilvl w:val="0"/>
          <w:numId w:val="1"/>
        </w:numPr>
        <w:spacing w:before="0" w:after="0"/>
        <w:jc w:val="both"/>
        <w:rPr/>
      </w:pPr>
      <w:r>
        <w:rPr/>
        <w:t>22 сьомих класів;</w:t>
      </w:r>
    </w:p>
    <w:p>
      <w:pPr>
        <w:pStyle w:val="NormalWeb"/>
        <w:numPr>
          <w:ilvl w:val="0"/>
          <w:numId w:val="1"/>
        </w:numPr>
        <w:spacing w:before="0" w:after="0"/>
        <w:jc w:val="both"/>
        <w:rPr/>
      </w:pPr>
      <w:r>
        <w:rPr/>
        <w:t>21 восьмого класу;</w:t>
      </w:r>
    </w:p>
    <w:p>
      <w:pPr>
        <w:pStyle w:val="NormalWeb"/>
        <w:numPr>
          <w:ilvl w:val="0"/>
          <w:numId w:val="1"/>
        </w:numPr>
        <w:spacing w:before="0" w:after="0"/>
        <w:jc w:val="both"/>
        <w:rPr/>
      </w:pPr>
      <w:r>
        <w:rPr/>
        <w:t>23 дев’ятих класів;</w:t>
      </w:r>
    </w:p>
    <w:p>
      <w:pPr>
        <w:pStyle w:val="NormalWeb"/>
        <w:numPr>
          <w:ilvl w:val="0"/>
          <w:numId w:val="1"/>
        </w:numPr>
        <w:spacing w:before="0" w:after="0"/>
        <w:jc w:val="both"/>
        <w:rPr/>
      </w:pPr>
      <w:r>
        <w:rPr/>
        <w:t>16 десятих класів;</w:t>
      </w:r>
    </w:p>
    <w:p>
      <w:pPr>
        <w:pStyle w:val="NormalWeb"/>
        <w:numPr>
          <w:ilvl w:val="0"/>
          <w:numId w:val="1"/>
        </w:numPr>
        <w:spacing w:before="0" w:after="280"/>
        <w:jc w:val="both"/>
        <w:rPr/>
      </w:pPr>
      <w:r>
        <w:rPr/>
        <w:t>18 одинадцятих класів.</w:t>
      </w:r>
    </w:p>
    <w:p>
      <w:pPr>
        <w:pStyle w:val="NormalWeb"/>
        <w:spacing w:before="280" w:after="280"/>
        <w:rPr/>
      </w:pPr>
      <w:r>
        <w:rPr/>
        <w:t>Загальна кількість учнів у закладах освіти становить 3568 осіб.</w:t>
        <w:br/>
        <w:t>Середня наповнюваність класів — 16 учнів.</w:t>
      </w:r>
    </w:p>
    <w:p>
      <w:pPr>
        <w:pStyle w:val="NormalWeb"/>
        <w:spacing w:before="280" w:after="280"/>
        <w:jc w:val="both"/>
        <w:rPr/>
      </w:pPr>
      <w:r>
        <w:rPr/>
        <w:t>У 2025 році успішно зареєструвалися та склали національний мультипредметний тест (НМТ) 187 осіб.</w:t>
      </w:r>
    </w:p>
    <w:p>
      <w:pPr>
        <w:pStyle w:val="Normal"/>
        <w:jc w:val="both"/>
        <w:rPr>
          <w:rFonts w:ascii="Times New Roman" w:hAnsi="Times New Roman" w:cs="Times New Roman"/>
          <w:b/>
          <w:sz w:val="24"/>
          <w:szCs w:val="24"/>
          <w:lang w:val="uk-UA"/>
        </w:rPr>
      </w:pPr>
      <w:r>
        <w:rPr>
          <w:rFonts w:cs="Times New Roman" w:ascii="Times New Roman" w:hAnsi="Times New Roman"/>
          <w:b/>
          <w:sz w:val="24"/>
          <w:szCs w:val="24"/>
          <w:lang w:val="uk-UA"/>
        </w:rPr>
        <w:t>Нормативно-правове забезпечення діяльності</w:t>
      </w:r>
    </w:p>
    <w:p>
      <w:pPr>
        <w:pStyle w:val="NormalWeb"/>
        <w:spacing w:before="280" w:after="280"/>
        <w:jc w:val="both"/>
        <w:rPr/>
      </w:pPr>
      <w:r>
        <w:rPr/>
        <w:t>У 2025 році заклади загальної середньої освіти громади здійснювали діяльність відповідно до затверджених Статутів.</w:t>
      </w:r>
    </w:p>
    <w:p>
      <w:pPr>
        <w:pStyle w:val="NormalWeb"/>
        <w:spacing w:before="280" w:after="280"/>
        <w:jc w:val="both"/>
        <w:rPr/>
      </w:pPr>
      <w:r>
        <w:rPr/>
        <w:t>У своїй роботі заклади керуються Конституцією України, законами України «Про освіту», «Про повну загальну середню освіту», іншими нормативно-правовими актами у сфері освіти.</w:t>
      </w:r>
    </w:p>
    <w:p>
      <w:pPr>
        <w:pStyle w:val="Heading3"/>
        <w:rPr>
          <w:rFonts w:ascii="Times New Roman" w:hAnsi="Times New Roman" w:cs="Times New Roman"/>
          <w:b/>
          <w:color w:val="auto"/>
          <w:lang w:val="uk-UA"/>
        </w:rPr>
      </w:pPr>
      <w:r>
        <w:rPr>
          <w:rFonts w:cs="Times New Roman" w:ascii="Times New Roman" w:hAnsi="Times New Roman"/>
          <w:b/>
          <w:color w:val="auto"/>
          <w:lang w:val="uk-UA"/>
        </w:rPr>
        <w:t>Кадрове забезпечення закладів освіти</w:t>
      </w:r>
    </w:p>
    <w:p>
      <w:pPr>
        <w:pStyle w:val="NormalWeb"/>
        <w:spacing w:before="280" w:after="280"/>
        <w:jc w:val="both"/>
        <w:rPr/>
      </w:pPr>
      <w:r>
        <w:rPr/>
        <w:t>Важливою складовою ефективного функціонування закладів загальної середньої освіти громади є належне кадрове забезпечення.</w:t>
      </w:r>
    </w:p>
    <w:p>
      <w:pPr>
        <w:pStyle w:val="NormalWeb"/>
        <w:spacing w:before="280" w:after="280"/>
        <w:jc w:val="both"/>
        <w:rPr/>
      </w:pPr>
      <w:r>
        <w:rPr/>
        <w:t>Станом на кінець 2025 року у закладах загальної середньої освіти Роздільнянської міської територіальної громади затверджено 555,51 штатної одиниці педагогічних працівників та 282,26 штатної одиниці технічного персоналу.</w:t>
      </w:r>
    </w:p>
    <w:p>
      <w:pPr>
        <w:pStyle w:val="NormalWeb"/>
        <w:spacing w:before="280" w:after="280"/>
        <w:jc w:val="both"/>
        <w:rPr/>
      </w:pPr>
      <w:r>
        <w:rPr/>
        <w:t>Освітній процес забезпечує професійний, досвідчений та кваліфікований педагогічний колектив, який систематично підвищує свій фаховий рівень, проходить курси підвищення кваліфікації, бере участь у професійних конкурсах, семінарах та тренінгах.</w:t>
      </w:r>
    </w:p>
    <w:p>
      <w:pPr>
        <w:pStyle w:val="NormalWeb"/>
        <w:spacing w:before="280" w:after="280"/>
        <w:jc w:val="both"/>
        <w:rPr/>
      </w:pPr>
      <w:r>
        <w:rPr/>
        <w:t>Разом з тим, станом на кінець року наявні вакантні посади становлять 41,04 штатної одиниці педагогічних працівників та 16,59 штатної одиниці технічного персоналу. Робота щодо укомплектування вакантних посад перебуває на постійному контролі засновника та керівників закладів освіти. Проводиться активна співпраця з центром зайнятості, здійснюється пошук фахівців, створюються належні умови праці для залучення молодих спеціалістів.</w:t>
      </w:r>
    </w:p>
    <w:p>
      <w:pPr>
        <w:pStyle w:val="NormalWeb"/>
        <w:spacing w:before="280" w:after="280"/>
        <w:rPr/>
      </w:pPr>
      <w:r>
        <w:rPr/>
        <w:t>Незважаючи на наявність вакантних посад, освітній процес у 2025 році був забезпечений у повному обсязі, навчальні плани виконано, порушень щодо організації освітнього процесу не допущено.</w:t>
      </w:r>
    </w:p>
    <w:p>
      <w:pPr>
        <w:pStyle w:val="Normal"/>
        <w:rPr>
          <w:rFonts w:ascii="Times New Roman" w:hAnsi="Times New Roman" w:cs="Times New Roman"/>
          <w:b/>
          <w:sz w:val="24"/>
          <w:szCs w:val="24"/>
          <w:lang w:val="ru-RU"/>
        </w:rPr>
      </w:pPr>
      <w:r>
        <w:rPr>
          <w:lang w:val="ru-RU"/>
        </w:rPr>
        <w:t xml:space="preserve"> </w:t>
      </w:r>
      <w:r>
        <w:rPr>
          <w:rFonts w:cs="Times New Roman" w:ascii="Times New Roman" w:hAnsi="Times New Roman"/>
          <w:b/>
          <w:sz w:val="24"/>
          <w:szCs w:val="24"/>
          <w:lang w:val="ru-RU"/>
        </w:rPr>
        <w:t>Забезпеченість підручниками та навчальними програмами</w:t>
      </w:r>
    </w:p>
    <w:p>
      <w:pPr>
        <w:pStyle w:val="NormalWeb"/>
        <w:spacing w:before="280" w:after="280"/>
        <w:jc w:val="both"/>
        <w:rPr/>
      </w:pPr>
      <w:r>
        <w:rPr/>
        <w:t>У 2025 навчальному році заклади загальної середньої освіти громади були повністю забезпечені навчальними програмами та підручниками, рекомендованими Міністерством освіти і науки України.</w:t>
      </w:r>
    </w:p>
    <w:p>
      <w:pPr>
        <w:pStyle w:val="NormalWeb"/>
        <w:spacing w:before="280" w:after="280"/>
        <w:jc w:val="both"/>
        <w:rPr/>
      </w:pPr>
      <w:r>
        <w:rPr/>
        <w:t>Забезпеченість підручниками становить 100% для учнів 1–4 та 5 - 11 класів, що дало можливість організувати освітній процес якісно та відповідно до державних стандартів.</w:t>
      </w:r>
    </w:p>
    <w:p>
      <w:pPr>
        <w:pStyle w:val="Normal"/>
        <w:spacing w:lineRule="auto" w:line="240" w:before="0" w:after="0"/>
        <w:jc w:val="both"/>
        <w:rPr>
          <w:rFonts w:ascii="Times New Roman" w:hAnsi="Times New Roman" w:cs="Times New Roman"/>
          <w:b/>
          <w:sz w:val="24"/>
          <w:szCs w:val="24"/>
          <w:lang w:val="uk-UA"/>
        </w:rPr>
      </w:pPr>
      <w:r>
        <w:rPr>
          <w:rFonts w:cs="Times New Roman" w:ascii="Times New Roman" w:hAnsi="Times New Roman"/>
          <w:b/>
          <w:sz w:val="24"/>
          <w:szCs w:val="24"/>
          <w:lang w:val="uk-UA"/>
        </w:rPr>
        <w:t xml:space="preserve"> </w:t>
      </w:r>
      <w:r>
        <w:rPr>
          <w:rFonts w:cs="Times New Roman" w:ascii="Times New Roman" w:hAnsi="Times New Roman"/>
          <w:b/>
          <w:sz w:val="24"/>
          <w:szCs w:val="24"/>
          <w:lang w:val="uk-UA"/>
        </w:rPr>
        <w:t>Інклюзивне навчання</w:t>
      </w:r>
    </w:p>
    <w:p>
      <w:pPr>
        <w:pStyle w:val="Normal"/>
        <w:spacing w:lineRule="auto" w:line="240" w:before="0" w:after="0"/>
        <w:ind w:firstLine="360"/>
        <w:jc w:val="both"/>
        <w:rPr>
          <w:rFonts w:ascii="Times New Roman" w:hAnsi="Times New Roman" w:cs="Times New Roman"/>
          <w:b/>
          <w:sz w:val="24"/>
          <w:szCs w:val="24"/>
          <w:lang w:val="uk-UA"/>
        </w:rPr>
      </w:pPr>
      <w:r>
        <w:rPr>
          <w:rFonts w:cs="Times New Roman" w:ascii="Times New Roman" w:hAnsi="Times New Roman"/>
          <w:b/>
          <w:sz w:val="24"/>
          <w:szCs w:val="24"/>
          <w:lang w:val="uk-UA"/>
        </w:rPr>
      </w:r>
    </w:p>
    <w:p>
      <w:pPr>
        <w:pStyle w:val="Normal"/>
        <w:tabs>
          <w:tab w:val="clear" w:pos="708"/>
          <w:tab w:val="left" w:pos="0" w:leader="none"/>
        </w:tabs>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У 2025 році навчання учнів здійснювалось з урахуванням особливостей освітніх потреб учнів на основі використання особистісно-орієнтованого підходу. Оцінювання навчальних досягнень дітей з особливими освітніми потребами здійснювалось згідно критеріїв оцінювання.</w:t>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t>У 2025 році у закладах освіти навчались 96 дітей з особливими освітніми потребами.</w:t>
      </w:r>
    </w:p>
    <w:p>
      <w:pPr>
        <w:pStyle w:val="Normal"/>
        <w:spacing w:lineRule="auto" w:line="240" w:before="0" w:after="0"/>
        <w:jc w:val="both"/>
        <w:rPr>
          <w:rFonts w:ascii="Times New Roman" w:hAnsi="Times New Roman" w:eastAsia="Times New Roman" w:cs="Times New Roman"/>
          <w:sz w:val="24"/>
          <w:szCs w:val="24"/>
          <w:lang w:val="uk-UA" w:eastAsia="ru-RU"/>
        </w:rPr>
      </w:pPr>
      <w:r>
        <w:rPr>
          <w:rFonts w:eastAsia="Times New Roman" w:cs="Times New Roman" w:ascii="Times New Roman" w:hAnsi="Times New Roman"/>
          <w:sz w:val="24"/>
          <w:szCs w:val="24"/>
          <w:lang w:val="uk-UA" w:eastAsia="ru-RU"/>
        </w:rPr>
      </w:r>
    </w:p>
    <w:p>
      <w:pPr>
        <w:pStyle w:val="Normal"/>
        <w:rPr>
          <w:rFonts w:ascii="Times New Roman" w:hAnsi="Times New Roman" w:eastAsia="Times New Roman" w:cs="Times New Roman"/>
          <w:b/>
          <w:sz w:val="24"/>
          <w:szCs w:val="24"/>
          <w:lang w:val="ru-RU" w:eastAsia="ru-RU"/>
        </w:rPr>
      </w:pPr>
      <w:r>
        <w:rPr>
          <w:rFonts w:cs="Times New Roman" w:ascii="Times New Roman" w:hAnsi="Times New Roman"/>
          <w:b/>
          <w:sz w:val="24"/>
          <w:szCs w:val="24"/>
          <w:lang w:val="ru-RU"/>
        </w:rPr>
        <w:t>Розвиток учнівської молоді та національно-патріотичне виховання</w:t>
      </w:r>
    </w:p>
    <w:p>
      <w:pPr>
        <w:pStyle w:val="ListParagraph"/>
        <w:ind w:start="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У 2025 році було проведено Всеукраїнську дитячо-юнацьку військово -патріотичну гру «Сокіл» («Джура») та було забезпечено участь переможців в районному етапі змагань .</w:t>
      </w:r>
    </w:p>
    <w:p>
      <w:pPr>
        <w:pStyle w:val="ListParagraph"/>
        <w:ind w:start="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Також проведено заходи до Дня Соборності України, Дня пам’яті героїв Крут, Міжнародного дня рідної мови, Дня пам’яті Т.Г. Шевченка, Дня пам’яток історії та культури, Дня Перемоги, Дня Європи, Дня Матері, Дня пам’яті жертв політичних репресій, Міжнародного дня сім’ї, Дня слов’янської писемності та культури, Дня Конституції України, Дня Державного Прапора України, Дня українського козацтва, Дня української писемності і мови, Дня пам’яті жертв Голодоморів в Україні.</w:t>
      </w:r>
    </w:p>
    <w:p>
      <w:pPr>
        <w:pStyle w:val="ListParagraph"/>
        <w:ind w:start="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 xml:space="preserve">Обдаровані діти приймали участь в онлайн олімпіадах з математики, англійської мови, української мови та літератури, і. ін., де займали призові місця. </w:t>
      </w:r>
    </w:p>
    <w:p>
      <w:pPr>
        <w:pStyle w:val="ListParagraph"/>
        <w:ind w:start="0"/>
        <w:jc w:val="both"/>
        <w:rPr>
          <w:rFonts w:ascii="Times New Roman" w:hAnsi="Times New Roman" w:eastAsia="Calibri" w:cs="Times New Roman"/>
          <w:sz w:val="24"/>
          <w:szCs w:val="24"/>
          <w:lang w:val="uk-UA"/>
        </w:rPr>
      </w:pPr>
      <w:r>
        <w:rPr>
          <w:rFonts w:eastAsia="Calibri" w:cs="Times New Roman" w:ascii="Times New Roman" w:hAnsi="Times New Roman"/>
          <w:sz w:val="24"/>
          <w:szCs w:val="24"/>
          <w:lang w:val="uk-UA"/>
        </w:rPr>
        <w:t>Також проведено заходи із відзначення ювілейних, історичних, пам’ятних дат, знаменних подій, пов’язаних з історією рідного краю.</w:t>
      </w:r>
    </w:p>
    <w:p>
      <w:pPr>
        <w:pStyle w:val="ListParagraph"/>
        <w:ind w:start="0"/>
        <w:jc w:val="both"/>
        <w:rPr>
          <w:rFonts w:ascii="Times New Roman" w:hAnsi="Times New Roman" w:cs="Times New Roman"/>
          <w:sz w:val="24"/>
          <w:szCs w:val="24"/>
          <w:lang w:val="uk-UA"/>
        </w:rPr>
      </w:pPr>
      <w:r>
        <w:rPr>
          <w:rFonts w:eastAsia="Calibri" w:cs="Times New Roman" w:ascii="Times New Roman" w:hAnsi="Times New Roman"/>
          <w:sz w:val="24"/>
          <w:szCs w:val="24"/>
          <w:lang w:val="uk-UA"/>
        </w:rPr>
        <w:t xml:space="preserve">Усі заходи, які проводяться у закладах освіти, спряють </w:t>
      </w:r>
      <w:r>
        <w:rPr>
          <w:rFonts w:cs="Times New Roman" w:ascii="Times New Roman" w:hAnsi="Times New Roman"/>
          <w:sz w:val="24"/>
          <w:szCs w:val="24"/>
          <w:lang w:val="uk-UA"/>
        </w:rPr>
        <w:t>підтримці української національної та громадянської ідентичності.</w:t>
      </w:r>
    </w:p>
    <w:p>
      <w:pPr>
        <w:pStyle w:val="Normal"/>
        <w:shd w:val="clear" w:color="auto" w:fill="FFFFFF"/>
        <w:tabs>
          <w:tab w:val="clear" w:pos="708"/>
          <w:tab w:val="left" w:pos="1653" w:leader="none"/>
        </w:tabs>
        <w:spacing w:lineRule="auto" w:line="240" w:before="0" w:after="0"/>
        <w:jc w:val="both"/>
        <w:rPr>
          <w:rFonts w:ascii="Times New Roman" w:hAnsi="Times New Roman" w:eastAsia="Times New Roman" w:cs="Times New Roman"/>
          <w:b/>
          <w:sz w:val="24"/>
          <w:szCs w:val="24"/>
          <w:lang w:val="uk-UA" w:eastAsia="ru-RU"/>
        </w:rPr>
      </w:pPr>
      <w:r>
        <w:rPr>
          <w:rFonts w:eastAsia="Times New Roman" w:cs="Times New Roman" w:ascii="Times New Roman" w:hAnsi="Times New Roman"/>
          <w:b/>
          <w:sz w:val="24"/>
          <w:szCs w:val="24"/>
          <w:lang w:val="uk-UA" w:eastAsia="ru-RU"/>
        </w:rPr>
      </w:r>
    </w:p>
    <w:p>
      <w:pPr>
        <w:pStyle w:val="Heading2"/>
        <w:rPr>
          <w:rFonts w:ascii="Times New Roman" w:hAnsi="Times New Roman" w:cs="Times New Roman"/>
          <w:b/>
          <w:color w:val="auto"/>
          <w:sz w:val="24"/>
          <w:szCs w:val="24"/>
          <w:lang w:val="uk-UA"/>
        </w:rPr>
      </w:pPr>
      <w:r>
        <w:rPr>
          <w:rFonts w:cs="Times New Roman" w:ascii="Times New Roman" w:hAnsi="Times New Roman"/>
          <w:b/>
          <w:color w:val="auto"/>
          <w:sz w:val="24"/>
          <w:szCs w:val="24"/>
          <w:lang w:val="uk-UA"/>
        </w:rPr>
        <w:t>Фінансово-господарська діяльність</w:t>
      </w:r>
    </w:p>
    <w:p>
      <w:pPr>
        <w:pStyle w:val="NormalWeb"/>
        <w:spacing w:before="280" w:after="280"/>
        <w:rPr/>
      </w:pPr>
      <w:r>
        <w:rPr/>
        <w:t>Балансоутримувачем закладів загальної середньої освіти є Роздільнянська міська рада.</w:t>
      </w:r>
    </w:p>
    <w:p>
      <w:pPr>
        <w:pStyle w:val="NormalWeb"/>
        <w:spacing w:before="280" w:after="280"/>
        <w:rPr/>
      </w:pPr>
      <w:r>
        <w:rPr/>
        <w:t xml:space="preserve">На 2025 рік було виділено – 240 124,943 тис. грн.  на заклади загальної середньої освіти. </w:t>
      </w:r>
    </w:p>
    <w:p>
      <w:pPr>
        <w:pStyle w:val="NormalWeb"/>
        <w:spacing w:before="280" w:after="280"/>
        <w:rPr/>
      </w:pPr>
      <w:r>
        <w:rPr/>
        <w:t>За звітний період використано 224 020,881 тис. грн.</w:t>
      </w:r>
    </w:p>
    <w:p>
      <w:pPr>
        <w:pStyle w:val="Heading3"/>
        <w:rPr>
          <w:rFonts w:ascii="Times New Roman" w:hAnsi="Times New Roman" w:cs="Times New Roman"/>
          <w:b/>
          <w:i/>
          <w:lang w:val="ru-RU"/>
        </w:rPr>
      </w:pPr>
      <w:r>
        <w:rPr>
          <w:rFonts w:cs="Times New Roman" w:ascii="Times New Roman" w:hAnsi="Times New Roman"/>
          <w:b/>
          <w:i/>
          <w:lang w:val="ru-RU"/>
        </w:rPr>
        <w:t>Оплата праці</w:t>
      </w:r>
    </w:p>
    <w:p>
      <w:pPr>
        <w:pStyle w:val="NormalWeb"/>
        <w:spacing w:before="280" w:after="280"/>
        <w:rPr/>
      </w:pPr>
      <w:r>
        <w:rPr/>
        <w:t>На виплату заробітної плати працівникам закладів загальної середньої освіти спрямовано 156 724,391 тис. грн, у тому числі:</w:t>
      </w:r>
    </w:p>
    <w:p>
      <w:pPr>
        <w:pStyle w:val="NormalWeb"/>
        <w:numPr>
          <w:ilvl w:val="0"/>
          <w:numId w:val="2"/>
        </w:numPr>
        <w:spacing w:before="280" w:after="0"/>
        <w:rPr/>
      </w:pPr>
      <w:r>
        <w:rPr/>
        <w:t>за рахунок освітньої субвенції – 118 645,588 тис. грн;</w:t>
      </w:r>
    </w:p>
    <w:p>
      <w:pPr>
        <w:pStyle w:val="NormalWeb"/>
        <w:numPr>
          <w:ilvl w:val="0"/>
          <w:numId w:val="2"/>
        </w:numPr>
        <w:spacing w:before="0" w:after="280"/>
        <w:rPr/>
      </w:pPr>
      <w:r>
        <w:rPr/>
        <w:t>за рахунок місцевого бюджету – 38 078,803 тис. грн.</w:t>
      </w:r>
    </w:p>
    <w:p>
      <w:pPr>
        <w:pStyle w:val="NormalWeb"/>
        <w:spacing w:before="280" w:after="280"/>
        <w:jc w:val="both"/>
        <w:rPr/>
      </w:pPr>
      <w:r>
        <w:rPr/>
        <w:t>Заробітна плата нарахована та виплачена в повному обсязі з урахуванням передбачених законодавством надбавок і доплат. Станом на кінець року заборгованість із виплати заробітної плати відсутня.</w:t>
      </w:r>
    </w:p>
    <w:p>
      <w:pPr>
        <w:pStyle w:val="Heading3"/>
        <w:rPr>
          <w:rFonts w:ascii="Times New Roman" w:hAnsi="Times New Roman" w:cs="Times New Roman"/>
          <w:b/>
          <w:i/>
          <w:lang w:val="ru-RU"/>
        </w:rPr>
      </w:pPr>
      <w:r>
        <w:rPr>
          <w:rFonts w:cs="Times New Roman" w:ascii="Times New Roman" w:hAnsi="Times New Roman"/>
          <w:b/>
          <w:i/>
          <w:lang w:val="ru-RU"/>
        </w:rPr>
        <w:t>Оплата комунальних послуг</w:t>
      </w:r>
    </w:p>
    <w:p>
      <w:pPr>
        <w:pStyle w:val="NormalWeb"/>
        <w:spacing w:before="280" w:after="280"/>
        <w:rPr/>
      </w:pPr>
      <w:r>
        <w:rPr/>
        <w:t>На оплату комунальних послуг спрямовано 22 071,310 тис. грн, з них:</w:t>
      </w:r>
    </w:p>
    <w:p>
      <w:pPr>
        <w:pStyle w:val="NormalWeb"/>
        <w:numPr>
          <w:ilvl w:val="0"/>
          <w:numId w:val="3"/>
        </w:numPr>
        <w:spacing w:before="280" w:after="0"/>
        <w:rPr/>
      </w:pPr>
      <w:r>
        <w:rPr/>
        <w:t>електроенергія – 3 696,520 тис. грн;</w:t>
      </w:r>
    </w:p>
    <w:p>
      <w:pPr>
        <w:pStyle w:val="NormalWeb"/>
        <w:numPr>
          <w:ilvl w:val="0"/>
          <w:numId w:val="3"/>
        </w:numPr>
        <w:spacing w:before="0" w:after="0"/>
        <w:rPr/>
      </w:pPr>
      <w:r>
        <w:rPr/>
        <w:t>теплова енергія – 12 598,660 тис. грн;</w:t>
      </w:r>
    </w:p>
    <w:p>
      <w:pPr>
        <w:pStyle w:val="NormalWeb"/>
        <w:numPr>
          <w:ilvl w:val="0"/>
          <w:numId w:val="3"/>
        </w:numPr>
        <w:spacing w:before="0" w:after="280"/>
        <w:jc w:val="both"/>
        <w:rPr/>
      </w:pPr>
      <w:r>
        <w:rPr>
          <w:lang w:val="ru-RU"/>
        </w:rPr>
        <w:t xml:space="preserve">інші комунальні послуги – 5 776,130 тис. грн., а саме: </w:t>
      </w:r>
      <w:r>
        <w:rPr/>
        <w:t xml:space="preserve">вивіз сміття та викачка нечистот, оплата послуг телефонного зв’язку та інтернету, оплата за водопостачання та водовідведення.   </w:t>
      </w:r>
    </w:p>
    <w:p>
      <w:pPr>
        <w:pStyle w:val="Heading3"/>
        <w:rPr>
          <w:rFonts w:ascii="Times New Roman" w:hAnsi="Times New Roman" w:cs="Times New Roman"/>
          <w:b/>
          <w:i/>
          <w:lang w:val="ru-RU"/>
        </w:rPr>
      </w:pPr>
      <w:r>
        <w:rPr>
          <w:rFonts w:cs="Times New Roman" w:ascii="Times New Roman" w:hAnsi="Times New Roman"/>
          <w:b/>
          <w:i/>
          <w:lang w:val="ru-RU"/>
        </w:rPr>
        <w:t>Придбання матеріалів та обладнання</w:t>
      </w:r>
    </w:p>
    <w:p>
      <w:pPr>
        <w:pStyle w:val="NormalWeb"/>
        <w:spacing w:before="280" w:after="280"/>
        <w:rPr/>
      </w:pPr>
      <w:r>
        <w:rPr/>
        <w:t>У 2025 році на придбання матеріалів та обладнання використано 3 305,360 тис. грн, у тому числі за рахунок спеціального фонду – 171,880 тис. грн.</w:t>
      </w:r>
    </w:p>
    <w:p>
      <w:pPr>
        <w:pStyle w:val="NormalWeb"/>
        <w:spacing w:before="280" w:after="280"/>
        <w:jc w:val="both"/>
        <w:rPr/>
      </w:pPr>
      <w:r>
        <w:rPr/>
        <w:t>Забезпечено придбання паливно-мастильних матеріалів, будівельних матеріалів, автозапчастин, миючих та дезінфікуючих засобів, електротоварів, обладнання для харчоблоків, засобів пожежогасіння, матеріалів для підготовки до опалювального сезону, обладнання для укриттів та іншого необхідного інвентарю для належного функціонування закладів освіти.</w:t>
      </w:r>
    </w:p>
    <w:p>
      <w:pPr>
        <w:pStyle w:val="Heading3"/>
        <w:rPr>
          <w:rFonts w:ascii="Times New Roman" w:hAnsi="Times New Roman" w:cs="Times New Roman"/>
          <w:b/>
          <w:i/>
          <w:lang w:val="ru-RU"/>
        </w:rPr>
      </w:pPr>
      <w:r>
        <w:rPr>
          <w:rFonts w:cs="Times New Roman" w:ascii="Times New Roman" w:hAnsi="Times New Roman"/>
          <w:b/>
          <w:i/>
          <w:lang w:val="ru-RU"/>
        </w:rPr>
        <w:t>Підтримка осіб з особливими освітніми потребами</w:t>
      </w:r>
    </w:p>
    <w:p>
      <w:pPr>
        <w:pStyle w:val="Normal"/>
        <w:widowControl w:val="false"/>
        <w:suppressAutoHyphens w:val="true"/>
        <w:spacing w:lineRule="auto" w:line="240" w:before="0" w:after="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widowControl w:val="false"/>
        <w:suppressAutoHyphens w:val="true"/>
        <w:spacing w:lineRule="auto" w:line="240" w:before="0" w:after="0"/>
        <w:jc w:val="both"/>
        <w:rPr>
          <w:rFonts w:ascii="Times New Roman" w:hAnsi="Times New Roman" w:cs="Times New Roman"/>
          <w:color w:themeColor="text1" w:val="000000"/>
          <w:sz w:val="24"/>
          <w:szCs w:val="24"/>
          <w:lang w:val="uk-UA"/>
        </w:rPr>
      </w:pPr>
      <w:r>
        <w:rPr>
          <w:rFonts w:cs="Times New Roman" w:ascii="Times New Roman" w:hAnsi="Times New Roman"/>
          <w:sz w:val="24"/>
          <w:szCs w:val="24"/>
          <w:lang w:val="ru-RU"/>
        </w:rPr>
        <w:t xml:space="preserve">У 2025 році організовано корекційно-розвиткові заняття для 49 учнів з особливими освітніми потребами. На оплату відповідних послуг використано </w:t>
      </w:r>
      <w:r>
        <w:rPr>
          <w:rFonts w:cs="Times New Roman" w:ascii="Times New Roman" w:hAnsi="Times New Roman"/>
          <w:color w:themeColor="text1" w:val="000000"/>
          <w:sz w:val="24"/>
          <w:szCs w:val="24"/>
          <w:lang w:val="uk-UA"/>
        </w:rPr>
        <w:t>за рахунок коштів субвенції – 531,58  тис. грн.</w:t>
      </w:r>
    </w:p>
    <w:p>
      <w:pPr>
        <w:pStyle w:val="Normal"/>
        <w:widowControl w:val="false"/>
        <w:suppressAutoHyphens w:val="true"/>
        <w:spacing w:lineRule="auto" w:line="240" w:before="0" w:after="0"/>
        <w:jc w:val="both"/>
        <w:rPr>
          <w:rFonts w:ascii="Times New Roman" w:hAnsi="Times New Roman" w:cs="Times New Roman"/>
          <w:color w:themeColor="text1" w:val="000000"/>
          <w:sz w:val="24"/>
          <w:szCs w:val="24"/>
          <w:lang w:val="uk-UA"/>
        </w:rPr>
      </w:pPr>
      <w:r>
        <w:rPr>
          <w:rFonts w:cs="Times New Roman" w:ascii="Times New Roman" w:hAnsi="Times New Roman"/>
          <w:color w:themeColor="text1" w:val="000000"/>
          <w:sz w:val="24"/>
          <w:szCs w:val="24"/>
          <w:lang w:val="uk-UA"/>
        </w:rPr>
      </w:r>
    </w:p>
    <w:p>
      <w:pPr>
        <w:pStyle w:val="Heading3"/>
        <w:rPr>
          <w:rFonts w:ascii="Times New Roman" w:hAnsi="Times New Roman" w:cs="Times New Roman"/>
          <w:b/>
          <w:i/>
          <w:lang w:val="ru-RU"/>
        </w:rPr>
      </w:pPr>
      <w:r>
        <w:rPr>
          <w:rFonts w:cs="Times New Roman" w:ascii="Times New Roman" w:hAnsi="Times New Roman"/>
          <w:b/>
          <w:i/>
          <w:lang w:val="ru-RU"/>
        </w:rPr>
        <w:t>Організація харчування</w:t>
      </w:r>
    </w:p>
    <w:p>
      <w:pPr>
        <w:pStyle w:val="NormalWeb"/>
        <w:spacing w:before="280" w:after="280"/>
        <w:rPr/>
      </w:pPr>
      <w:r>
        <w:rPr/>
        <w:t>До листопада 2025 року харчуванням було охоплено 1 064 учні (у тому числі 468 дітей пільгових категорій, учні 1–4 класів).</w:t>
        <w:br/>
        <w:t>З листопада 2025 року організовано харчування 3 568 учня, з них:</w:t>
      </w:r>
    </w:p>
    <w:p>
      <w:pPr>
        <w:pStyle w:val="NormalWeb"/>
        <w:numPr>
          <w:ilvl w:val="0"/>
          <w:numId w:val="4"/>
        </w:numPr>
        <w:spacing w:before="280" w:after="0"/>
        <w:rPr/>
      </w:pPr>
      <w:r>
        <w:rPr/>
        <w:t>1 061 учні 1–4 класів;</w:t>
      </w:r>
    </w:p>
    <w:p>
      <w:pPr>
        <w:pStyle w:val="NormalWeb"/>
        <w:numPr>
          <w:ilvl w:val="0"/>
          <w:numId w:val="4"/>
        </w:numPr>
        <w:spacing w:before="0" w:after="280"/>
        <w:rPr/>
      </w:pPr>
      <w:r>
        <w:rPr/>
        <w:t>2 507 учнів 5–11 класів.</w:t>
      </w:r>
    </w:p>
    <w:p>
      <w:pPr>
        <w:pStyle w:val="NormalWeb"/>
        <w:spacing w:before="280" w:after="280"/>
        <w:rPr/>
      </w:pPr>
      <w:r>
        <w:rPr/>
        <w:t>Загальна сума витрат на харчування станом на 01.01.2026 року становить 16 997,371 тис. грн, у тому числі:</w:t>
      </w:r>
    </w:p>
    <w:p>
      <w:pPr>
        <w:pStyle w:val="NormalWeb"/>
        <w:numPr>
          <w:ilvl w:val="0"/>
          <w:numId w:val="5"/>
        </w:numPr>
        <w:spacing w:before="280" w:after="0"/>
        <w:rPr/>
      </w:pPr>
      <w:r>
        <w:rPr/>
        <w:t>кошти державного бюджету – 15 294,562 тис. грн;</w:t>
      </w:r>
    </w:p>
    <w:p>
      <w:pPr>
        <w:pStyle w:val="NormalWeb"/>
        <w:numPr>
          <w:ilvl w:val="0"/>
          <w:numId w:val="5"/>
        </w:numPr>
        <w:spacing w:before="0" w:after="280"/>
        <w:rPr/>
      </w:pPr>
      <w:r>
        <w:rPr/>
        <w:t>кошти міського бюджету – 1 702,809 тис. грн.</w:t>
      </w:r>
    </w:p>
    <w:p>
      <w:pPr>
        <w:pStyle w:val="NormalWeb"/>
        <w:spacing w:before="280" w:after="280"/>
        <w:rPr/>
      </w:pPr>
      <w:r>
        <w:rPr/>
        <w:t>Фінансування здійснювалося на умовах співфінансування.</w:t>
      </w:r>
    </w:p>
    <w:p>
      <w:pPr>
        <w:pStyle w:val="Heading3"/>
        <w:rPr>
          <w:rFonts w:ascii="Times New Roman" w:hAnsi="Times New Roman" w:cs="Times New Roman"/>
          <w:b/>
          <w:i/>
          <w:lang w:val="ru-RU"/>
        </w:rPr>
      </w:pPr>
      <w:r>
        <w:rPr>
          <w:rFonts w:cs="Times New Roman" w:ascii="Times New Roman" w:hAnsi="Times New Roman"/>
          <w:b/>
          <w:i/>
          <w:lang w:val="ru-RU"/>
        </w:rPr>
        <w:t>Проведення ремонтних робіт</w:t>
      </w:r>
    </w:p>
    <w:p>
      <w:pPr>
        <w:pStyle w:val="NormalWeb"/>
        <w:spacing w:before="280" w:after="280"/>
        <w:jc w:val="both"/>
        <w:rPr/>
      </w:pPr>
      <w:r>
        <w:rPr/>
        <w:t>У 2025 році проведено поточні ремонтні роботи на загальну суму 1 080,00 тис. грн (ремонт стель, огорож, мереж водопостачання, каналізації, теплопостачання, обробка дерев’яних конструкцій тощо).</w:t>
      </w:r>
    </w:p>
    <w:p>
      <w:pPr>
        <w:pStyle w:val="NormalWeb"/>
        <w:spacing w:before="280" w:after="280"/>
        <w:rPr/>
      </w:pPr>
      <w:r>
        <w:rPr/>
        <w:t>Капітальні ремонти виконано на суму 1 644,02 тис. грн, зокрема:</w:t>
      </w:r>
    </w:p>
    <w:p>
      <w:pPr>
        <w:pStyle w:val="NormalWeb"/>
        <w:numPr>
          <w:ilvl w:val="0"/>
          <w:numId w:val="6"/>
        </w:numPr>
        <w:spacing w:before="280" w:after="0"/>
        <w:rPr/>
      </w:pPr>
      <w:r>
        <w:rPr/>
        <w:t>капітальний ремонт даху спортивної зали Виноградарського ліцею;</w:t>
      </w:r>
    </w:p>
    <w:p>
      <w:pPr>
        <w:pStyle w:val="NormalWeb"/>
        <w:numPr>
          <w:ilvl w:val="0"/>
          <w:numId w:val="6"/>
        </w:numPr>
        <w:spacing w:before="0" w:after="0"/>
        <w:rPr/>
      </w:pPr>
      <w:r>
        <w:rPr/>
        <w:t>ремонт мощення та цоколю Роздільнянського міського ліцею №2;</w:t>
      </w:r>
    </w:p>
    <w:p>
      <w:pPr>
        <w:pStyle w:val="NormalWeb"/>
        <w:numPr>
          <w:ilvl w:val="0"/>
          <w:numId w:val="6"/>
        </w:numPr>
        <w:spacing w:before="0" w:after="280"/>
        <w:rPr/>
      </w:pPr>
      <w:r>
        <w:rPr/>
        <w:t>ремонт покрівлі Роздільнянського міського ліцею №1.</w:t>
      </w:r>
    </w:p>
    <w:p>
      <w:pPr>
        <w:pStyle w:val="Heading3"/>
        <w:rPr>
          <w:rFonts w:ascii="Times New Roman" w:hAnsi="Times New Roman" w:cs="Times New Roman"/>
          <w:b/>
          <w:i/>
          <w:lang w:val="ru-RU"/>
        </w:rPr>
      </w:pPr>
      <w:r>
        <w:rPr>
          <w:rFonts w:cs="Times New Roman" w:ascii="Times New Roman" w:hAnsi="Times New Roman"/>
          <w:b/>
          <w:i/>
          <w:lang w:val="ru-RU"/>
        </w:rPr>
        <w:t>Заходи з безпеки та територіальної оборони</w:t>
      </w:r>
    </w:p>
    <w:p>
      <w:pPr>
        <w:pStyle w:val="NormalWeb"/>
        <w:spacing w:before="280" w:after="280"/>
        <w:jc w:val="both"/>
        <w:rPr/>
      </w:pPr>
      <w:r>
        <w:rPr/>
        <w:t>З метою створення безпечних умов освітнього процесу придбано обладнання для викладання предмета «Захист України» на суму 156,474 тис. грн (у тому числі кошти місцевого бюджету – 24,377 тис. грн).</w:t>
      </w:r>
    </w:p>
    <w:p>
      <w:pPr>
        <w:pStyle w:val="NormalWeb"/>
        <w:spacing w:before="280" w:after="280"/>
        <w:jc w:val="both"/>
        <w:rPr/>
      </w:pPr>
      <w:r>
        <w:rPr/>
        <w:t>На заходи територіальної оборони та облаштування укриттів спрямовано 4 070,138 тис. грн, зокрема на капітальні ремонти підвальних приміщень для використання як найпростіших укриттів та виготовлення проєктно-кошторисної документації для будівництва захисної споруди.</w:t>
      </w:r>
    </w:p>
    <w:p>
      <w:pPr>
        <w:pStyle w:val="Heading3"/>
        <w:rPr>
          <w:rFonts w:ascii="Times New Roman" w:hAnsi="Times New Roman" w:cs="Times New Roman"/>
          <w:b/>
          <w:i/>
          <w:lang w:val="uk-UA"/>
        </w:rPr>
      </w:pPr>
      <w:r>
        <w:rPr>
          <w:rFonts w:cs="Times New Roman" w:ascii="Times New Roman" w:hAnsi="Times New Roman"/>
          <w:b/>
          <w:i/>
          <w:lang w:val="uk-UA"/>
        </w:rPr>
        <w:t>Підвезення учнів та педагогічних працівників</w:t>
      </w:r>
    </w:p>
    <w:p>
      <w:pPr>
        <w:pStyle w:val="NormalWeb"/>
        <w:spacing w:before="280" w:after="280"/>
        <w:jc w:val="both"/>
        <w:rPr/>
      </w:pPr>
      <w:r>
        <w:rPr/>
        <w:t>Організовано безоплатне підвезення 226 учнів та 19 педагогічних працівників. Парк шкільних автобусів налічує 12 одиниць транспорту. Підвезення здійснюється відповідно до закріплених територій. Забезпеченість підвезенням учнів, які проживають у сільській місцевості та за межами пішохідної доступності, становить 100%.</w:t>
      </w:r>
    </w:p>
    <w:p>
      <w:pPr>
        <w:pStyle w:val="NormalWeb"/>
        <w:spacing w:before="280" w:after="280"/>
        <w:jc w:val="both"/>
        <w:rPr/>
      </w:pPr>
      <w:r>
        <w:rPr/>
        <w:t>На придбання запчастин для автотранспорту використано 291,472 тис. грн, на ремонт автобусів – 283,208 тис. грн.</w:t>
      </w:r>
    </w:p>
    <w:p>
      <w:pPr>
        <w:pStyle w:val="Heading3"/>
        <w:rPr>
          <w:rFonts w:ascii="Times New Roman" w:hAnsi="Times New Roman" w:cs="Times New Roman"/>
          <w:b/>
          <w:i/>
          <w:lang w:val="ru-RU"/>
        </w:rPr>
      </w:pPr>
      <w:r>
        <w:rPr>
          <w:rFonts w:cs="Times New Roman" w:ascii="Times New Roman" w:hAnsi="Times New Roman"/>
          <w:b/>
          <w:i/>
          <w:lang w:val="ru-RU"/>
        </w:rPr>
        <w:t>Реалізація Програми розвитку освіти</w:t>
      </w:r>
    </w:p>
    <w:p>
      <w:pPr>
        <w:pStyle w:val="NormalWeb"/>
        <w:spacing w:before="280" w:after="280"/>
        <w:rPr/>
      </w:pPr>
      <w:r>
        <w:rPr/>
        <w:t>У межах Програми розвитку системи освіти Роздільнянської міської територіальної громади на 2024–2027 роки у 2025 році профінансовано 288,0 тис. грн, з них:</w:t>
      </w:r>
    </w:p>
    <w:p>
      <w:pPr>
        <w:pStyle w:val="NormalWeb"/>
        <w:numPr>
          <w:ilvl w:val="0"/>
          <w:numId w:val="7"/>
        </w:numPr>
        <w:spacing w:before="280" w:after="0"/>
        <w:rPr/>
      </w:pPr>
      <w:r>
        <w:rPr/>
        <w:t>150,0 тис. грн – на проведення дитячих позашкільних заходів (освоєно повністю);</w:t>
      </w:r>
    </w:p>
    <w:p>
      <w:pPr>
        <w:pStyle w:val="NormalWeb"/>
        <w:numPr>
          <w:ilvl w:val="0"/>
          <w:numId w:val="7"/>
        </w:numPr>
        <w:spacing w:before="0" w:after="280"/>
        <w:rPr/>
      </w:pPr>
      <w:r>
        <w:rPr/>
        <w:t>138,0 тис. грн – на преміювання випускників із високими досягненнями у навчанні (освоєно 128,0 тис. грн).</w:t>
      </w:r>
    </w:p>
    <w:p>
      <w:pPr>
        <w:pStyle w:val="NormalWeb"/>
        <w:spacing w:before="280" w:after="280"/>
        <w:rPr/>
      </w:pPr>
      <w:r>
        <w:rPr/>
        <w:t xml:space="preserve">У 2025 році розпочато роботи з реконструкції приміщень майстерні під їдальню у </w:t>
      </w:r>
      <w:r>
        <w:rPr>
          <w:rStyle w:val="whitespace-normal"/>
        </w:rPr>
        <w:t>КЗ «Роздільнянський міський ліцей № 4 Роздільнянської міської ради Одеської області»</w:t>
      </w:r>
      <w:r>
        <w:rPr/>
        <w:t>.</w:t>
      </w:r>
    </w:p>
    <w:p>
      <w:pPr>
        <w:pStyle w:val="NormalWeb"/>
        <w:spacing w:before="280" w:after="280"/>
        <w:rPr/>
      </w:pPr>
      <w:r>
        <w:rPr/>
        <w:t xml:space="preserve">Загальна вартість виконаних робіт становить </w:t>
      </w:r>
      <w:r>
        <w:rPr>
          <w:rStyle w:val="Strong"/>
        </w:rPr>
        <w:t>16 381,3 тис. грн</w:t>
      </w:r>
      <w:r>
        <w:rPr/>
        <w:t>, у тому числі:</w:t>
      </w:r>
    </w:p>
    <w:p>
      <w:pPr>
        <w:pStyle w:val="NormalWeb"/>
        <w:numPr>
          <w:ilvl w:val="0"/>
          <w:numId w:val="8"/>
        </w:numPr>
        <w:spacing w:before="280" w:after="0"/>
        <w:rPr/>
      </w:pPr>
      <w:r>
        <w:rPr/>
        <w:t xml:space="preserve">за рахунок коштів місцевого бюджету (співфінансування) — </w:t>
      </w:r>
      <w:r>
        <w:rPr>
          <w:rStyle w:val="Strong"/>
        </w:rPr>
        <w:t>1 591,0 тис. грн</w:t>
      </w:r>
      <w:r>
        <w:rPr/>
        <w:t>;</w:t>
      </w:r>
    </w:p>
    <w:p>
      <w:pPr>
        <w:pStyle w:val="NormalWeb"/>
        <w:numPr>
          <w:ilvl w:val="0"/>
          <w:numId w:val="8"/>
        </w:numPr>
        <w:spacing w:before="0" w:after="280"/>
        <w:rPr/>
      </w:pPr>
      <w:r>
        <w:rPr/>
        <w:t xml:space="preserve">за рахунок коштів субвенції — </w:t>
      </w:r>
      <w:r>
        <w:rPr>
          <w:rStyle w:val="Strong"/>
        </w:rPr>
        <w:t>14 790,3 тис. грн</w:t>
      </w:r>
      <w:r>
        <w:rPr/>
        <w:t>.</w:t>
      </w:r>
    </w:p>
    <w:p>
      <w:pPr>
        <w:pStyle w:val="NormalWeb"/>
        <w:spacing w:before="280" w:after="280"/>
        <w:rPr/>
      </w:pPr>
      <w:r>
        <w:rPr/>
        <w:t xml:space="preserve">Невикористаний залишок коштів субвенції у сумі </w:t>
      </w:r>
      <w:r>
        <w:rPr>
          <w:rStyle w:val="Strong"/>
        </w:rPr>
        <w:t>16 104,062 тис. грн</w:t>
      </w:r>
      <w:r>
        <w:rPr/>
        <w:t xml:space="preserve"> повернуто до державного бюджету. З метою завершення реалізації проєкту відповідну проєктну заявку повторно подано через інформаційну систему DREAM. У разі підтримки проєкту фінансування планується отримати у 2026 році.</w:t>
      </w:r>
    </w:p>
    <w:p>
      <w:pPr>
        <w:pStyle w:val="NormalWeb"/>
        <w:spacing w:before="280" w:after="280"/>
        <w:ind w:start="360"/>
        <w:jc w:val="both"/>
        <w:rPr/>
      </w:pPr>
      <w:r>
        <w:rPr>
          <w:rStyle w:val="Strong"/>
          <w:rFonts w:eastAsia="" w:eastAsiaTheme="majorEastAsia"/>
          <w:b w:val="false"/>
        </w:rPr>
        <w:t>Отже</w:t>
      </w:r>
      <w:r>
        <w:rPr/>
        <w:t>, у 2025 році забезпечено стабільне та безперебійне функціонування закладів загальної середньої освіти громади. Фінансові ресурси використано відповідно до затверджених призначень із дотриманням вимог бюджетного законодавства. У повному обсязі профінансовано оплату праці, енергоносії, організацію харчування, підвезення учнів, підтримку осіб з особливими освітніми потребами, заходи з безпеки та проведення ремонтних робіт. Реалізація запланованих заходів сприяла створенню безпечних і належних умов для навчання, підвищенню якості освітнього процесу та забезпеченню сталого розвитку закладів освіти громади.</w:t>
      </w:r>
    </w:p>
    <w:p>
      <w:pPr>
        <w:pStyle w:val="Normal"/>
        <w:spacing w:before="0" w:after="160"/>
        <w:rPr>
          <w:rFonts w:ascii="Times New Roman" w:hAnsi="Times New Roman" w:cs="Times New Roman"/>
          <w:sz w:val="24"/>
          <w:szCs w:val="24"/>
          <w:lang w:val="uk-UA"/>
        </w:rPr>
      </w:pPr>
      <w:r>
        <w:rPr>
          <w:rFonts w:cs="Times New Roman" w:ascii="Times New Roman" w:hAnsi="Times New Roman"/>
          <w:sz w:val="24"/>
          <w:szCs w:val="24"/>
          <w:lang w:val="uk-UA"/>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Cambria">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6ce8"/>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next w:val="Normal"/>
    <w:link w:val="2"/>
    <w:uiPriority w:val="99"/>
    <w:unhideWhenUsed/>
    <w:qFormat/>
    <w:rsid w:val="00e06ce8"/>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3"/>
    <w:uiPriority w:val="9"/>
    <w:semiHidden/>
    <w:unhideWhenUsed/>
    <w:qFormat/>
    <w:rsid w:val="006074d5"/>
    <w:pPr>
      <w:keepNext w:val="true"/>
      <w:keepLines/>
      <w:spacing w:before="40" w:after="0"/>
      <w:outlineLvl w:val="2"/>
    </w:pPr>
    <w:rPr>
      <w:rFonts w:ascii="Cambria" w:hAnsi="Cambria" w:eastAsia="" w:cs="" w:asciiTheme="majorHAnsi" w:cstheme="majorBidi" w:eastAsiaTheme="majorEastAsia" w:hAnsiTheme="majorHAnsi"/>
      <w:color w:themeColor="accent1" w:themeShade="7f" w:val="243F60"/>
      <w:sz w:val="24"/>
      <w:szCs w:val="24"/>
    </w:rPr>
  </w:style>
  <w:style w:type="character" w:styleId="DefaultParagraphFont" w:default="1">
    <w:name w:val="Default Paragraph Font"/>
    <w:uiPriority w:val="1"/>
    <w:semiHidden/>
    <w:unhideWhenUsed/>
    <w:qFormat/>
    <w:rPr/>
  </w:style>
  <w:style w:type="character" w:styleId="2" w:customStyle="1">
    <w:name w:val="Заголовок 2 Знак"/>
    <w:basedOn w:val="DefaultParagraphFont"/>
    <w:uiPriority w:val="99"/>
    <w:qFormat/>
    <w:rsid w:val="00e06ce8"/>
    <w:rPr>
      <w:rFonts w:ascii="Cambria" w:hAnsi="Cambria" w:eastAsia="" w:cs="" w:asciiTheme="majorHAnsi" w:cstheme="majorBidi" w:eastAsiaTheme="majorEastAsia" w:hAnsiTheme="majorHAnsi"/>
      <w:color w:themeColor="accent1" w:themeShade="bf" w:val="365F91"/>
      <w:sz w:val="26"/>
      <w:szCs w:val="26"/>
      <w:lang w:val="en-US"/>
    </w:rPr>
  </w:style>
  <w:style w:type="character" w:styleId="Strong">
    <w:name w:val="Strong"/>
    <w:basedOn w:val="DefaultParagraphFont"/>
    <w:uiPriority w:val="22"/>
    <w:qFormat/>
    <w:rsid w:val="00c4388c"/>
    <w:rPr>
      <w:b/>
      <w:bCs/>
    </w:rPr>
  </w:style>
  <w:style w:type="character" w:styleId="3" w:customStyle="1">
    <w:name w:val="Заголовок 3 Знак"/>
    <w:basedOn w:val="DefaultParagraphFont"/>
    <w:uiPriority w:val="9"/>
    <w:semiHidden/>
    <w:qFormat/>
    <w:rsid w:val="006074d5"/>
    <w:rPr>
      <w:rFonts w:ascii="Cambria" w:hAnsi="Cambria" w:eastAsia="" w:cs="" w:asciiTheme="majorHAnsi" w:cstheme="majorBidi" w:eastAsiaTheme="majorEastAsia" w:hAnsiTheme="majorHAnsi"/>
      <w:color w:themeColor="accent1" w:themeShade="7f" w:val="243F60"/>
      <w:sz w:val="24"/>
      <w:szCs w:val="24"/>
      <w:lang w:val="en-US"/>
    </w:rPr>
  </w:style>
  <w:style w:type="character" w:styleId="whitespace-normal" w:customStyle="1">
    <w:name w:val="whitespace-normal"/>
    <w:basedOn w:val="DefaultParagraphFont"/>
    <w:qFormat/>
    <w:rsid w:val="003d00e5"/>
    <w:rPr/>
  </w:style>
  <w:style w:type="character" w:styleId="Style12" w:customStyle="1">
    <w:name w:val="Текст выноски Знак"/>
    <w:basedOn w:val="DefaultParagraphFont"/>
    <w:link w:val="BalloonText"/>
    <w:uiPriority w:val="99"/>
    <w:semiHidden/>
    <w:qFormat/>
    <w:rsid w:val="00db2ba1"/>
    <w:rPr>
      <w:rFonts w:ascii="Tahoma" w:hAnsi="Tahoma" w:cs="Tahoma"/>
      <w:sz w:val="16"/>
      <w:szCs w:val="16"/>
      <w:lang w:val="en-US"/>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cs="Arial"/>
    </w:rPr>
  </w:style>
  <w:style w:type="paragraph" w:styleId="NoSpacing">
    <w:name w:val="No Spacing"/>
    <w:uiPriority w:val="1"/>
    <w:qFormat/>
    <w:rsid w:val="00e06ce8"/>
    <w:pPr>
      <w:widowControl/>
      <w:bidi w:val="0"/>
      <w:spacing w:lineRule="auto" w:line="240" w:before="0" w:after="0"/>
      <w:jc w:val="start"/>
    </w:pPr>
    <w:rPr>
      <w:rFonts w:eastAsia="" w:eastAsiaTheme="minorEastAsia" w:ascii="Calibri" w:hAnsi="Calibri" w:cs=""/>
      <w:color w:val="auto"/>
      <w:kern w:val="0"/>
      <w:sz w:val="22"/>
      <w:szCs w:val="22"/>
      <w:lang w:val="ru-RU" w:eastAsia="ru-RU" w:bidi="ar-SA"/>
    </w:rPr>
  </w:style>
  <w:style w:type="paragraph" w:styleId="ListParagraph">
    <w:name w:val="List Paragraph"/>
    <w:basedOn w:val="Normal"/>
    <w:uiPriority w:val="99"/>
    <w:qFormat/>
    <w:rsid w:val="00e06ce8"/>
    <w:pPr>
      <w:spacing w:before="0" w:after="160"/>
      <w:ind w:start="720"/>
      <w:contextualSpacing/>
    </w:pPr>
    <w:rPr/>
  </w:style>
  <w:style w:type="paragraph" w:styleId="NormalWeb">
    <w:name w:val="Normal (Web)"/>
    <w:basedOn w:val="Normal"/>
    <w:uiPriority w:val="99"/>
    <w:unhideWhenUsed/>
    <w:qFormat/>
    <w:rsid w:val="00c4388c"/>
    <w:pPr>
      <w:spacing w:lineRule="auto" w:line="240" w:beforeAutospacing="1" w:afterAutospacing="1"/>
    </w:pPr>
    <w:rPr>
      <w:rFonts w:ascii="Times New Roman" w:hAnsi="Times New Roman" w:eastAsia="Times New Roman" w:cs="Times New Roman"/>
      <w:sz w:val="24"/>
      <w:szCs w:val="24"/>
      <w:lang w:val="uk-UA" w:eastAsia="uk-UA"/>
    </w:rPr>
  </w:style>
  <w:style w:type="paragraph" w:styleId="BalloonText">
    <w:name w:val="Balloon Text"/>
    <w:basedOn w:val="Normal"/>
    <w:link w:val="Style12"/>
    <w:uiPriority w:val="99"/>
    <w:semiHidden/>
    <w:unhideWhenUsed/>
    <w:qFormat/>
    <w:rsid w:val="00db2ba1"/>
    <w:pPr>
      <w:spacing w:lineRule="auto" w:line="240" w:before="0" w:after="0"/>
    </w:pPr>
    <w:rPr>
      <w:rFonts w:ascii="Tahoma" w:hAnsi="Tahoma" w:cs="Tahoma"/>
      <w:sz w:val="16"/>
      <w:szCs w:val="16"/>
    </w:rPr>
  </w:style>
  <w:style w:type="numbering" w:styleId="Style15"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e06ce8"/>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162</TotalTime>
  <Application>LibreOffice/25.8.5.2$Windows_x86 LibreOffice_project/9c8b85f387cc00a89945a79c9e6239f32e450ac2</Application>
  <AppVersion>15.0000</AppVersion>
  <Pages>5</Pages>
  <Words>1330</Words>
  <Characters>8760</Characters>
  <CharactersWithSpaces>9998</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2026-02-12T09:58:00Z</dcterms:created>
  <dc:creator>Користувач</dc:creator>
  <dc:description/>
  <dc:language>uk-UA</dc:language>
  <cp:lastModifiedBy/>
  <cp:lastPrinted>2026-02-16T12:14:00Z</cp:lastPrinted>
  <dcterms:modified xsi:type="dcterms:W3CDTF">2026-03-28T18:31:47Z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