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5760"/>
        <w:rPr>
          <w:b/>
          <w:bCs/>
        </w:rPr>
      </w:pPr>
      <w:r>
        <w:rPr>
          <w:b/>
          <w:bCs/>
        </w:rPr>
        <w:t>ЗАТВЕРДЖЕНО</w:t>
      </w:r>
    </w:p>
    <w:p>
      <w:pPr>
        <w:pStyle w:val="Normal"/>
        <w:ind w:firstLine="720" w:start="5760"/>
        <w:rPr/>
      </w:pPr>
      <w:r>
        <w:rPr/>
        <w:t>Рішення Роздільнянської міської ради</w:t>
      </w:r>
    </w:p>
    <w:p>
      <w:pPr>
        <w:pStyle w:val="Normal"/>
        <w:ind w:firstLine="720" w:start="5760"/>
        <w:rPr/>
      </w:pPr>
      <w:r>
        <w:rPr/>
        <w:t xml:space="preserve">17 березня 2026  року </w:t>
      </w:r>
    </w:p>
    <w:p>
      <w:pPr>
        <w:pStyle w:val="Normal"/>
        <w:ind w:firstLine="720" w:start="5760"/>
        <w:rPr/>
      </w:pPr>
      <w:bookmarkStart w:id="0" w:name="_GoBack"/>
      <w:bookmarkEnd w:id="0"/>
      <w:r>
        <w:rPr/>
        <w:t>№</w:t>
      </w:r>
      <w:hyperlink r:id="rId2">
        <w:r>
          <w:rPr>
            <w:rStyle w:val="Hyperlink"/>
          </w:rPr>
          <w:t>5123-VIII</w:t>
        </w:r>
      </w:hyperlink>
    </w:p>
    <w:tbl>
      <w:tblPr>
        <w:tblW w:w="10206"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10206"/>
      </w:tblGrid>
      <w:tr>
        <w:trPr/>
        <w:tc>
          <w:tcPr>
            <w:tcW w:w="10206" w:type="dxa"/>
            <w:tcBorders/>
            <w:vAlign w:val="center"/>
          </w:tcPr>
          <w:p>
            <w:pPr>
              <w:pStyle w:val="Normal"/>
              <w:jc w:val="center"/>
              <w:rPr>
                <w:b/>
              </w:rPr>
            </w:pPr>
            <w:r>
              <w:rPr>
                <w:b/>
              </w:rPr>
            </w:r>
          </w:p>
          <w:p>
            <w:pPr>
              <w:pStyle w:val="Normal"/>
              <w:jc w:val="center"/>
              <w:rPr>
                <w:b/>
              </w:rPr>
            </w:pPr>
            <w:r>
              <w:rPr>
                <w:b/>
              </w:rPr>
              <w:t xml:space="preserve">Підсумковий звіт про  результати  виконання Програми інформатизації </w:t>
            </w:r>
          </w:p>
          <w:p>
            <w:pPr>
              <w:pStyle w:val="Normal"/>
              <w:jc w:val="center"/>
              <w:rPr>
                <w:b/>
              </w:rPr>
            </w:pPr>
            <w:r>
              <w:rPr>
                <w:b/>
              </w:rPr>
              <w:t>Роздільнянської міської ради на 2025-2026 роки</w:t>
            </w:r>
          </w:p>
          <w:p>
            <w:pPr>
              <w:pStyle w:val="Normal"/>
              <w:jc w:val="center"/>
              <w:rPr>
                <w:b/>
              </w:rPr>
            </w:pPr>
            <w:r>
              <w:rPr>
                <w:b/>
              </w:rPr>
            </w:r>
          </w:p>
        </w:tc>
      </w:tr>
    </w:tbl>
    <w:p>
      <w:pPr>
        <w:pStyle w:val="Normal"/>
        <w:ind w:firstLine="426"/>
        <w:jc w:val="both"/>
        <w:rPr/>
      </w:pPr>
      <w:r>
        <w:rPr/>
        <w:t>Програма інформатизації Роздільнянської міської ради на 2025-2026 роки, затверджена Рішенням Роздільнянської міської ради від 23 грудня 2024 року № 4421-VIIІ (яке втратило чинність відповідно до п. 4 Рішення Роздільнянської міської ради від 24.12.2025 № 5027-VIII «Про затвердження Програми інформатизації Роздільнянської міської територіальної громади на 2026-2028 роки»).</w:t>
      </w:r>
    </w:p>
    <w:p>
      <w:pPr>
        <w:pStyle w:val="Normal"/>
        <w:jc w:val="both"/>
        <w:rPr/>
      </w:pPr>
      <w:r>
        <w:rPr/>
      </w:r>
    </w:p>
    <w:p>
      <w:pPr>
        <w:pStyle w:val="Normal"/>
        <w:ind w:firstLine="426"/>
        <w:jc w:val="both"/>
        <w:rPr/>
      </w:pPr>
      <w:r>
        <w:rPr/>
        <w:t>Мета Програми -  розбудова інформаційного суспільства, впровадження сучасних та перспективних інформаційних технологій у діяльність міської ради, удосконалення системи забезпечення її інформацією для підтримки процесів прийняття управлінських рішень, забезпечення інформаційних потреб громадян своєчасною, достовірною та повною інформацією на основі широкого використання інформаційних технологій.</w:t>
      </w:r>
    </w:p>
    <w:p>
      <w:pPr>
        <w:pStyle w:val="Normal"/>
        <w:ind w:firstLine="426"/>
        <w:jc w:val="both"/>
        <w:rPr>
          <w:rFonts w:eastAsia="Calibri"/>
        </w:rPr>
      </w:pPr>
      <w:r>
        <w:rPr>
          <w:rFonts w:eastAsia="Calibri"/>
        </w:rPr>
        <w:t>Головний виконавець Програми – Роздільнянська міська рада</w:t>
      </w:r>
    </w:p>
    <w:p>
      <w:pPr>
        <w:pStyle w:val="Normal"/>
        <w:ind w:firstLine="426"/>
        <w:jc w:val="both"/>
        <w:rPr>
          <w:rFonts w:eastAsia="Calibri"/>
        </w:rPr>
      </w:pPr>
      <w:r>
        <w:rPr>
          <w:rFonts w:eastAsia="Calibri"/>
        </w:rPr>
      </w:r>
    </w:p>
    <w:p>
      <w:pPr>
        <w:pStyle w:val="Normal"/>
        <w:spacing w:before="0" w:after="0"/>
        <w:ind w:firstLine="426"/>
        <w:contextualSpacing/>
        <w:jc w:val="both"/>
        <w:rPr>
          <w:rFonts w:eastAsia="Calibri"/>
        </w:rPr>
      </w:pPr>
      <w:r>
        <w:rPr>
          <w:rFonts w:eastAsia="Calibri"/>
        </w:rPr>
        <w:t>Фінансування Програми, протягом 2025 року здійснювалось за рахунок коштів бюджету Роздільнянської міської територіальної громади.</w:t>
      </w:r>
    </w:p>
    <w:p>
      <w:pPr>
        <w:pStyle w:val="Normal"/>
        <w:ind w:firstLine="426"/>
        <w:jc w:val="both"/>
        <w:rPr/>
      </w:pPr>
      <w:r>
        <w:rPr/>
      </w:r>
    </w:p>
    <w:p>
      <w:pPr>
        <w:pStyle w:val="Normal"/>
        <w:ind w:firstLine="426"/>
        <w:jc w:val="both"/>
        <w:rPr/>
      </w:pPr>
      <w:r>
        <w:rPr/>
        <w:t>Обсяг запланованого фінансування Програми на 2025 рік складав  – 463,424 грн.</w:t>
      </w:r>
    </w:p>
    <w:p>
      <w:pPr>
        <w:pStyle w:val="Normal"/>
        <w:ind w:firstLine="426"/>
        <w:jc w:val="both"/>
        <w:rPr/>
      </w:pPr>
      <w:r>
        <w:rPr/>
        <w:t>Профінансовано протягом 2025 року –</w:t>
      </w:r>
      <w:r>
        <w:rPr>
          <w:b/>
        </w:rPr>
        <w:t xml:space="preserve"> </w:t>
      </w:r>
      <w:r>
        <w:rPr/>
        <w:t xml:space="preserve">384 677,14 грн. </w:t>
      </w:r>
    </w:p>
    <w:p>
      <w:pPr>
        <w:pStyle w:val="Normal"/>
        <w:ind w:firstLine="426"/>
        <w:jc w:val="both"/>
        <w:rPr/>
      </w:pPr>
      <w:r>
        <w:rPr/>
        <w:t xml:space="preserve">Економія після проведення закупівель </w:t>
      </w:r>
      <w:r>
        <w:rPr>
          <w:lang w:val="ru-RU"/>
        </w:rPr>
        <w:t xml:space="preserve">– </w:t>
      </w:r>
      <w:r>
        <w:rPr/>
        <w:t>50 222,86 (10,84% від плану)</w:t>
      </w:r>
    </w:p>
    <w:p>
      <w:pPr>
        <w:pStyle w:val="Normal"/>
        <w:ind w:firstLine="426"/>
        <w:jc w:val="both"/>
        <w:rPr/>
      </w:pPr>
      <w:r>
        <w:rPr/>
        <w:t>На впровадження системи АСКОД не використано 35 424 грн (7,64% від плану)</w:t>
      </w:r>
    </w:p>
    <w:p>
      <w:pPr>
        <w:pStyle w:val="Normal"/>
        <w:ind w:firstLine="426"/>
        <w:jc w:val="both"/>
        <w:rPr/>
      </w:pPr>
      <w:r>
        <w:rPr/>
        <w:t>Програма виконана на 92,36 %</w:t>
      </w:r>
    </w:p>
    <w:p>
      <w:pPr>
        <w:pStyle w:val="Normal"/>
        <w:spacing w:before="0" w:after="0"/>
        <w:ind w:firstLine="284"/>
        <w:contextualSpacing/>
        <w:jc w:val="both"/>
        <w:rPr>
          <w:rFonts w:eastAsia="Calibri"/>
        </w:rPr>
      </w:pPr>
      <w:r>
        <w:rPr>
          <w:rFonts w:eastAsia="Calibri"/>
        </w:rPr>
      </w:r>
    </w:p>
    <w:p>
      <w:pPr>
        <w:pStyle w:val="Normal"/>
        <w:spacing w:before="0" w:after="0"/>
        <w:ind w:firstLine="284"/>
        <w:contextualSpacing/>
        <w:jc w:val="both"/>
        <w:rPr>
          <w:rFonts w:eastAsia="Calibri"/>
        </w:rPr>
      </w:pPr>
      <w:r>
        <w:rPr>
          <w:rFonts w:eastAsia="Calibri"/>
        </w:rPr>
        <w:t xml:space="preserve">На виконання Програми, протягом 2025 року  виконувались наступні заходи: </w:t>
      </w:r>
    </w:p>
    <w:p>
      <w:pPr>
        <w:pStyle w:val="Normal"/>
        <w:suppressAutoHyphens w:val="false"/>
        <w:spacing w:before="0" w:after="0"/>
        <w:ind w:firstLine="720"/>
        <w:contextualSpacing/>
        <w:jc w:val="both"/>
        <w:rPr>
          <w:rFonts w:eastAsia="Calibri" w:eastAsiaTheme="minorHAnsi"/>
          <w:lang w:eastAsia="en-US"/>
        </w:rPr>
      </w:pPr>
      <w:r>
        <w:rPr>
          <w:rFonts w:eastAsia="Calibri" w:eastAsiaTheme="minorHAnsi"/>
          <w:lang w:eastAsia="en-US"/>
        </w:rPr>
      </w:r>
    </w:p>
    <w:tbl>
      <w:tblPr>
        <w:tblpPr w:vertAnchor="text" w:horzAnchor="margin" w:leftFromText="180" w:rightFromText="180" w:tblpX="0" w:tblpY="110"/>
        <w:tblW w:w="10485"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567"/>
        <w:gridCol w:w="1271"/>
        <w:gridCol w:w="1843"/>
        <w:gridCol w:w="849"/>
        <w:gridCol w:w="1419"/>
        <w:gridCol w:w="1133"/>
        <w:gridCol w:w="1135"/>
        <w:gridCol w:w="850"/>
        <w:gridCol w:w="1418"/>
      </w:tblGrid>
      <w:tr>
        <w:trPr/>
        <w:tc>
          <w:tcPr>
            <w:tcW w:w="567"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t>№</w:t>
            </w:r>
          </w:p>
          <w:p>
            <w:pPr>
              <w:pStyle w:val="Normal"/>
              <w:rPr>
                <w:rFonts w:eastAsia="Calibri"/>
                <w:b/>
                <w:sz w:val="20"/>
                <w:szCs w:val="20"/>
              </w:rPr>
            </w:pPr>
            <w:r>
              <w:rPr>
                <w:rFonts w:eastAsia="Calibri"/>
                <w:b/>
                <w:sz w:val="20"/>
                <w:szCs w:val="20"/>
              </w:rPr>
              <w:t>з/п</w:t>
            </w:r>
          </w:p>
        </w:tc>
        <w:tc>
          <w:tcPr>
            <w:tcW w:w="1271"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t>Пріорі</w:t>
            </w:r>
          </w:p>
          <w:p>
            <w:pPr>
              <w:pStyle w:val="Normal"/>
              <w:rPr>
                <w:rFonts w:eastAsia="Calibri"/>
                <w:b/>
                <w:sz w:val="20"/>
                <w:szCs w:val="20"/>
              </w:rPr>
            </w:pPr>
            <w:r>
              <w:rPr>
                <w:rFonts w:eastAsia="Calibri"/>
                <w:b/>
                <w:sz w:val="20"/>
                <w:szCs w:val="20"/>
              </w:rPr>
              <w:t>тетні завдання</w:t>
            </w:r>
          </w:p>
        </w:tc>
        <w:tc>
          <w:tcPr>
            <w:tcW w:w="1843"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t>Зміст заходів</w:t>
            </w:r>
          </w:p>
        </w:tc>
        <w:tc>
          <w:tcPr>
            <w:tcW w:w="849"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t>Строк</w:t>
            </w:r>
          </w:p>
          <w:p>
            <w:pPr>
              <w:pStyle w:val="Normal"/>
              <w:rPr>
                <w:rFonts w:eastAsia="Calibri"/>
                <w:b/>
                <w:sz w:val="20"/>
                <w:szCs w:val="20"/>
              </w:rPr>
            </w:pPr>
            <w:r>
              <w:rPr>
                <w:rFonts w:eastAsia="Calibri"/>
                <w:b/>
                <w:sz w:val="20"/>
                <w:szCs w:val="20"/>
              </w:rPr>
              <w:t>виконання</w:t>
            </w:r>
          </w:p>
        </w:tc>
        <w:tc>
          <w:tcPr>
            <w:tcW w:w="1419"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t>Виконавці</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t>Річний обсяг фінансування, тис.грн.</w:t>
            </w:r>
          </w:p>
        </w:tc>
        <w:tc>
          <w:tcPr>
            <w:tcW w:w="1135"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t>Фактично профінансовано протягом 2025 року, тис.грн.</w:t>
            </w:r>
          </w:p>
        </w:tc>
        <w:tc>
          <w:tcPr>
            <w:tcW w:w="850"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t>Відсоток виконання заходу, %</w:t>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t>Інформація про виконання або причини невиконання заходу</w:t>
            </w:r>
          </w:p>
        </w:tc>
      </w:tr>
      <w:tr>
        <w:trPr>
          <w:trHeight w:val="1387" w:hRule="atLeast"/>
          <w:cantSplit w:val="true"/>
        </w:trPr>
        <w:tc>
          <w:tcPr>
            <w:tcW w:w="567"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sz w:val="20"/>
                <w:szCs w:val="20"/>
              </w:rPr>
            </w:pPr>
            <w:r>
              <w:rPr>
                <w:rFonts w:eastAsia="Calibri" w:ascii="Calibri" w:hAnsi="Calibri"/>
                <w:sz w:val="20"/>
                <w:szCs w:val="20"/>
              </w:rPr>
              <w:t>1</w:t>
            </w:r>
          </w:p>
        </w:tc>
        <w:tc>
          <w:tcPr>
            <w:tcW w:w="1271"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sz w:val="20"/>
                <w:szCs w:val="20"/>
              </w:rPr>
            </w:pPr>
            <w:r>
              <w:rPr>
                <w:rFonts w:eastAsia="Calibri"/>
                <w:sz w:val="20"/>
                <w:szCs w:val="20"/>
              </w:rPr>
              <w:t>Впровадження системи електронного документообігу «АСКОД»</w:t>
            </w:r>
          </w:p>
        </w:tc>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Придбання системи електронного документообігу «АСКОД»</w:t>
            </w:r>
          </w:p>
        </w:tc>
        <w:tc>
          <w:tcPr>
            <w:tcW w:w="849"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9" w:type="dxa"/>
            <w:tcBorders>
              <w:top w:val="single" w:sz="4" w:space="0" w:color="000000"/>
              <w:start w:val="single" w:sz="4" w:space="0" w:color="000000"/>
              <w:bottom w:val="single" w:sz="4" w:space="0" w:color="000000"/>
              <w:end w:val="single" w:sz="4" w:space="0" w:color="000000"/>
            </w:tcBorders>
          </w:tcPr>
          <w:p>
            <w:pPr>
              <w:pStyle w:val="Normal"/>
              <w:ind w:start="1"/>
              <w:rPr>
                <w:rFonts w:eastAsia="Calibri"/>
                <w:sz w:val="20"/>
                <w:szCs w:val="20"/>
              </w:rPr>
            </w:pPr>
            <w:r>
              <w:rPr>
                <w:sz w:val="20"/>
                <w:szCs w:val="20"/>
              </w:rPr>
              <w:t>Роздільнянська міська рада</w:t>
            </w:r>
          </w:p>
        </w:tc>
        <w:tc>
          <w:tcPr>
            <w:tcW w:w="113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rPr>
            </w:pPr>
            <w:r>
              <w:rPr>
                <w:rFonts w:eastAsia="Calibri"/>
                <w:sz w:val="20"/>
                <w:szCs w:val="20"/>
              </w:rPr>
              <w:t>11300</w:t>
            </w:r>
          </w:p>
        </w:tc>
        <w:tc>
          <w:tcPr>
            <w:tcW w:w="113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0</w:t>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Не реалізовано у 2025 р. через необхідність підготовки інфраструктури і нормативних документів. Перенесено на 2026 рік. р</w:t>
            </w:r>
          </w:p>
        </w:tc>
      </w:tr>
      <w:tr>
        <w:trPr/>
        <w:tc>
          <w:tcPr>
            <w:tcW w:w="567" w:type="dxa"/>
            <w:vMerge w:val="restart"/>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sz w:val="20"/>
                <w:szCs w:val="20"/>
              </w:rPr>
            </w:pPr>
            <w:r>
              <w:rPr>
                <w:rFonts w:eastAsia="Calibri" w:ascii="Calibri" w:hAnsi="Calibri"/>
                <w:sz w:val="20"/>
                <w:szCs w:val="20"/>
              </w:rPr>
              <w:t>2</w:t>
            </w:r>
          </w:p>
        </w:tc>
        <w:tc>
          <w:tcPr>
            <w:tcW w:w="127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rPr>
                <w:rFonts w:ascii="Calibri" w:hAnsi="Calibri" w:eastAsia="Calibri"/>
                <w:sz w:val="20"/>
                <w:szCs w:val="20"/>
              </w:rPr>
            </w:pPr>
            <w:r>
              <w:rPr>
                <w:sz w:val="20"/>
                <w:szCs w:val="20"/>
              </w:rPr>
              <w:t>Розвиток і впровадження актуальних європейських норм і стандартів інформатизації в усіх сферах життєдіяльності громади, оснащення новою сучасною комп’ютерною технікою працівників міської ради.</w:t>
            </w:r>
          </w:p>
        </w:tc>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0"/>
              <w:contextualSpacing/>
              <w:rPr>
                <w:rFonts w:eastAsia="Calibri"/>
                <w:sz w:val="20"/>
                <w:szCs w:val="20"/>
                <w:lang w:eastAsia="en-US"/>
              </w:rPr>
            </w:pPr>
            <w:r>
              <w:rPr>
                <w:rFonts w:eastAsia="Calibri"/>
                <w:sz w:val="20"/>
                <w:szCs w:val="20"/>
                <w:lang w:eastAsia="en-US"/>
              </w:rPr>
              <w:t>Сканер настільний</w:t>
            </w:r>
          </w:p>
        </w:tc>
        <w:tc>
          <w:tcPr>
            <w:tcW w:w="849"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9"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Роздільнянська міська рада</w:t>
            </w:r>
          </w:p>
        </w:tc>
        <w:tc>
          <w:tcPr>
            <w:tcW w:w="113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30068</w:t>
            </w:r>
          </w:p>
        </w:tc>
        <w:tc>
          <w:tcPr>
            <w:tcW w:w="113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17880</w:t>
            </w:r>
          </w:p>
        </w:tc>
        <w:tc>
          <w:tcPr>
            <w:tcW w:w="850"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100</w:t>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виконано</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sz w:val="20"/>
                <w:szCs w:val="20"/>
              </w:rPr>
            </w:pPr>
            <w:r>
              <w:rPr>
                <w:rFonts w:eastAsia="Calibri" w:ascii="Calibri" w:hAnsi="Calibri"/>
                <w:sz w:val="20"/>
                <w:szCs w:val="20"/>
              </w:rPr>
            </w:r>
          </w:p>
        </w:tc>
        <w:tc>
          <w:tcPr>
            <w:tcW w:w="12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rPr>
                <w:sz w:val="20"/>
                <w:szCs w:val="20"/>
              </w:rPr>
            </w:pPr>
            <w:r>
              <w:rPr>
                <w:sz w:val="20"/>
                <w:szCs w:val="20"/>
              </w:rPr>
            </w:r>
          </w:p>
        </w:tc>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0"/>
              <w:contextualSpacing/>
              <w:rPr>
                <w:rFonts w:eastAsia="Calibri"/>
                <w:sz w:val="20"/>
                <w:szCs w:val="20"/>
                <w:lang w:eastAsia="en-US"/>
              </w:rPr>
            </w:pPr>
            <w:r>
              <w:rPr>
                <w:rFonts w:eastAsia="Calibri"/>
                <w:sz w:val="20"/>
                <w:szCs w:val="20"/>
                <w:lang w:eastAsia="en-US"/>
              </w:rPr>
              <w:t>Джерело</w:t>
            </w:r>
          </w:p>
          <w:p>
            <w:pPr>
              <w:pStyle w:val="Normal"/>
              <w:suppressAutoHyphens w:val="false"/>
              <w:spacing w:before="0" w:after="0"/>
              <w:contextualSpacing/>
              <w:rPr>
                <w:rFonts w:eastAsia="Calibri"/>
                <w:sz w:val="20"/>
                <w:szCs w:val="20"/>
                <w:lang w:eastAsia="en-US"/>
              </w:rPr>
            </w:pPr>
            <w:r>
              <w:rPr>
                <w:rFonts w:eastAsia="Calibri"/>
                <w:sz w:val="20"/>
                <w:szCs w:val="20"/>
                <w:lang w:eastAsia="en-US"/>
              </w:rPr>
              <w:t>безперебійного</w:t>
            </w:r>
          </w:p>
          <w:p>
            <w:pPr>
              <w:pStyle w:val="Normal"/>
              <w:suppressAutoHyphens w:val="false"/>
              <w:spacing w:before="0" w:after="0"/>
              <w:contextualSpacing/>
              <w:rPr>
                <w:rFonts w:eastAsia="Calibri"/>
                <w:sz w:val="20"/>
                <w:szCs w:val="20"/>
                <w:lang w:eastAsia="en-US"/>
              </w:rPr>
            </w:pPr>
            <w:r>
              <w:rPr>
                <w:rFonts w:eastAsia="Calibri"/>
                <w:sz w:val="20"/>
                <w:szCs w:val="20"/>
                <w:lang w:eastAsia="en-US"/>
              </w:rPr>
              <w:t>живлення</w:t>
            </w:r>
          </w:p>
        </w:tc>
        <w:tc>
          <w:tcPr>
            <w:tcW w:w="849"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9" w:type="dxa"/>
            <w:tcBorders>
              <w:top w:val="single" w:sz="4" w:space="0" w:color="000000"/>
              <w:start w:val="single" w:sz="4" w:space="0" w:color="000000"/>
              <w:bottom w:val="single" w:sz="4" w:space="0" w:color="000000"/>
              <w:end w:val="single" w:sz="4" w:space="0" w:color="000000"/>
            </w:tcBorders>
          </w:tcPr>
          <w:p>
            <w:pPr>
              <w:pStyle w:val="Normal"/>
              <w:rPr>
                <w:sz w:val="20"/>
                <w:szCs w:val="20"/>
              </w:rPr>
            </w:pPr>
            <w:r>
              <w:rPr>
                <w:sz w:val="20"/>
                <w:szCs w:val="20"/>
              </w:rPr>
              <w:t>Роздільнянська міська рада</w:t>
            </w:r>
          </w:p>
        </w:tc>
        <w:tc>
          <w:tcPr>
            <w:tcW w:w="113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45000</w:t>
            </w:r>
          </w:p>
        </w:tc>
        <w:tc>
          <w:tcPr>
            <w:tcW w:w="113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99405.54</w:t>
            </w:r>
          </w:p>
        </w:tc>
        <w:tc>
          <w:tcPr>
            <w:tcW w:w="850"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100</w:t>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виконано</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sz w:val="20"/>
                <w:szCs w:val="20"/>
              </w:rPr>
            </w:pPr>
            <w:r>
              <w:rPr>
                <w:rFonts w:eastAsia="Calibri" w:ascii="Calibri" w:hAnsi="Calibri"/>
                <w:sz w:val="20"/>
                <w:szCs w:val="20"/>
              </w:rPr>
            </w:r>
          </w:p>
        </w:tc>
        <w:tc>
          <w:tcPr>
            <w:tcW w:w="12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rPr>
                <w:sz w:val="20"/>
                <w:szCs w:val="20"/>
              </w:rPr>
            </w:pPr>
            <w:r>
              <w:rPr>
                <w:sz w:val="20"/>
                <w:szCs w:val="20"/>
              </w:rPr>
            </w:r>
          </w:p>
        </w:tc>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0"/>
              <w:contextualSpacing/>
              <w:rPr>
                <w:rFonts w:eastAsia="Calibri"/>
                <w:sz w:val="20"/>
                <w:szCs w:val="20"/>
                <w:lang w:eastAsia="en-US"/>
              </w:rPr>
            </w:pPr>
            <w:r>
              <w:rPr>
                <w:rFonts w:eastAsia="Calibri"/>
                <w:sz w:val="20"/>
                <w:szCs w:val="20"/>
                <w:lang w:eastAsia="en-US"/>
              </w:rPr>
              <w:t>ПК в зборі</w:t>
            </w:r>
          </w:p>
        </w:tc>
        <w:tc>
          <w:tcPr>
            <w:tcW w:w="849"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9" w:type="dxa"/>
            <w:tcBorders>
              <w:top w:val="single" w:sz="4" w:space="0" w:color="000000"/>
              <w:start w:val="single" w:sz="4" w:space="0" w:color="000000"/>
              <w:bottom w:val="single" w:sz="4" w:space="0" w:color="000000"/>
              <w:end w:val="single" w:sz="4" w:space="0" w:color="000000"/>
            </w:tcBorders>
          </w:tcPr>
          <w:p>
            <w:pPr>
              <w:pStyle w:val="Normal"/>
              <w:rPr>
                <w:sz w:val="20"/>
                <w:szCs w:val="20"/>
              </w:rPr>
            </w:pPr>
            <w:r>
              <w:rPr>
                <w:sz w:val="20"/>
                <w:szCs w:val="20"/>
              </w:rPr>
              <w:t>Роздільнянська міська рада</w:t>
            </w:r>
          </w:p>
        </w:tc>
        <w:tc>
          <w:tcPr>
            <w:tcW w:w="113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205500</w:t>
            </w:r>
          </w:p>
        </w:tc>
        <w:tc>
          <w:tcPr>
            <w:tcW w:w="113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153291.60</w:t>
            </w:r>
          </w:p>
        </w:tc>
        <w:tc>
          <w:tcPr>
            <w:tcW w:w="850"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100</w:t>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виконано</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sz w:val="20"/>
                <w:szCs w:val="20"/>
              </w:rPr>
            </w:pPr>
            <w:r>
              <w:rPr>
                <w:rFonts w:eastAsia="Calibri" w:ascii="Calibri" w:hAnsi="Calibri"/>
                <w:sz w:val="20"/>
                <w:szCs w:val="20"/>
              </w:rPr>
            </w:r>
          </w:p>
        </w:tc>
        <w:tc>
          <w:tcPr>
            <w:tcW w:w="12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rPr>
                <w:sz w:val="20"/>
                <w:szCs w:val="20"/>
              </w:rPr>
            </w:pPr>
            <w:r>
              <w:rPr>
                <w:sz w:val="20"/>
                <w:szCs w:val="20"/>
              </w:rPr>
            </w:r>
          </w:p>
        </w:tc>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0"/>
              <w:contextualSpacing/>
              <w:rPr>
                <w:rFonts w:eastAsia="Calibri"/>
                <w:sz w:val="20"/>
                <w:szCs w:val="20"/>
                <w:lang w:eastAsia="en-US"/>
              </w:rPr>
            </w:pPr>
            <w:r>
              <w:rPr>
                <w:rFonts w:eastAsia="Calibri"/>
                <w:sz w:val="20"/>
                <w:szCs w:val="20"/>
                <w:lang w:eastAsia="en-US"/>
              </w:rPr>
              <w:t>Багато</w:t>
            </w:r>
          </w:p>
          <w:p>
            <w:pPr>
              <w:pStyle w:val="Normal"/>
              <w:suppressAutoHyphens w:val="false"/>
              <w:spacing w:before="0" w:after="0"/>
              <w:contextualSpacing/>
              <w:rPr>
                <w:rFonts w:eastAsia="Calibri"/>
                <w:sz w:val="20"/>
                <w:szCs w:val="20"/>
                <w:lang w:eastAsia="en-US"/>
              </w:rPr>
            </w:pPr>
            <w:r>
              <w:rPr>
                <w:rFonts w:eastAsia="Calibri"/>
                <w:sz w:val="20"/>
                <w:szCs w:val="20"/>
                <w:lang w:eastAsia="en-US"/>
              </w:rPr>
              <w:t>функціональний</w:t>
            </w:r>
          </w:p>
          <w:p>
            <w:pPr>
              <w:pStyle w:val="Normal"/>
              <w:suppressAutoHyphens w:val="false"/>
              <w:spacing w:before="0" w:after="0"/>
              <w:contextualSpacing/>
              <w:rPr>
                <w:rFonts w:eastAsia="Calibri"/>
                <w:sz w:val="20"/>
                <w:szCs w:val="20"/>
                <w:lang w:eastAsia="en-US"/>
              </w:rPr>
            </w:pPr>
            <w:r>
              <w:rPr>
                <w:rFonts w:eastAsia="Calibri"/>
                <w:sz w:val="20"/>
                <w:szCs w:val="20"/>
                <w:lang w:eastAsia="en-US"/>
              </w:rPr>
              <w:t>пристрій (копір -</w:t>
            </w:r>
          </w:p>
          <w:p>
            <w:pPr>
              <w:pStyle w:val="Normal"/>
              <w:suppressAutoHyphens w:val="false"/>
              <w:spacing w:before="0" w:after="0"/>
              <w:contextualSpacing/>
              <w:rPr>
                <w:rFonts w:eastAsia="Calibri"/>
                <w:sz w:val="20"/>
                <w:szCs w:val="20"/>
                <w:lang w:eastAsia="en-US"/>
              </w:rPr>
            </w:pPr>
            <w:r>
              <w:rPr>
                <w:rFonts w:eastAsia="Calibri"/>
                <w:sz w:val="20"/>
                <w:szCs w:val="20"/>
                <w:lang w:eastAsia="en-US"/>
              </w:rPr>
              <w:t>принтер - сканер)</w:t>
            </w:r>
          </w:p>
        </w:tc>
        <w:tc>
          <w:tcPr>
            <w:tcW w:w="849"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9" w:type="dxa"/>
            <w:tcBorders>
              <w:top w:val="single" w:sz="4" w:space="0" w:color="000000"/>
              <w:start w:val="single" w:sz="4" w:space="0" w:color="000000"/>
              <w:bottom w:val="single" w:sz="4" w:space="0" w:color="000000"/>
              <w:end w:val="single" w:sz="4" w:space="0" w:color="000000"/>
            </w:tcBorders>
          </w:tcPr>
          <w:p>
            <w:pPr>
              <w:pStyle w:val="Normal"/>
              <w:rPr>
                <w:sz w:val="20"/>
                <w:szCs w:val="20"/>
              </w:rPr>
            </w:pPr>
            <w:r>
              <w:rPr>
                <w:sz w:val="20"/>
                <w:szCs w:val="20"/>
              </w:rPr>
              <w:t>Роздільнянська міська рада</w:t>
            </w:r>
          </w:p>
        </w:tc>
        <w:tc>
          <w:tcPr>
            <w:tcW w:w="113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98000</w:t>
            </w:r>
          </w:p>
        </w:tc>
        <w:tc>
          <w:tcPr>
            <w:tcW w:w="113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39900</w:t>
            </w:r>
          </w:p>
        </w:tc>
        <w:tc>
          <w:tcPr>
            <w:tcW w:w="850"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100</w:t>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виконано</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sz w:val="20"/>
                <w:szCs w:val="20"/>
              </w:rPr>
            </w:pPr>
            <w:r>
              <w:rPr>
                <w:rFonts w:eastAsia="Calibri" w:ascii="Calibri" w:hAnsi="Calibri"/>
                <w:sz w:val="20"/>
                <w:szCs w:val="20"/>
              </w:rPr>
            </w:r>
          </w:p>
        </w:tc>
        <w:tc>
          <w:tcPr>
            <w:tcW w:w="12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rPr>
                <w:sz w:val="20"/>
                <w:szCs w:val="20"/>
              </w:rPr>
            </w:pPr>
            <w:r>
              <w:rPr>
                <w:sz w:val="20"/>
                <w:szCs w:val="20"/>
              </w:rPr>
            </w:r>
          </w:p>
        </w:tc>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0"/>
              <w:contextualSpacing/>
              <w:rPr>
                <w:rFonts w:eastAsia="Calibri"/>
                <w:sz w:val="20"/>
                <w:szCs w:val="20"/>
                <w:lang w:eastAsia="en-US"/>
              </w:rPr>
            </w:pPr>
            <w:r>
              <w:rPr>
                <w:rFonts w:eastAsia="Calibri"/>
                <w:sz w:val="20"/>
                <w:szCs w:val="20"/>
                <w:lang w:eastAsia="en-US"/>
              </w:rPr>
              <w:t>Ноутбуки</w:t>
            </w:r>
          </w:p>
        </w:tc>
        <w:tc>
          <w:tcPr>
            <w:tcW w:w="849"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9" w:type="dxa"/>
            <w:tcBorders>
              <w:top w:val="single" w:sz="4" w:space="0" w:color="000000"/>
              <w:start w:val="single" w:sz="4" w:space="0" w:color="000000"/>
              <w:bottom w:val="single" w:sz="4" w:space="0" w:color="000000"/>
              <w:end w:val="single" w:sz="4" w:space="0" w:color="000000"/>
            </w:tcBorders>
          </w:tcPr>
          <w:p>
            <w:pPr>
              <w:pStyle w:val="Normal"/>
              <w:rPr>
                <w:sz w:val="20"/>
                <w:szCs w:val="20"/>
              </w:rPr>
            </w:pPr>
            <w:r>
              <w:rPr>
                <w:sz w:val="20"/>
                <w:szCs w:val="20"/>
              </w:rPr>
              <w:t>Роздільнянська міська рада</w:t>
            </w:r>
          </w:p>
        </w:tc>
        <w:tc>
          <w:tcPr>
            <w:tcW w:w="113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49432</w:t>
            </w:r>
          </w:p>
        </w:tc>
        <w:tc>
          <w:tcPr>
            <w:tcW w:w="113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38700</w:t>
            </w:r>
          </w:p>
        </w:tc>
        <w:tc>
          <w:tcPr>
            <w:tcW w:w="850"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100</w:t>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виконано</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sz w:val="20"/>
                <w:szCs w:val="20"/>
              </w:rPr>
            </w:pPr>
            <w:r>
              <w:rPr>
                <w:rFonts w:eastAsia="Calibri" w:ascii="Calibri" w:hAnsi="Calibri"/>
                <w:sz w:val="20"/>
                <w:szCs w:val="20"/>
              </w:rPr>
            </w:r>
          </w:p>
        </w:tc>
        <w:tc>
          <w:tcPr>
            <w:tcW w:w="12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rPr>
                <w:sz w:val="20"/>
                <w:szCs w:val="20"/>
              </w:rPr>
            </w:pPr>
            <w:r>
              <w:rPr>
                <w:sz w:val="20"/>
                <w:szCs w:val="20"/>
              </w:rPr>
            </w:r>
          </w:p>
        </w:tc>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0"/>
              <w:contextualSpacing/>
              <w:rPr>
                <w:rFonts w:eastAsia="Calibri"/>
                <w:sz w:val="20"/>
                <w:szCs w:val="20"/>
                <w:lang w:eastAsia="en-US"/>
              </w:rPr>
            </w:pPr>
            <w:r>
              <w:rPr>
                <w:rFonts w:eastAsia="Calibri"/>
                <w:sz w:val="20"/>
                <w:szCs w:val="20"/>
                <w:lang w:eastAsia="en-US"/>
              </w:rPr>
              <w:t>Залучення сучасної</w:t>
            </w:r>
          </w:p>
          <w:p>
            <w:pPr>
              <w:pStyle w:val="Normal"/>
              <w:suppressAutoHyphens w:val="false"/>
              <w:spacing w:before="0" w:after="0"/>
              <w:contextualSpacing/>
              <w:rPr>
                <w:rFonts w:eastAsia="Calibri"/>
                <w:sz w:val="20"/>
                <w:szCs w:val="20"/>
                <w:lang w:eastAsia="en-US"/>
              </w:rPr>
            </w:pPr>
            <w:r>
              <w:rPr>
                <w:rFonts w:eastAsia="Calibri"/>
                <w:sz w:val="20"/>
                <w:szCs w:val="20"/>
                <w:lang w:eastAsia="en-US"/>
              </w:rPr>
              <w:t>комп'ютерної</w:t>
            </w:r>
          </w:p>
          <w:p>
            <w:pPr>
              <w:pStyle w:val="Normal"/>
              <w:suppressAutoHyphens w:val="false"/>
              <w:spacing w:before="0" w:after="0"/>
              <w:contextualSpacing/>
              <w:rPr>
                <w:rFonts w:eastAsia="Calibri"/>
                <w:sz w:val="20"/>
                <w:szCs w:val="20"/>
                <w:lang w:eastAsia="en-US"/>
              </w:rPr>
            </w:pPr>
            <w:r>
              <w:rPr>
                <w:rFonts w:eastAsia="Calibri"/>
                <w:sz w:val="20"/>
                <w:szCs w:val="20"/>
                <w:lang w:eastAsia="en-US"/>
              </w:rPr>
              <w:t>техніки</w:t>
            </w:r>
          </w:p>
        </w:tc>
        <w:tc>
          <w:tcPr>
            <w:tcW w:w="849"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9" w:type="dxa"/>
            <w:tcBorders>
              <w:top w:val="single" w:sz="4" w:space="0" w:color="000000"/>
              <w:start w:val="single" w:sz="4" w:space="0" w:color="000000"/>
              <w:bottom w:val="single" w:sz="4" w:space="0" w:color="000000"/>
              <w:end w:val="single" w:sz="4" w:space="0" w:color="000000"/>
            </w:tcBorders>
          </w:tcPr>
          <w:p>
            <w:pPr>
              <w:pStyle w:val="Normal"/>
              <w:rPr>
                <w:sz w:val="20"/>
                <w:szCs w:val="20"/>
              </w:rPr>
            </w:pPr>
            <w:r>
              <w:rPr>
                <w:sz w:val="20"/>
                <w:szCs w:val="20"/>
              </w:rPr>
              <w:t>Роздільнянська міська рада</w:t>
            </w:r>
          </w:p>
        </w:tc>
        <w:tc>
          <w:tcPr>
            <w:tcW w:w="113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r>
          </w:p>
        </w:tc>
        <w:tc>
          <w:tcPr>
            <w:tcW w:w="113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28600</w:t>
            </w:r>
          </w:p>
        </w:tc>
        <w:tc>
          <w:tcPr>
            <w:tcW w:w="850"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1</w:t>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Придбано 1 ПК в зборі з ліцензійним програмним забезпеченням</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sz w:val="20"/>
                <w:szCs w:val="20"/>
              </w:rPr>
            </w:pPr>
            <w:r>
              <w:rPr>
                <w:rFonts w:eastAsia="Calibri" w:ascii="Calibri" w:hAnsi="Calibri"/>
                <w:sz w:val="20"/>
                <w:szCs w:val="20"/>
              </w:rPr>
            </w:r>
          </w:p>
        </w:tc>
        <w:tc>
          <w:tcPr>
            <w:tcW w:w="12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rPr>
                <w:sz w:val="20"/>
                <w:szCs w:val="20"/>
              </w:rPr>
            </w:pPr>
            <w:r>
              <w:rPr>
                <w:sz w:val="20"/>
                <w:szCs w:val="20"/>
              </w:rPr>
            </w:r>
          </w:p>
        </w:tc>
        <w:tc>
          <w:tcPr>
            <w:tcW w:w="184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0"/>
              <w:contextualSpacing/>
              <w:rPr>
                <w:rFonts w:eastAsia="Calibri"/>
                <w:sz w:val="20"/>
                <w:szCs w:val="20"/>
                <w:lang w:eastAsia="en-US"/>
              </w:rPr>
            </w:pPr>
            <w:r>
              <w:rPr>
                <w:rFonts w:eastAsia="Calibri"/>
                <w:sz w:val="20"/>
                <w:szCs w:val="20"/>
                <w:lang w:eastAsia="en-US"/>
              </w:rPr>
              <w:t>Аудит локальної мережі</w:t>
            </w:r>
          </w:p>
        </w:tc>
        <w:tc>
          <w:tcPr>
            <w:tcW w:w="849"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9" w:type="dxa"/>
            <w:tcBorders>
              <w:top w:val="single" w:sz="4" w:space="0" w:color="000000"/>
              <w:start w:val="single" w:sz="4" w:space="0" w:color="000000"/>
              <w:bottom w:val="single" w:sz="4" w:space="0" w:color="000000"/>
              <w:end w:val="single" w:sz="4" w:space="0" w:color="000000"/>
            </w:tcBorders>
          </w:tcPr>
          <w:p>
            <w:pPr>
              <w:pStyle w:val="Normal"/>
              <w:rPr>
                <w:sz w:val="20"/>
                <w:szCs w:val="20"/>
              </w:rPr>
            </w:pPr>
            <w:r>
              <w:rPr>
                <w:sz w:val="20"/>
                <w:szCs w:val="20"/>
              </w:rPr>
              <w:t>Роздільнянська міська рада</w:t>
            </w:r>
          </w:p>
        </w:tc>
        <w:tc>
          <w:tcPr>
            <w:tcW w:w="113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r>
          </w:p>
        </w:tc>
        <w:tc>
          <w:tcPr>
            <w:tcW w:w="113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6900</w:t>
            </w:r>
          </w:p>
        </w:tc>
        <w:tc>
          <w:tcPr>
            <w:tcW w:w="850"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100</w:t>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Проведено аудит локальної мережі із залученням спеціалістів КП «обласного інформаційно-аналітичного центру»</w:t>
            </w:r>
          </w:p>
        </w:tc>
      </w:tr>
      <w:tr>
        <w:trPr>
          <w:trHeight w:val="56" w:hRule="atLeast"/>
        </w:trPr>
        <w:tc>
          <w:tcPr>
            <w:tcW w:w="5949" w:type="dxa"/>
            <w:gridSpan w:val="5"/>
            <w:tcBorders>
              <w:top w:val="single" w:sz="4" w:space="0" w:color="000000"/>
              <w:start w:val="single" w:sz="4" w:space="0" w:color="000000"/>
              <w:bottom w:val="single" w:sz="4" w:space="0" w:color="000000"/>
              <w:end w:val="single" w:sz="4" w:space="0" w:color="000000"/>
            </w:tcBorders>
          </w:tcPr>
          <w:p>
            <w:pPr>
              <w:pStyle w:val="Normal"/>
              <w:rPr>
                <w:b/>
                <w:sz w:val="20"/>
                <w:szCs w:val="20"/>
              </w:rPr>
            </w:pPr>
            <w:r>
              <w:rPr>
                <w:b/>
                <w:sz w:val="20"/>
                <w:szCs w:val="20"/>
              </w:rPr>
              <w:t>Всього:</w:t>
            </w:r>
          </w:p>
        </w:tc>
        <w:tc>
          <w:tcPr>
            <w:tcW w:w="113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b/>
                <w:sz w:val="20"/>
                <w:szCs w:val="20"/>
                <w:lang w:eastAsia="en-US"/>
              </w:rPr>
            </w:pPr>
            <w:r>
              <w:rPr>
                <w:rFonts w:eastAsia="Calibri"/>
                <w:b/>
                <w:sz w:val="20"/>
                <w:szCs w:val="20"/>
                <w:lang w:eastAsia="en-US"/>
              </w:rPr>
              <w:t>439 300,00</w:t>
            </w:r>
          </w:p>
        </w:tc>
        <w:tc>
          <w:tcPr>
            <w:tcW w:w="1135"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t>384677,14</w:t>
            </w:r>
          </w:p>
        </w:tc>
        <w:tc>
          <w:tcPr>
            <w:tcW w:w="850"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eastAsia="Calibri"/>
                <w:b/>
                <w:sz w:val="20"/>
                <w:szCs w:val="20"/>
              </w:rPr>
            </w:pPr>
            <w:r>
              <w:rPr>
                <w:rFonts w:eastAsia="Calibri"/>
                <w:b/>
                <w:sz w:val="20"/>
                <w:szCs w:val="20"/>
              </w:rPr>
            </w:r>
          </w:p>
        </w:tc>
      </w:tr>
    </w:tbl>
    <w:p>
      <w:pPr>
        <w:pStyle w:val="Normal"/>
        <w:ind w:firstLine="426"/>
        <w:jc w:val="both"/>
        <w:rPr/>
      </w:pPr>
      <w:r>
        <w:rPr/>
      </w:r>
    </w:p>
    <w:p>
      <w:pPr>
        <w:pStyle w:val="Normal"/>
        <w:spacing w:before="0" w:after="0"/>
        <w:ind w:firstLine="425"/>
        <w:contextualSpacing/>
        <w:jc w:val="both"/>
        <w:rPr>
          <w:b/>
        </w:rPr>
      </w:pPr>
      <w:r>
        <w:rPr>
          <w:b/>
        </w:rPr>
        <w:t>Виконання заходів Програми, протягом 2025 раку дозволило досягти наступних результативних показників:</w:t>
      </w:r>
    </w:p>
    <w:tbl>
      <w:tblPr>
        <w:tblpPr w:vertAnchor="text" w:horzAnchor="margin" w:leftFromText="180" w:rightFromText="180" w:tblpX="0" w:tblpY="110"/>
        <w:tblW w:w="10485"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567"/>
        <w:gridCol w:w="2688"/>
        <w:gridCol w:w="993"/>
        <w:gridCol w:w="1275"/>
        <w:gridCol w:w="1418"/>
        <w:gridCol w:w="1276"/>
        <w:gridCol w:w="2268"/>
      </w:tblGrid>
      <w:tr>
        <w:trPr>
          <w:trHeight w:val="240" w:hRule="atLeast"/>
        </w:trPr>
        <w:tc>
          <w:tcPr>
            <w:tcW w:w="567"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t>№</w:t>
            </w:r>
          </w:p>
          <w:p>
            <w:pPr>
              <w:pStyle w:val="Normal"/>
              <w:jc w:val="center"/>
              <w:rPr>
                <w:rFonts w:eastAsia="Calibri"/>
                <w:b/>
                <w:sz w:val="20"/>
                <w:szCs w:val="20"/>
              </w:rPr>
            </w:pPr>
            <w:r>
              <w:rPr>
                <w:rFonts w:eastAsia="Calibri"/>
                <w:b/>
                <w:sz w:val="20"/>
                <w:szCs w:val="20"/>
              </w:rPr>
              <w:t>з/п</w:t>
            </w:r>
          </w:p>
        </w:tc>
        <w:tc>
          <w:tcPr>
            <w:tcW w:w="268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t>Найменування індикатора</w:t>
            </w:r>
          </w:p>
        </w:tc>
        <w:tc>
          <w:tcPr>
            <w:tcW w:w="993"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t>Одиниця виміру</w:t>
            </w:r>
          </w:p>
        </w:tc>
        <w:tc>
          <w:tcPr>
            <w:tcW w:w="1275"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t>Строк</w:t>
            </w:r>
          </w:p>
          <w:p>
            <w:pPr>
              <w:pStyle w:val="Normal"/>
              <w:jc w:val="center"/>
              <w:rPr>
                <w:rFonts w:eastAsia="Calibri"/>
                <w:b/>
                <w:sz w:val="20"/>
                <w:szCs w:val="20"/>
              </w:rPr>
            </w:pPr>
            <w:r>
              <w:rPr>
                <w:rFonts w:eastAsia="Calibri"/>
                <w:b/>
                <w:sz w:val="20"/>
                <w:szCs w:val="20"/>
              </w:rPr>
              <w:t>виконання</w:t>
            </w:r>
          </w:p>
        </w:tc>
        <w:tc>
          <w:tcPr>
            <w:tcW w:w="2694"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t>Цільові значення індексаторам</w:t>
            </w:r>
          </w:p>
        </w:tc>
        <w:tc>
          <w:tcPr>
            <w:tcW w:w="2268" w:type="dxa"/>
            <w:vMerge w:val="restart"/>
            <w:tcBorders>
              <w:top w:val="single" w:sz="4" w:space="0" w:color="000000"/>
              <w:start w:val="single" w:sz="4" w:space="0" w:color="000000"/>
              <w:bottom w:val="single" w:sz="4" w:space="0" w:color="000000"/>
              <w:end w:val="single" w:sz="4" w:space="0" w:color="000000"/>
            </w:tcBorders>
          </w:tcPr>
          <w:p>
            <w:pPr>
              <w:pStyle w:val="Normal"/>
              <w:ind w:end="-110"/>
              <w:jc w:val="center"/>
              <w:rPr>
                <w:rFonts w:eastAsia="Calibri"/>
                <w:b/>
                <w:sz w:val="20"/>
                <w:szCs w:val="20"/>
              </w:rPr>
            </w:pPr>
            <w:r>
              <w:rPr>
                <w:rFonts w:eastAsia="Calibri"/>
                <w:b/>
                <w:sz w:val="20"/>
                <w:szCs w:val="20"/>
              </w:rPr>
              <w:t>Результат</w:t>
            </w:r>
          </w:p>
        </w:tc>
      </w:tr>
      <w:tr>
        <w:trPr>
          <w:trHeight w:val="444" w:hRule="atLeast"/>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r>
          </w:p>
        </w:tc>
        <w:tc>
          <w:tcPr>
            <w:tcW w:w="2688" w:type="dxa"/>
            <w:vMerge w:val="continue"/>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r>
          </w:p>
        </w:tc>
        <w:tc>
          <w:tcPr>
            <w:tcW w:w="993" w:type="dxa"/>
            <w:vMerge w:val="continue"/>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r>
          </w:p>
        </w:tc>
        <w:tc>
          <w:tcPr>
            <w:tcW w:w="1275" w:type="dxa"/>
            <w:vMerge w:val="continue"/>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r>
          </w:p>
        </w:tc>
        <w:tc>
          <w:tcPr>
            <w:tcW w:w="1418"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t>20025 р. план</w:t>
            </w:r>
          </w:p>
        </w:tc>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t>2025 р. факт</w:t>
            </w:r>
          </w:p>
          <w:p>
            <w:pPr>
              <w:pStyle w:val="Normal"/>
              <w:jc w:val="center"/>
              <w:rPr>
                <w:rFonts w:eastAsia="Calibri"/>
                <w:b/>
                <w:sz w:val="20"/>
                <w:szCs w:val="20"/>
              </w:rPr>
            </w:pPr>
            <w:r>
              <w:rPr>
                <w:rFonts w:eastAsia="Calibri"/>
                <w:b/>
                <w:sz w:val="20"/>
                <w:szCs w:val="20"/>
              </w:rPr>
            </w:r>
          </w:p>
        </w:tc>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0"/>
                <w:szCs w:val="20"/>
              </w:rPr>
            </w:pPr>
            <w:r>
              <w:rPr>
                <w:rFonts w:eastAsia="Calibri"/>
                <w:b/>
                <w:sz w:val="20"/>
                <w:szCs w:val="20"/>
              </w:rPr>
            </w:r>
          </w:p>
        </w:tc>
      </w:tr>
      <w:tr>
        <w:trPr>
          <w:trHeight w:val="1387" w:hRule="atLeast"/>
          <w:cantSplit w:val="true"/>
        </w:trPr>
        <w:tc>
          <w:tcPr>
            <w:tcW w:w="567"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1.</w:t>
            </w:r>
          </w:p>
        </w:tc>
        <w:tc>
          <w:tcPr>
            <w:tcW w:w="268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Впровадження системи електронного документообігу «АСКОД»</w:t>
            </w:r>
          </w:p>
        </w:tc>
        <w:tc>
          <w:tcPr>
            <w:tcW w:w="99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од</w:t>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8" w:type="dxa"/>
            <w:tcBorders>
              <w:top w:val="single" w:sz="4" w:space="0" w:color="000000"/>
              <w:start w:val="single" w:sz="4" w:space="0" w:color="000000"/>
              <w:bottom w:val="single" w:sz="4" w:space="0" w:color="000000"/>
              <w:end w:val="single" w:sz="4" w:space="0" w:color="000000"/>
            </w:tcBorders>
          </w:tcPr>
          <w:p>
            <w:pPr>
              <w:pStyle w:val="Normal"/>
              <w:ind w:start="1"/>
              <w:rPr>
                <w:rFonts w:eastAsia="Calibri"/>
                <w:sz w:val="20"/>
                <w:szCs w:val="20"/>
              </w:rPr>
            </w:pPr>
            <w:r>
              <w:rPr>
                <w:sz w:val="20"/>
                <w:szCs w:val="20"/>
              </w:rPr>
              <w:t>1</w:t>
            </w:r>
          </w:p>
        </w:tc>
        <w:tc>
          <w:tcPr>
            <w:tcW w:w="127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eastAsia="Calibri"/>
                <w:sz w:val="20"/>
                <w:szCs w:val="20"/>
              </w:rPr>
            </w:pPr>
            <w:r>
              <w:rPr>
                <w:rFonts w:eastAsia="Calibri"/>
                <w:sz w:val="20"/>
                <w:szCs w:val="20"/>
              </w:rPr>
              <w:t>0</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Не впроваджено</w:t>
            </w:r>
          </w:p>
          <w:p>
            <w:pPr>
              <w:pStyle w:val="Normal"/>
              <w:rPr>
                <w:rFonts w:eastAsia="Calibri"/>
                <w:sz w:val="20"/>
                <w:szCs w:val="20"/>
              </w:rPr>
            </w:pPr>
            <w:r>
              <w:rPr>
                <w:sz w:val="20"/>
                <w:szCs w:val="20"/>
              </w:rPr>
              <w:t>Впровадження заплановано на 2026 рік з урахуванням проведених підготовчих заходів.</w:t>
            </w:r>
          </w:p>
        </w:tc>
      </w:tr>
      <w:tr>
        <w:trPr>
          <w:trHeight w:val="1387" w:hRule="atLeast"/>
          <w:cantSplit w:val="true"/>
        </w:trPr>
        <w:tc>
          <w:tcPr>
            <w:tcW w:w="567"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w:t>
            </w:r>
          </w:p>
        </w:tc>
        <w:tc>
          <w:tcPr>
            <w:tcW w:w="268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Покращення матеріально-технічної бази міської ради</w:t>
            </w:r>
          </w:p>
        </w:tc>
        <w:tc>
          <w:tcPr>
            <w:tcW w:w="99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од.</w:t>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8" w:type="dxa"/>
            <w:tcBorders>
              <w:top w:val="single" w:sz="4" w:space="0" w:color="000000"/>
              <w:start w:val="single" w:sz="4" w:space="0" w:color="000000"/>
              <w:bottom w:val="single" w:sz="4" w:space="0" w:color="000000"/>
              <w:end w:val="single" w:sz="4" w:space="0" w:color="000000"/>
            </w:tcBorders>
          </w:tcPr>
          <w:p>
            <w:pPr>
              <w:pStyle w:val="Normal"/>
              <w:ind w:start="1"/>
              <w:rPr>
                <w:sz w:val="20"/>
                <w:szCs w:val="20"/>
              </w:rPr>
            </w:pPr>
            <w:r>
              <w:rPr>
                <w:sz w:val="20"/>
                <w:szCs w:val="20"/>
              </w:rPr>
              <w:t>100</w:t>
            </w:r>
          </w:p>
        </w:tc>
        <w:tc>
          <w:tcPr>
            <w:tcW w:w="1276"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rPr>
            </w:pPr>
            <w:r>
              <w:rPr>
                <w:rFonts w:eastAsia="Calibri"/>
                <w:sz w:val="20"/>
                <w:szCs w:val="20"/>
              </w:rPr>
              <w:t>100</w:t>
            </w:r>
          </w:p>
          <w:p>
            <w:pPr>
              <w:pStyle w:val="Normal"/>
              <w:rPr>
                <w:rFonts w:eastAsia="Calibri"/>
                <w:sz w:val="20"/>
                <w:szCs w:val="20"/>
              </w:rPr>
            </w:pPr>
            <w:r>
              <w:rPr>
                <w:rFonts w:eastAsia="Calibri"/>
                <w:sz w:val="20"/>
                <w:szCs w:val="20"/>
              </w:rPr>
            </w:r>
          </w:p>
        </w:tc>
        <w:tc>
          <w:tcPr>
            <w:tcW w:w="2268"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Придбано та встановлено сучасну техніку, що забезпечило ефективну роботу працівників</w:t>
            </w:r>
          </w:p>
        </w:tc>
      </w:tr>
      <w:tr>
        <w:trPr>
          <w:trHeight w:val="1387" w:hRule="atLeast"/>
          <w:cantSplit w:val="true"/>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r>
          </w:p>
        </w:tc>
        <w:tc>
          <w:tcPr>
            <w:tcW w:w="2688" w:type="dxa"/>
            <w:tcBorders>
              <w:top w:val="single" w:sz="4" w:space="0" w:color="000000"/>
              <w:start w:val="single" w:sz="4" w:space="0" w:color="000000"/>
              <w:bottom w:val="single" w:sz="4" w:space="0" w:color="000000"/>
              <w:end w:val="single" w:sz="4" w:space="0" w:color="000000"/>
            </w:tcBorders>
          </w:tcPr>
          <w:p>
            <w:pPr>
              <w:pStyle w:val="Normal"/>
              <w:jc w:val="both"/>
              <w:rPr>
                <w:i/>
                <w:sz w:val="20"/>
                <w:szCs w:val="20"/>
              </w:rPr>
            </w:pPr>
            <w:r>
              <w:rPr>
                <w:i/>
                <w:sz w:val="20"/>
                <w:szCs w:val="20"/>
              </w:rPr>
              <w:t>11 комп’ютерів у зборі – 153 291,60 грн.</w:t>
            </w:r>
          </w:p>
          <w:p>
            <w:pPr>
              <w:pStyle w:val="Normal"/>
              <w:jc w:val="both"/>
              <w:rPr>
                <w:i/>
                <w:sz w:val="20"/>
                <w:szCs w:val="20"/>
              </w:rPr>
            </w:pPr>
            <w:r>
              <w:rPr>
                <w:i/>
                <w:sz w:val="20"/>
                <w:szCs w:val="20"/>
              </w:rPr>
              <w:t>1 комп’ютер в зборі з ліцензійним ПЗ – 28 600 грн.</w:t>
            </w:r>
          </w:p>
          <w:p>
            <w:pPr>
              <w:pStyle w:val="Normal"/>
              <w:jc w:val="both"/>
              <w:rPr>
                <w:i/>
                <w:sz w:val="20"/>
                <w:szCs w:val="20"/>
              </w:rPr>
            </w:pPr>
            <w:r>
              <w:rPr>
                <w:i/>
                <w:sz w:val="20"/>
                <w:szCs w:val="20"/>
              </w:rPr>
              <w:t>2 ноутбука – 38 700 грн.</w:t>
            </w:r>
          </w:p>
          <w:p>
            <w:pPr>
              <w:pStyle w:val="Normal"/>
              <w:rPr>
                <w:rFonts w:eastAsia="Calibri"/>
                <w:i/>
                <w:sz w:val="20"/>
                <w:szCs w:val="20"/>
              </w:rPr>
            </w:pPr>
            <w:r>
              <w:rPr>
                <w:rFonts w:eastAsia="Calibri"/>
                <w:i/>
                <w:sz w:val="20"/>
                <w:szCs w:val="20"/>
              </w:rPr>
            </w:r>
          </w:p>
        </w:tc>
        <w:tc>
          <w:tcPr>
            <w:tcW w:w="99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од</w:t>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8" w:type="dxa"/>
            <w:tcBorders>
              <w:top w:val="single" w:sz="4" w:space="0" w:color="000000"/>
              <w:start w:val="single" w:sz="4" w:space="0" w:color="000000"/>
              <w:bottom w:val="single" w:sz="4" w:space="0" w:color="000000"/>
              <w:end w:val="single" w:sz="4" w:space="0" w:color="000000"/>
            </w:tcBorders>
          </w:tcPr>
          <w:p>
            <w:pPr>
              <w:pStyle w:val="Normal"/>
              <w:ind w:start="1"/>
              <w:rPr>
                <w:sz w:val="20"/>
                <w:szCs w:val="20"/>
              </w:rPr>
            </w:pPr>
            <w:r>
              <w:rPr>
                <w:sz w:val="20"/>
                <w:szCs w:val="20"/>
              </w:rPr>
              <w:t>14</w:t>
            </w:r>
          </w:p>
        </w:tc>
        <w:tc>
          <w:tcPr>
            <w:tcW w:w="1276"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rPr>
            </w:pPr>
            <w:r>
              <w:rPr>
                <w:rFonts w:eastAsia="Calibri"/>
                <w:sz w:val="20"/>
                <w:szCs w:val="20"/>
              </w:rPr>
              <w:t>14</w:t>
            </w:r>
          </w:p>
        </w:tc>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r>
          </w:p>
        </w:tc>
      </w:tr>
      <w:tr>
        <w:trPr>
          <w:trHeight w:val="1387" w:hRule="atLeast"/>
          <w:cantSplit w:val="true"/>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r>
          </w:p>
        </w:tc>
        <w:tc>
          <w:tcPr>
            <w:tcW w:w="2688" w:type="dxa"/>
            <w:tcBorders>
              <w:top w:val="single" w:sz="4" w:space="0" w:color="000000"/>
              <w:start w:val="single" w:sz="4" w:space="0" w:color="000000"/>
              <w:bottom w:val="single" w:sz="4" w:space="0" w:color="000000"/>
              <w:end w:val="single" w:sz="4" w:space="0" w:color="000000"/>
            </w:tcBorders>
          </w:tcPr>
          <w:p>
            <w:pPr>
              <w:pStyle w:val="Normal"/>
              <w:jc w:val="both"/>
              <w:rPr>
                <w:i/>
                <w:sz w:val="20"/>
                <w:szCs w:val="20"/>
              </w:rPr>
            </w:pPr>
            <w:r>
              <w:rPr>
                <w:i/>
                <w:sz w:val="20"/>
                <w:szCs w:val="20"/>
              </w:rPr>
              <w:t>6 БФП – 39 900 грн.</w:t>
            </w:r>
          </w:p>
          <w:p>
            <w:pPr>
              <w:pStyle w:val="Normal"/>
              <w:rPr>
                <w:rFonts w:eastAsia="Calibri"/>
                <w:i/>
                <w:sz w:val="20"/>
                <w:szCs w:val="20"/>
              </w:rPr>
            </w:pPr>
            <w:r>
              <w:rPr>
                <w:rFonts w:eastAsia="Calibri"/>
                <w:i/>
                <w:sz w:val="20"/>
                <w:szCs w:val="20"/>
              </w:rPr>
            </w:r>
          </w:p>
        </w:tc>
        <w:tc>
          <w:tcPr>
            <w:tcW w:w="99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од</w:t>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8" w:type="dxa"/>
            <w:tcBorders>
              <w:top w:val="single" w:sz="4" w:space="0" w:color="000000"/>
              <w:start w:val="single" w:sz="4" w:space="0" w:color="000000"/>
              <w:bottom w:val="single" w:sz="4" w:space="0" w:color="000000"/>
              <w:end w:val="single" w:sz="4" w:space="0" w:color="000000"/>
            </w:tcBorders>
          </w:tcPr>
          <w:p>
            <w:pPr>
              <w:pStyle w:val="Normal"/>
              <w:ind w:start="1"/>
              <w:rPr>
                <w:sz w:val="20"/>
                <w:szCs w:val="20"/>
              </w:rPr>
            </w:pPr>
            <w:r>
              <w:rPr>
                <w:sz w:val="20"/>
                <w:szCs w:val="20"/>
              </w:rPr>
              <w:t>6</w:t>
            </w:r>
          </w:p>
        </w:tc>
        <w:tc>
          <w:tcPr>
            <w:tcW w:w="1276"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rPr>
            </w:pPr>
            <w:r>
              <w:rPr>
                <w:rFonts w:eastAsia="Calibri"/>
                <w:sz w:val="20"/>
                <w:szCs w:val="20"/>
              </w:rPr>
              <w:t>6</w:t>
            </w:r>
          </w:p>
        </w:tc>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r>
          </w:p>
        </w:tc>
      </w:tr>
      <w:tr>
        <w:trPr>
          <w:trHeight w:val="1387" w:hRule="atLeast"/>
          <w:cantSplit w:val="true"/>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r>
          </w:p>
        </w:tc>
        <w:tc>
          <w:tcPr>
            <w:tcW w:w="2688" w:type="dxa"/>
            <w:tcBorders>
              <w:top w:val="single" w:sz="4" w:space="0" w:color="000000"/>
              <w:start w:val="single" w:sz="4" w:space="0" w:color="000000"/>
              <w:bottom w:val="single" w:sz="4" w:space="0" w:color="000000"/>
              <w:end w:val="single" w:sz="4" w:space="0" w:color="000000"/>
            </w:tcBorders>
          </w:tcPr>
          <w:p>
            <w:pPr>
              <w:pStyle w:val="Normal"/>
              <w:jc w:val="both"/>
              <w:rPr>
                <w:i/>
                <w:sz w:val="20"/>
                <w:szCs w:val="20"/>
              </w:rPr>
            </w:pPr>
            <w:r>
              <w:rPr>
                <w:i/>
                <w:sz w:val="20"/>
                <w:szCs w:val="20"/>
              </w:rPr>
              <w:t>2 настільних сканера – 17 880 грн.</w:t>
            </w:r>
          </w:p>
          <w:p>
            <w:pPr>
              <w:pStyle w:val="Normal"/>
              <w:jc w:val="both"/>
              <w:rPr>
                <w:i/>
                <w:sz w:val="20"/>
                <w:szCs w:val="20"/>
              </w:rPr>
            </w:pPr>
            <w:r>
              <w:rPr>
                <w:i/>
                <w:sz w:val="20"/>
                <w:szCs w:val="20"/>
              </w:rPr>
            </w:r>
          </w:p>
        </w:tc>
        <w:tc>
          <w:tcPr>
            <w:tcW w:w="99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од</w:t>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8" w:type="dxa"/>
            <w:tcBorders>
              <w:top w:val="single" w:sz="4" w:space="0" w:color="000000"/>
              <w:start w:val="single" w:sz="4" w:space="0" w:color="000000"/>
              <w:bottom w:val="single" w:sz="4" w:space="0" w:color="000000"/>
              <w:end w:val="single" w:sz="4" w:space="0" w:color="000000"/>
            </w:tcBorders>
          </w:tcPr>
          <w:p>
            <w:pPr>
              <w:pStyle w:val="Normal"/>
              <w:ind w:start="1"/>
              <w:rPr>
                <w:sz w:val="20"/>
                <w:szCs w:val="20"/>
              </w:rPr>
            </w:pPr>
            <w:r>
              <w:rPr>
                <w:sz w:val="20"/>
                <w:szCs w:val="20"/>
              </w:rPr>
              <w:t>2</w:t>
            </w:r>
          </w:p>
        </w:tc>
        <w:tc>
          <w:tcPr>
            <w:tcW w:w="1276"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rPr>
            </w:pPr>
            <w:r>
              <w:rPr>
                <w:rFonts w:eastAsia="Calibri"/>
                <w:sz w:val="20"/>
                <w:szCs w:val="20"/>
              </w:rPr>
              <w:t>2</w:t>
            </w:r>
          </w:p>
        </w:tc>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r>
          </w:p>
        </w:tc>
      </w:tr>
      <w:tr>
        <w:trPr>
          <w:trHeight w:val="1387" w:hRule="atLeast"/>
          <w:cantSplit w:val="true"/>
        </w:trPr>
        <w:tc>
          <w:tcPr>
            <w:tcW w:w="567"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3.</w:t>
            </w:r>
          </w:p>
        </w:tc>
        <w:tc>
          <w:tcPr>
            <w:tcW w:w="268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Забезпечення безперебійної роботи інформаційних систем</w:t>
            </w:r>
          </w:p>
        </w:tc>
        <w:tc>
          <w:tcPr>
            <w:tcW w:w="99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од</w:t>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8" w:type="dxa"/>
            <w:tcBorders>
              <w:top w:val="single" w:sz="4" w:space="0" w:color="000000"/>
              <w:start w:val="single" w:sz="4" w:space="0" w:color="000000"/>
              <w:bottom w:val="single" w:sz="4" w:space="0" w:color="000000"/>
              <w:end w:val="single" w:sz="4" w:space="0" w:color="000000"/>
            </w:tcBorders>
          </w:tcPr>
          <w:p>
            <w:pPr>
              <w:pStyle w:val="Normal"/>
              <w:ind w:start="1"/>
              <w:rPr>
                <w:sz w:val="20"/>
                <w:szCs w:val="20"/>
              </w:rPr>
            </w:pPr>
            <w:r>
              <w:rPr>
                <w:sz w:val="20"/>
                <w:szCs w:val="20"/>
              </w:rPr>
              <w:t>39</w:t>
            </w:r>
          </w:p>
        </w:tc>
        <w:tc>
          <w:tcPr>
            <w:tcW w:w="1276"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rPr>
            </w:pPr>
            <w:r>
              <w:rPr>
                <w:rFonts w:eastAsia="Calibri"/>
                <w:sz w:val="20"/>
                <w:szCs w:val="20"/>
              </w:rPr>
              <w:t>39</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Джерела безперебійного живлення придбано та введено в експлуатацію</w:t>
            </w:r>
          </w:p>
        </w:tc>
      </w:tr>
      <w:tr>
        <w:trPr>
          <w:trHeight w:val="1387" w:hRule="atLeast"/>
          <w:cantSplit w:val="true"/>
        </w:trPr>
        <w:tc>
          <w:tcPr>
            <w:tcW w:w="567"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4.</w:t>
            </w:r>
          </w:p>
        </w:tc>
        <w:tc>
          <w:tcPr>
            <w:tcW w:w="268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Проведення аудиту локальної мережі</w:t>
            </w:r>
          </w:p>
        </w:tc>
        <w:tc>
          <w:tcPr>
            <w:tcW w:w="993"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lang w:eastAsia="en-US"/>
              </w:rPr>
            </w:pPr>
            <w:r>
              <w:rPr>
                <w:rFonts w:eastAsia="Calibri"/>
                <w:sz w:val="20"/>
                <w:szCs w:val="20"/>
                <w:lang w:eastAsia="en-US"/>
              </w:rPr>
              <w:t>%</w:t>
            </w:r>
          </w:p>
        </w:tc>
        <w:tc>
          <w:tcPr>
            <w:tcW w:w="1275"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2025 р.</w:t>
            </w:r>
          </w:p>
        </w:tc>
        <w:tc>
          <w:tcPr>
            <w:tcW w:w="1418" w:type="dxa"/>
            <w:tcBorders>
              <w:top w:val="single" w:sz="4" w:space="0" w:color="000000"/>
              <w:start w:val="single" w:sz="4" w:space="0" w:color="000000"/>
              <w:bottom w:val="single" w:sz="4" w:space="0" w:color="000000"/>
              <w:end w:val="single" w:sz="4" w:space="0" w:color="000000"/>
            </w:tcBorders>
          </w:tcPr>
          <w:p>
            <w:pPr>
              <w:pStyle w:val="Normal"/>
              <w:ind w:start="1"/>
              <w:rPr>
                <w:sz w:val="20"/>
                <w:szCs w:val="20"/>
              </w:rPr>
            </w:pPr>
            <w:r>
              <w:rPr>
                <w:sz w:val="20"/>
                <w:szCs w:val="20"/>
              </w:rPr>
              <w:t>100</w:t>
            </w:r>
          </w:p>
        </w:tc>
        <w:tc>
          <w:tcPr>
            <w:tcW w:w="1276"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false"/>
              <w:spacing w:before="0" w:after="160"/>
              <w:contextualSpacing/>
              <w:rPr>
                <w:rFonts w:eastAsia="Calibri"/>
                <w:sz w:val="20"/>
                <w:szCs w:val="20"/>
              </w:rPr>
            </w:pPr>
            <w:r>
              <w:rPr>
                <w:rFonts w:eastAsia="Calibri"/>
                <w:sz w:val="20"/>
                <w:szCs w:val="20"/>
              </w:rPr>
              <w:t>100</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eastAsia="Calibri"/>
                <w:sz w:val="20"/>
                <w:szCs w:val="20"/>
              </w:rPr>
            </w:pPr>
            <w:r>
              <w:rPr>
                <w:rFonts w:eastAsia="Calibri"/>
                <w:sz w:val="20"/>
                <w:szCs w:val="20"/>
              </w:rPr>
              <w:t>Проведено аудит із залученням спеціалістів.</w:t>
            </w:r>
          </w:p>
        </w:tc>
      </w:tr>
    </w:tbl>
    <w:p>
      <w:pPr>
        <w:pStyle w:val="Normal"/>
        <w:suppressAutoHyphens w:val="false"/>
        <w:spacing w:before="0" w:after="0"/>
        <w:ind w:firstLine="720"/>
        <w:contextualSpacing/>
        <w:jc w:val="both"/>
        <w:rPr>
          <w:rFonts w:eastAsia="Calibri" w:eastAsiaTheme="minorHAnsi"/>
          <w:lang w:eastAsia="en-US"/>
        </w:rPr>
      </w:pPr>
      <w:r>
        <w:rPr>
          <w:rFonts w:eastAsia="Calibri" w:eastAsiaTheme="minorHAnsi"/>
          <w:lang w:eastAsia="en-US"/>
        </w:rPr>
      </w:r>
    </w:p>
    <w:p>
      <w:pPr>
        <w:pStyle w:val="Normal"/>
        <w:suppressAutoHyphens w:val="false"/>
        <w:spacing w:before="0" w:after="0"/>
        <w:ind w:firstLine="720"/>
        <w:contextualSpacing/>
        <w:jc w:val="both"/>
        <w:rPr>
          <w:rFonts w:eastAsia="Calibri" w:eastAsiaTheme="minorHAnsi"/>
          <w:lang w:eastAsia="en-US"/>
        </w:rPr>
      </w:pPr>
      <w:r>
        <w:rPr>
          <w:rFonts w:eastAsia="Calibri" w:eastAsiaTheme="minorHAnsi"/>
          <w:lang w:eastAsia="en-US"/>
        </w:rPr>
        <w:t>У 2025 році реалізація Програми дозволила досягти суттєвого прогресу у сфері інформатизації та технічного забезпечення діяльності Роздільнянської міської ради. Завдяки придбанню сучасної комп’ютерної техніки, багатофункціональних пристроїв та джерел безперебійного живлення було створено належні умови для ефективної роботи працівників та забезпечено стабільність функціонування інформаційних систем. Проведений аудит локальної мережі із залученням спеціалістів дав змогу визначити напрями її оптимізації та розвитку.</w:t>
      </w:r>
    </w:p>
    <w:p>
      <w:pPr>
        <w:pStyle w:val="Normal"/>
        <w:suppressAutoHyphens w:val="false"/>
        <w:spacing w:before="0" w:after="0"/>
        <w:ind w:firstLine="720"/>
        <w:contextualSpacing/>
        <w:jc w:val="both"/>
        <w:rPr>
          <w:rFonts w:eastAsia="Calibri" w:eastAsiaTheme="minorHAnsi"/>
          <w:lang w:eastAsia="en-US"/>
        </w:rPr>
      </w:pPr>
      <w:r>
        <w:rPr>
          <w:rFonts w:eastAsia="Calibri" w:eastAsiaTheme="minorHAnsi"/>
          <w:lang w:eastAsia="en-US"/>
        </w:rPr>
        <w:t>Попри високий рівень виконання більшості заходів (понад 92% від запланованого фінансування), впровадження системи електронного документообігу «АСКОД» було перенесено на 2026 рік у зв’язку з необхідністю підготовки нормативної бази та інфраструктури. Це рішення є логічним кроком, адже дозволить забезпечити якісне та безперебійне функціонування системи після її запуску.</w:t>
      </w:r>
    </w:p>
    <w:p>
      <w:pPr>
        <w:pStyle w:val="Normal"/>
        <w:suppressAutoHyphens w:val="false"/>
        <w:spacing w:before="0" w:after="0"/>
        <w:ind w:firstLine="720"/>
        <w:contextualSpacing/>
        <w:jc w:val="both"/>
        <w:rPr>
          <w:rFonts w:eastAsia="Calibri" w:eastAsiaTheme="minorHAnsi"/>
          <w:lang w:eastAsia="en-US"/>
        </w:rPr>
      </w:pPr>
      <w:r>
        <w:rPr>
          <w:rFonts w:eastAsia="Calibri" w:eastAsiaTheme="minorHAnsi"/>
          <w:lang w:eastAsia="en-US"/>
        </w:rPr>
        <w:t>Таким чином, у 2025 році було закладено міцний фундамент для подальшої цифровізації управлінських процесів, що сприятиме підвищенню прозорості, оперативності та ефективності роботи органу місцевого самоврядування у наступні роки.</w:t>
      </w:r>
    </w:p>
    <w:p>
      <w:pPr>
        <w:pStyle w:val="Normal"/>
        <w:suppressAutoHyphens w:val="false"/>
        <w:spacing w:before="0" w:after="0"/>
        <w:ind w:firstLine="720"/>
        <w:contextualSpacing/>
        <w:jc w:val="both"/>
        <w:rPr>
          <w:rFonts w:eastAsia="Calibri" w:eastAsiaTheme="minorHAnsi"/>
          <w:lang w:eastAsia="en-US"/>
        </w:rPr>
      </w:pPr>
      <w:r>
        <w:rPr>
          <w:rFonts w:eastAsia="Calibri" w:eastAsiaTheme="minorHAnsi"/>
          <w:lang w:eastAsia="en-US"/>
        </w:rPr>
      </w:r>
    </w:p>
    <w:p>
      <w:pPr>
        <w:pStyle w:val="Normal"/>
        <w:widowControl w:val="false"/>
        <w:jc w:val="both"/>
        <w:rPr>
          <w:b/>
        </w:rPr>
      </w:pPr>
      <w:r>
        <w:rPr>
          <w:b/>
        </w:rPr>
        <w:t xml:space="preserve">Начальник відділу комунікацій, </w:t>
      </w:r>
    </w:p>
    <w:p>
      <w:pPr>
        <w:pStyle w:val="Normal"/>
        <w:widowControl w:val="false"/>
        <w:jc w:val="both"/>
        <w:rPr>
          <w:b/>
        </w:rPr>
      </w:pPr>
      <w:r>
        <w:rPr>
          <w:b/>
        </w:rPr>
        <w:t xml:space="preserve">цифрової трансформації </w:t>
      </w:r>
    </w:p>
    <w:p>
      <w:pPr>
        <w:pStyle w:val="Normal"/>
        <w:widowControl w:val="false"/>
        <w:jc w:val="both"/>
        <w:rPr>
          <w:b/>
        </w:rPr>
      </w:pPr>
      <w:r>
        <w:rPr>
          <w:b/>
        </w:rPr>
        <w:t xml:space="preserve">та інформаційно – технічного забезпечення </w:t>
      </w:r>
    </w:p>
    <w:p>
      <w:pPr>
        <w:pStyle w:val="Normal"/>
        <w:widowControl w:val="false"/>
        <w:jc w:val="both"/>
        <w:rPr>
          <w:b/>
        </w:rPr>
      </w:pPr>
      <w:r>
        <w:rPr>
          <w:b/>
        </w:rPr>
        <w:t xml:space="preserve">апарату Роздільнянської міської ради </w:t>
      </w:r>
    </w:p>
    <w:p>
      <w:pPr>
        <w:pStyle w:val="Normal"/>
        <w:widowControl w:val="false"/>
        <w:jc w:val="both"/>
        <w:rPr>
          <w:b/>
          <w:lang w:eastAsia="en-US"/>
        </w:rPr>
      </w:pPr>
      <w:r>
        <w:rPr>
          <w:b/>
        </w:rPr>
        <w:t>та її виконавчого комітету</w:t>
        <w:tab/>
        <w:tab/>
        <w:tab/>
        <w:tab/>
        <w:tab/>
        <w:tab/>
        <w:tab/>
        <w:t>Альона Штувбейна</w:t>
      </w:r>
    </w:p>
    <w:p>
      <w:pPr>
        <w:pStyle w:val="Normal"/>
        <w:suppressAutoHyphens w:val="false"/>
        <w:spacing w:before="0" w:after="0"/>
        <w:contextualSpacing/>
        <w:jc w:val="center"/>
        <w:rPr>
          <w:b/>
          <w:lang w:eastAsia="en-US"/>
        </w:rPr>
      </w:pPr>
      <w:r>
        <w:rPr>
          <w:b/>
          <w:lang w:eastAsia="en-US"/>
        </w:rPr>
      </w:r>
    </w:p>
    <w:p>
      <w:pPr>
        <w:pStyle w:val="Normal"/>
        <w:suppressAutoHyphens w:val="false"/>
        <w:spacing w:before="0" w:after="0"/>
        <w:contextualSpacing/>
        <w:jc w:val="center"/>
        <w:rPr>
          <w:b/>
          <w:lang w:eastAsia="en-US"/>
        </w:rPr>
      </w:pPr>
      <w:r>
        <w:rPr>
          <w:b/>
          <w:lang w:eastAsia="en-US"/>
        </w:rPr>
      </w:r>
    </w:p>
    <w:p>
      <w:pPr>
        <w:pStyle w:val="Normal"/>
        <w:suppressAutoHyphens w:val="false"/>
        <w:spacing w:before="0" w:after="0"/>
        <w:contextualSpacing/>
        <w:jc w:val="center"/>
        <w:rPr>
          <w:b/>
          <w:lang w:eastAsia="en-US"/>
        </w:rPr>
      </w:pPr>
      <w:r>
        <w:rPr>
          <w:b/>
          <w:lang w:eastAsia="en-US"/>
        </w:rPr>
      </w:r>
    </w:p>
    <w:p>
      <w:pPr>
        <w:pStyle w:val="Normal"/>
        <w:suppressAutoHyphens w:val="false"/>
        <w:spacing w:before="0" w:after="0"/>
        <w:contextualSpacing/>
        <w:jc w:val="center"/>
        <w:rPr>
          <w:b/>
          <w:lang w:eastAsia="en-US"/>
        </w:rPr>
      </w:pPr>
      <w:r>
        <w:rPr>
          <w:b/>
          <w:lang w:eastAsia="en-US"/>
        </w:rPr>
      </w:r>
    </w:p>
    <w:p>
      <w:pPr>
        <w:pStyle w:val="Normal"/>
        <w:jc w:val="center"/>
        <w:rPr>
          <w:b/>
        </w:rPr>
      </w:pPr>
      <w:r>
        <w:rPr>
          <w:b/>
          <w:lang w:eastAsia="en-US"/>
        </w:rPr>
        <w:t xml:space="preserve">Пояснювальна записка до звіту </w:t>
      </w:r>
      <w:r>
        <w:rPr>
          <w:b/>
        </w:rPr>
        <w:t xml:space="preserve">про  результати  виконання Програми інформатизації </w:t>
      </w:r>
    </w:p>
    <w:p>
      <w:pPr>
        <w:pStyle w:val="Normal"/>
        <w:suppressAutoHyphens w:val="false"/>
        <w:spacing w:before="0" w:after="0"/>
        <w:contextualSpacing/>
        <w:jc w:val="center"/>
        <w:rPr>
          <w:b/>
        </w:rPr>
      </w:pPr>
      <w:r>
        <w:rPr>
          <w:b/>
        </w:rPr>
        <w:t>Роздільнянської міської ради на 2025-2026 роки.</w:t>
      </w:r>
    </w:p>
    <w:p>
      <w:pPr>
        <w:pStyle w:val="Normal"/>
        <w:suppressAutoHyphens w:val="false"/>
        <w:spacing w:before="0" w:after="0"/>
        <w:contextualSpacing/>
        <w:jc w:val="center"/>
        <w:rPr>
          <w:b/>
        </w:rPr>
      </w:pPr>
      <w:r>
        <w:rPr>
          <w:b/>
        </w:rPr>
      </w:r>
    </w:p>
    <w:p>
      <w:pPr>
        <w:pStyle w:val="Normal"/>
        <w:suppressAutoHyphens w:val="false"/>
        <w:spacing w:before="0" w:after="0"/>
        <w:contextualSpacing/>
        <w:jc w:val="both"/>
        <w:rPr/>
      </w:pPr>
      <w:r>
        <w:rPr/>
        <w:t>Програма інформатизації Роздільнянської міської ради на 2025-2026 роки, затверджена Рішенням Роздільнянської міської ради від 23 грудня 2024 року № 4421-VIIІ (яке втратило чинність відповідно до п. 4 Рішення Роздільнянської міської ради від 24.12.2025 № 5027-VIII «Про затвердження Програми інформатизації Роздільнянської міської територіальної громади на 2026-2028 роки»).</w:t>
      </w:r>
    </w:p>
    <w:p>
      <w:pPr>
        <w:pStyle w:val="Normal"/>
        <w:jc w:val="both"/>
        <w:rPr/>
      </w:pPr>
      <w:r>
        <w:rPr/>
      </w:r>
    </w:p>
    <w:p>
      <w:pPr>
        <w:pStyle w:val="Normal"/>
        <w:jc w:val="both"/>
        <w:rPr/>
      </w:pPr>
      <w:r>
        <w:rPr/>
        <w:t>Мета Програми – розбудова інформаційного суспільства, впровадження сучасних та перспективних інформаційних технологій у діяльність міської ради, удосконалення системи забезпечення її інформацією для підтримки процесів прийняття управлінських рішень, забезпечення інформаційних потреб громадян своєчасною, достовірною та повною інформацією на основі широкого використання інформаційних технологій</w:t>
      </w:r>
    </w:p>
    <w:p>
      <w:pPr>
        <w:pStyle w:val="Normal"/>
        <w:jc w:val="both"/>
        <w:rPr/>
      </w:pPr>
      <w:r>
        <w:rPr/>
      </w:r>
    </w:p>
    <w:p>
      <w:pPr>
        <w:pStyle w:val="Normal"/>
        <w:jc w:val="both"/>
        <w:rPr>
          <w:rFonts w:eastAsia="Calibri"/>
        </w:rPr>
      </w:pPr>
      <w:r>
        <w:rPr>
          <w:rFonts w:eastAsia="Calibri"/>
        </w:rPr>
        <w:t>Головний виконавець Програми -  Роздільнянська міська рада</w:t>
      </w:r>
    </w:p>
    <w:p>
      <w:pPr>
        <w:pStyle w:val="Normal"/>
        <w:spacing w:before="0" w:after="0"/>
        <w:contextualSpacing/>
        <w:jc w:val="both"/>
        <w:rPr>
          <w:rFonts w:eastAsia="Calibri"/>
        </w:rPr>
      </w:pPr>
      <w:r>
        <w:rPr>
          <w:rFonts w:eastAsia="Calibri"/>
        </w:rPr>
      </w:r>
    </w:p>
    <w:p>
      <w:pPr>
        <w:pStyle w:val="Normal"/>
        <w:spacing w:before="0" w:after="0"/>
        <w:contextualSpacing/>
        <w:jc w:val="both"/>
        <w:rPr>
          <w:rFonts w:eastAsia="Calibri"/>
        </w:rPr>
      </w:pPr>
      <w:r>
        <w:rPr>
          <w:rFonts w:eastAsia="Calibri"/>
        </w:rPr>
        <w:t>Фінансування Програми, протягом 2025 року здійснювалось за рахунок коштів бюджету Роздільнянської міської територіальної громади.</w:t>
      </w:r>
    </w:p>
    <w:p>
      <w:pPr>
        <w:pStyle w:val="Normal"/>
        <w:spacing w:before="0" w:after="0"/>
        <w:contextualSpacing/>
        <w:jc w:val="both"/>
        <w:rPr/>
      </w:pPr>
      <w:r>
        <w:rPr/>
        <w:t>Забезпечено модернізацію матеріально-технічної бази міської ради (комп’ютери, ноутбуки, сканери, багатофункціональні пристрої, джерела безперебійного живлення).</w:t>
      </w:r>
    </w:p>
    <w:p>
      <w:pPr>
        <w:pStyle w:val="Normal"/>
        <w:spacing w:before="0" w:after="0"/>
        <w:contextualSpacing/>
        <w:jc w:val="both"/>
        <w:rPr/>
      </w:pPr>
      <w:r>
        <w:rPr/>
        <w:t>Проведено аудит інформаційної інфраструктури, що створює основу для подальшого впровадження комплексних систем електронного врядування.</w:t>
      </w:r>
    </w:p>
    <w:p>
      <w:pPr>
        <w:pStyle w:val="Normal"/>
        <w:jc w:val="both"/>
        <w:rPr/>
      </w:pPr>
      <w:r>
        <w:rPr/>
      </w:r>
    </w:p>
    <w:p>
      <w:pPr>
        <w:pStyle w:val="Normal"/>
        <w:jc w:val="both"/>
        <w:rPr/>
      </w:pPr>
      <w:r>
        <w:rPr/>
        <w:t>У 2025 році проведено закупівлі:</w:t>
      </w:r>
    </w:p>
    <w:p>
      <w:pPr>
        <w:pStyle w:val="Normal"/>
        <w:jc w:val="both"/>
        <w:rPr>
          <w:b/>
          <w:i/>
        </w:rPr>
      </w:pPr>
      <w:r>
        <w:rPr>
          <w:b/>
          <w:i/>
        </w:rPr>
        <w:t>11 комп’ютерів у зборі – 153 291,60 грн.</w:t>
      </w:r>
    </w:p>
    <w:p>
      <w:pPr>
        <w:pStyle w:val="Normal"/>
        <w:jc w:val="both"/>
        <w:rPr>
          <w:b/>
          <w:i/>
        </w:rPr>
      </w:pPr>
      <w:r>
        <w:rPr>
          <w:b/>
          <w:i/>
        </w:rPr>
        <w:t>1 комп’ютер в зборі з ліцензійним ПЗ – 28 600 грн.</w:t>
      </w:r>
    </w:p>
    <w:p>
      <w:pPr>
        <w:pStyle w:val="Normal"/>
        <w:jc w:val="both"/>
        <w:rPr>
          <w:b/>
          <w:i/>
        </w:rPr>
      </w:pPr>
      <w:r>
        <w:rPr>
          <w:b/>
          <w:i/>
        </w:rPr>
        <w:t>2 ноутбука – 38 700 грн.</w:t>
      </w:r>
    </w:p>
    <w:p>
      <w:pPr>
        <w:pStyle w:val="Normal"/>
        <w:jc w:val="both"/>
        <w:rPr>
          <w:b/>
        </w:rPr>
      </w:pPr>
      <w:r>
        <w:rPr>
          <w:b/>
        </w:rPr>
        <w:t>Комп’ютерна техніка</w:t>
      </w:r>
    </w:p>
    <w:p>
      <w:pPr>
        <w:pStyle w:val="Normal"/>
        <w:jc w:val="both"/>
        <w:rPr/>
      </w:pPr>
      <w:r>
        <w:rPr/>
        <w:t>Необхідна кількість комп’ютерів: 42</w:t>
      </w:r>
    </w:p>
    <w:p>
      <w:pPr>
        <w:pStyle w:val="Normal"/>
        <w:jc w:val="both"/>
        <w:rPr/>
      </w:pPr>
      <w:r>
        <w:rPr/>
        <w:t>Фактично наявні: 42</w:t>
      </w:r>
    </w:p>
    <w:p>
      <w:pPr>
        <w:pStyle w:val="Normal"/>
        <w:jc w:val="both"/>
        <w:rPr/>
      </w:pPr>
      <w:r>
        <w:rPr/>
        <w:t>З них нових (до 5 років експлуатації): 19</w:t>
      </w:r>
    </w:p>
    <w:p>
      <w:pPr>
        <w:pStyle w:val="Normal"/>
        <w:jc w:val="both"/>
        <w:rPr/>
      </w:pPr>
      <w:r>
        <w:rPr/>
        <w:t>Старших за 5 років: 23</w:t>
      </w:r>
    </w:p>
    <w:p>
      <w:pPr>
        <w:pStyle w:val="Normal"/>
        <w:jc w:val="both"/>
        <w:rPr/>
      </w:pPr>
      <w:r>
        <w:rPr/>
        <w:t>Відсотки:</w:t>
      </w:r>
    </w:p>
    <w:p>
      <w:pPr>
        <w:pStyle w:val="Normal"/>
        <w:jc w:val="both"/>
        <w:rPr/>
      </w:pPr>
      <w:r>
        <w:rPr/>
        <w:t>Нові комп’ютери: 45,2%</w:t>
      </w:r>
    </w:p>
    <w:p>
      <w:pPr>
        <w:pStyle w:val="Normal"/>
        <w:jc w:val="both"/>
        <w:rPr/>
      </w:pPr>
      <w:r>
        <w:rPr/>
        <w:t>Старі комп’ютери: 54,8%</w:t>
      </w:r>
    </w:p>
    <w:p>
      <w:pPr>
        <w:pStyle w:val="Normal"/>
        <w:jc w:val="both"/>
        <w:rPr>
          <w:b/>
        </w:rPr>
      </w:pPr>
      <w:r>
        <w:rPr>
          <w:b/>
        </w:rPr>
        <w:t>Придбаної техніки у 2025 році – 33,3</w:t>
      </w:r>
      <w:r>
        <w:rPr/>
        <w:t>%</w:t>
      </w:r>
    </w:p>
    <w:p>
      <w:pPr>
        <w:pStyle w:val="Normal"/>
        <w:jc w:val="both"/>
        <w:rPr>
          <w:b/>
        </w:rPr>
      </w:pPr>
      <w:r>
        <w:rPr>
          <w:b/>
        </w:rPr>
      </w:r>
    </w:p>
    <w:p>
      <w:pPr>
        <w:pStyle w:val="Normal"/>
        <w:jc w:val="both"/>
        <w:rPr>
          <w:b/>
        </w:rPr>
      </w:pPr>
      <w:r>
        <w:rPr>
          <w:b/>
        </w:rPr>
        <w:t>Ліцензійне програмне забезпечення</w:t>
      </w:r>
    </w:p>
    <w:p>
      <w:pPr>
        <w:pStyle w:val="Normal"/>
        <w:jc w:val="both"/>
        <w:rPr/>
      </w:pPr>
      <w:r>
        <w:rPr/>
        <w:t>Загальна кількість комп’ютерів: 42</w:t>
      </w:r>
    </w:p>
    <w:p>
      <w:pPr>
        <w:pStyle w:val="Normal"/>
        <w:jc w:val="both"/>
        <w:rPr>
          <w:lang w:val="ru-RU"/>
        </w:rPr>
      </w:pPr>
      <w:r>
        <w:rPr/>
        <w:t>З ліцензійним ПЗ: 1</w:t>
      </w:r>
      <w:r>
        <w:rPr>
          <w:lang w:val="ru-RU"/>
        </w:rPr>
        <w:t xml:space="preserve"> (</w:t>
      </w:r>
      <w:r>
        <w:rPr/>
        <w:t>придбаний у 2025 р.</w:t>
      </w:r>
      <w:r>
        <w:rPr>
          <w:lang w:val="ru-RU"/>
        </w:rPr>
        <w:t>)</w:t>
      </w:r>
    </w:p>
    <w:p>
      <w:pPr>
        <w:pStyle w:val="Normal"/>
        <w:jc w:val="both"/>
        <w:rPr/>
      </w:pPr>
      <w:r>
        <w:rPr/>
        <w:t>Без ліцензійного ПЗ: 41</w:t>
      </w:r>
    </w:p>
    <w:p>
      <w:pPr>
        <w:pStyle w:val="Normal"/>
        <w:jc w:val="both"/>
        <w:rPr/>
      </w:pPr>
      <w:r>
        <w:rPr/>
        <w:t>Відсоток – 1%</w:t>
      </w:r>
    </w:p>
    <w:p>
      <w:pPr>
        <w:pStyle w:val="Normal"/>
        <w:jc w:val="both"/>
        <w:rPr/>
      </w:pPr>
      <w:r>
        <w:rPr/>
      </w:r>
    </w:p>
    <w:p>
      <w:pPr>
        <w:pStyle w:val="Normal"/>
        <w:jc w:val="both"/>
        <w:rPr>
          <w:b/>
          <w:i/>
        </w:rPr>
      </w:pPr>
      <w:r>
        <w:rPr>
          <w:b/>
          <w:i/>
        </w:rPr>
        <w:t>6 БФП – 39 900 грн.</w:t>
      </w:r>
    </w:p>
    <w:p>
      <w:pPr>
        <w:pStyle w:val="Normal"/>
        <w:jc w:val="both"/>
        <w:rPr/>
      </w:pPr>
      <w:r>
        <w:rPr/>
        <w:t>Необхідна кількість БФП: 36</w:t>
      </w:r>
    </w:p>
    <w:p>
      <w:pPr>
        <w:pStyle w:val="Normal"/>
        <w:jc w:val="both"/>
        <w:rPr/>
      </w:pPr>
      <w:r>
        <w:rPr/>
        <w:t>Фактично наявні: 33 (91,7%)</w:t>
      </w:r>
    </w:p>
    <w:p>
      <w:pPr>
        <w:pStyle w:val="Normal"/>
        <w:jc w:val="both"/>
        <w:rPr/>
      </w:pPr>
      <w:r>
        <w:rPr/>
        <w:t>Нових (до 5 років експлуатації): 14 (38,9%)</w:t>
      </w:r>
    </w:p>
    <w:p>
      <w:pPr>
        <w:pStyle w:val="Normal"/>
        <w:jc w:val="both"/>
        <w:rPr/>
      </w:pPr>
      <w:r>
        <w:rPr/>
        <w:t>Старших за 5 років: 19 (52,8%)</w:t>
      </w:r>
    </w:p>
    <w:p>
      <w:pPr>
        <w:pStyle w:val="Normal"/>
        <w:jc w:val="both"/>
        <w:rPr/>
      </w:pPr>
      <w:r>
        <w:rPr/>
        <w:t>Дефіцит: 3 одиниці (8,3%) та понад половина наявної техніки є застарілою та потребує заміни найближчим часом. Також є необхідність у придбані 1 кольорового принтера.</w:t>
      </w:r>
    </w:p>
    <w:p>
      <w:pPr>
        <w:pStyle w:val="Normal"/>
        <w:jc w:val="both"/>
        <w:rPr/>
      </w:pPr>
      <w:r>
        <w:rPr/>
      </w:r>
    </w:p>
    <w:p>
      <w:pPr>
        <w:pStyle w:val="Normal"/>
        <w:jc w:val="both"/>
        <w:rPr>
          <w:b/>
          <w:i/>
        </w:rPr>
      </w:pPr>
      <w:r>
        <w:rPr>
          <w:b/>
          <w:i/>
        </w:rPr>
        <w:t>2 настільних сканера – 17 880 грн.</w:t>
      </w:r>
    </w:p>
    <w:p>
      <w:pPr>
        <w:pStyle w:val="Normal"/>
        <w:jc w:val="both"/>
        <w:rPr>
          <w:b/>
          <w:i/>
        </w:rPr>
      </w:pPr>
      <w:r>
        <w:rPr>
          <w:b/>
          <w:i/>
        </w:rPr>
        <w:t>39 джерел безперебійного живлення – 99 405,54 грн.</w:t>
      </w:r>
    </w:p>
    <w:p>
      <w:pPr>
        <w:pStyle w:val="Normal"/>
        <w:jc w:val="both"/>
        <w:rPr>
          <w:b/>
        </w:rPr>
      </w:pPr>
      <w:r>
        <w:rPr>
          <w:b/>
        </w:rPr>
        <w:t>Джерела безперебійного живлення (UPS)</w:t>
      </w:r>
    </w:p>
    <w:p>
      <w:pPr>
        <w:pStyle w:val="Normal"/>
        <w:jc w:val="both"/>
        <w:rPr/>
      </w:pPr>
      <w:r>
        <w:rPr/>
        <w:t>Закуплено у 2025 році: 39</w:t>
      </w:r>
    </w:p>
    <w:p>
      <w:pPr>
        <w:pStyle w:val="Normal"/>
        <w:jc w:val="both"/>
        <w:rPr/>
      </w:pPr>
      <w:r>
        <w:rPr/>
        <w:t>Потреба за результатами аудиту: 43 (для кожного робочого місця + для стабільної роботи інтернету)</w:t>
      </w:r>
    </w:p>
    <w:p>
      <w:pPr>
        <w:pStyle w:val="Normal"/>
        <w:jc w:val="both"/>
        <w:rPr/>
      </w:pPr>
      <w:r>
        <w:rPr/>
        <w:t>Додатково необхідно: 4</w:t>
      </w:r>
    </w:p>
    <w:p>
      <w:pPr>
        <w:pStyle w:val="Normal"/>
        <w:jc w:val="both"/>
        <w:rPr>
          <w:lang w:val="ru-RU"/>
        </w:rPr>
      </w:pPr>
      <w:r>
        <w:rPr/>
        <w:t>Відсотки забезпеченості: 90,7 (придбані у 2025 р.)</w:t>
      </w:r>
    </w:p>
    <w:p>
      <w:pPr>
        <w:pStyle w:val="Normal"/>
        <w:jc w:val="both"/>
        <w:rPr/>
      </w:pPr>
      <w:r>
        <w:rPr/>
      </w:r>
    </w:p>
    <w:p>
      <w:pPr>
        <w:pStyle w:val="Normal"/>
        <w:jc w:val="both"/>
        <w:rPr/>
      </w:pPr>
      <w:r>
        <w:rPr/>
        <w:t>Аудит інформаційної інфраструктури – 6 900 грн.</w:t>
      </w:r>
    </w:p>
    <w:p>
      <w:pPr>
        <w:pStyle w:val="Normal"/>
        <w:jc w:val="both"/>
        <w:rPr/>
      </w:pPr>
      <w:r>
        <w:rPr/>
        <w:t>Загальна сума – 384 677,14 грн.</w:t>
      </w:r>
    </w:p>
    <w:p>
      <w:pPr>
        <w:pStyle w:val="Normal"/>
        <w:jc w:val="both"/>
        <w:rPr/>
      </w:pPr>
      <w:r>
        <w:rPr/>
      </w:r>
    </w:p>
    <w:p>
      <w:pPr>
        <w:pStyle w:val="Normal"/>
        <w:jc w:val="both"/>
        <w:rPr/>
      </w:pPr>
      <w:r>
        <w:rPr/>
        <w:t>Висновок: майже половина парку комп’ютерів потребує оновлення у найближчі роки.</w:t>
      </w:r>
    </w:p>
    <w:p>
      <w:pPr>
        <w:pStyle w:val="Normal"/>
        <w:jc w:val="both"/>
        <w:rPr/>
      </w:pPr>
      <w:r>
        <w:rPr/>
        <w:t>Обсяг запланованого  фінансування Програми на 2025 рік складав  – 463,424 грн.</w:t>
      </w:r>
    </w:p>
    <w:p>
      <w:pPr>
        <w:pStyle w:val="Normal"/>
        <w:jc w:val="both"/>
        <w:rPr/>
      </w:pPr>
      <w:r>
        <w:rPr/>
        <w:t>Профінансовано протягом 2025 року –</w:t>
      </w:r>
      <w:r>
        <w:rPr>
          <w:b/>
        </w:rPr>
        <w:t xml:space="preserve">  </w:t>
      </w:r>
      <w:r>
        <w:rPr/>
        <w:t xml:space="preserve">384677,14 грн. </w:t>
      </w:r>
    </w:p>
    <w:p>
      <w:pPr>
        <w:pStyle w:val="Normal"/>
        <w:jc w:val="both"/>
        <w:rPr/>
      </w:pPr>
      <w:r>
        <w:rPr/>
        <w:t>Економія після проведення закупівель – 50 222,86 (10,84% від плану)</w:t>
      </w:r>
    </w:p>
    <w:p>
      <w:pPr>
        <w:pStyle w:val="Normal"/>
        <w:jc w:val="both"/>
        <w:rPr/>
      </w:pPr>
      <w:r>
        <w:rPr/>
        <w:t>На впровадження системи АСКОД.</w:t>
      </w:r>
    </w:p>
    <w:p>
      <w:pPr>
        <w:pStyle w:val="Normal"/>
        <w:jc w:val="both"/>
        <w:rPr/>
      </w:pPr>
      <w:r>
        <w:rPr/>
        <w:t>Програма виконана на 92,36 %</w:t>
      </w:r>
    </w:p>
    <w:p>
      <w:pPr>
        <w:pStyle w:val="Normal"/>
        <w:spacing w:before="0" w:after="0"/>
        <w:contextualSpacing/>
        <w:jc w:val="both"/>
        <w:rPr/>
      </w:pPr>
      <w:r>
        <w:rPr/>
      </w:r>
    </w:p>
    <w:p>
      <w:pPr>
        <w:pStyle w:val="Normal"/>
        <w:spacing w:before="0" w:after="0"/>
        <w:contextualSpacing/>
        <w:jc w:val="both"/>
        <w:rPr/>
      </w:pPr>
      <w:r>
        <w:rPr/>
        <w:t>Не реалізовано ключовий елемент, не впроваджено систему електронного документообігу «АСКОД», однак її впровадження заплановано на 2026 рік з урахуванням проведених підготовчих заходів.</w:t>
      </w:r>
    </w:p>
    <w:p>
      <w:pPr>
        <w:pStyle w:val="Normal"/>
        <w:spacing w:before="0" w:after="0"/>
        <w:ind w:firstLine="426"/>
        <w:contextualSpacing/>
        <w:jc w:val="both"/>
        <w:rPr/>
      </w:pPr>
      <w:r>
        <w:rPr/>
      </w:r>
    </w:p>
    <w:p>
      <w:pPr>
        <w:pStyle w:val="Normal"/>
        <w:spacing w:before="0" w:after="0"/>
        <w:ind w:firstLine="426"/>
        <w:contextualSpacing/>
        <w:jc w:val="both"/>
        <w:rPr/>
      </w:pPr>
      <w:r>
        <w:rPr/>
        <w:t>Обґрунтування невиконання</w:t>
      </w:r>
    </w:p>
    <w:p>
      <w:pPr>
        <w:pStyle w:val="Normal"/>
        <w:spacing w:before="0" w:after="0"/>
        <w:contextualSpacing/>
        <w:jc w:val="both"/>
        <w:rPr/>
      </w:pPr>
      <w:r>
        <w:rPr/>
        <w:t>Основною причиною невиконання заходу щодо впровадження електронного документообігу «АСКОД» є необхідність якісної підготовки інформаційної інфраструктури та нормативних документів.</w:t>
      </w:r>
    </w:p>
    <w:p>
      <w:pPr>
        <w:pStyle w:val="Normal"/>
        <w:spacing w:before="0" w:after="0"/>
        <w:contextualSpacing/>
        <w:jc w:val="both"/>
        <w:rPr/>
      </w:pPr>
      <w:r>
        <w:rPr/>
        <w:t>Перенесення впровадження на 2026 рік дозволить уникнути ризиків неефективного використання бюджетних коштів та забезпечить масштабування системи для всієї міської ради.</w:t>
      </w:r>
    </w:p>
    <w:p>
      <w:pPr>
        <w:pStyle w:val="Normal"/>
        <w:spacing w:before="0" w:after="0"/>
        <w:contextualSpacing/>
        <w:jc w:val="both"/>
        <w:rPr/>
      </w:pPr>
      <w:r>
        <w:rPr/>
      </w:r>
    </w:p>
    <w:p>
      <w:pPr>
        <w:pStyle w:val="Normal"/>
        <w:spacing w:before="0" w:after="0"/>
        <w:contextualSpacing/>
        <w:jc w:val="both"/>
        <w:rPr/>
      </w:pPr>
      <w:r>
        <w:rPr/>
      </w:r>
    </w:p>
    <w:p>
      <w:pPr>
        <w:pStyle w:val="Normal"/>
        <w:spacing w:before="0" w:after="0"/>
        <w:contextualSpacing/>
        <w:jc w:val="both"/>
        <w:rPr/>
      </w:pPr>
      <w:r>
        <w:rPr/>
        <w:t>Програма інформатизації у 2025 році виконана частково, у відсотковому вимірі – 92,36% від плану, але це не свідчить про недофінансування, а про ефективне використання коштів та економію.</w:t>
      </w:r>
    </w:p>
    <w:p>
      <w:pPr>
        <w:pStyle w:val="Normal"/>
        <w:spacing w:before="0" w:after="0"/>
        <w:contextualSpacing/>
        <w:jc w:val="both"/>
        <w:rPr/>
      </w:pPr>
      <w:r>
        <w:rPr/>
      </w:r>
    </w:p>
    <w:p>
      <w:pPr>
        <w:pStyle w:val="Normal"/>
        <w:spacing w:before="0" w:after="0"/>
        <w:contextualSpacing/>
        <w:jc w:val="both"/>
        <w:rPr/>
      </w:pPr>
      <w:r>
        <w:rPr/>
      </w:r>
    </w:p>
    <w:p>
      <w:pPr>
        <w:pStyle w:val="Normal"/>
        <w:spacing w:before="0" w:after="0"/>
        <w:contextualSpacing/>
        <w:jc w:val="both"/>
        <w:rPr>
          <w:lang w:val="ru-RU"/>
        </w:rPr>
      </w:pPr>
      <w:r>
        <w:rPr>
          <w:lang w:val="ru-RU"/>
        </w:rPr>
      </w:r>
    </w:p>
    <w:p>
      <w:pPr>
        <w:pStyle w:val="Normal"/>
        <w:widowControl w:val="false"/>
        <w:jc w:val="both"/>
        <w:rPr>
          <w:b/>
        </w:rPr>
      </w:pPr>
      <w:r>
        <w:rPr>
          <w:b/>
        </w:rPr>
        <w:t xml:space="preserve">Начальник відділу комунікацій, </w:t>
      </w:r>
    </w:p>
    <w:p>
      <w:pPr>
        <w:pStyle w:val="Normal"/>
        <w:widowControl w:val="false"/>
        <w:jc w:val="both"/>
        <w:rPr>
          <w:b/>
        </w:rPr>
      </w:pPr>
      <w:r>
        <w:rPr>
          <w:b/>
        </w:rPr>
        <w:t xml:space="preserve">цифрової трансформації </w:t>
      </w:r>
    </w:p>
    <w:p>
      <w:pPr>
        <w:pStyle w:val="Normal"/>
        <w:widowControl w:val="false"/>
        <w:jc w:val="both"/>
        <w:rPr>
          <w:b/>
        </w:rPr>
      </w:pPr>
      <w:r>
        <w:rPr>
          <w:b/>
        </w:rPr>
        <w:t xml:space="preserve">та інформаційно-технічного забезпечення </w:t>
      </w:r>
    </w:p>
    <w:p>
      <w:pPr>
        <w:pStyle w:val="Normal"/>
        <w:widowControl w:val="false"/>
        <w:jc w:val="both"/>
        <w:rPr>
          <w:b/>
        </w:rPr>
      </w:pPr>
      <w:r>
        <w:rPr>
          <w:b/>
        </w:rPr>
        <w:t xml:space="preserve">апарату Роздільнянської міської ради </w:t>
      </w:r>
    </w:p>
    <w:p>
      <w:pPr>
        <w:pStyle w:val="Normal"/>
        <w:spacing w:before="0" w:after="0"/>
        <w:contextualSpacing/>
        <w:jc w:val="both"/>
        <w:rPr/>
      </w:pPr>
      <w:r>
        <w:rPr>
          <w:b/>
        </w:rPr>
        <w:t>та її виконавчого комітету</w:t>
        <w:tab/>
        <w:tab/>
        <w:tab/>
        <w:tab/>
        <w:tab/>
        <w:tab/>
        <w:tab/>
        <w:t>Альона Штувбейна</w:t>
      </w:r>
    </w:p>
    <w:sectPr>
      <w:type w:val="nextPage"/>
      <w:pgSz w:w="12240" w:h="15840"/>
      <w:pgMar w:left="993" w:right="616" w:gutter="0" w:header="0" w:top="1134"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c5e83"/>
    <w:pPr>
      <w:widowControl/>
      <w:suppressAutoHyphens w:val="true"/>
      <w:bidi w:val="0"/>
      <w:spacing w:lineRule="auto" w:line="240" w:before="0" w:after="0"/>
      <w:jc w:val="start"/>
    </w:pPr>
    <w:rPr>
      <w:rFonts w:ascii="Times New Roman" w:hAnsi="Times New Roman" w:eastAsia="Times New Roman" w:cs="Times New Roman"/>
      <w:color w:val="auto"/>
      <w:kern w:val="0"/>
      <w:sz w:val="24"/>
      <w:szCs w:val="24"/>
      <w:lang w:val="uk-UA" w:eastAsia="zh-CN"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30517"/>
    <w:rPr>
      <w:color w:themeColor="hyperlink" w:val="0563C1"/>
      <w:u w:val="single"/>
    </w:rPr>
  </w:style>
  <w:style w:type="character" w:styleId="Style14" w:customStyle="1">
    <w:name w:val="Текст выноски Знак"/>
    <w:basedOn w:val="DefaultParagraphFont"/>
    <w:link w:val="BalloonText"/>
    <w:uiPriority w:val="99"/>
    <w:semiHidden/>
    <w:qFormat/>
    <w:rsid w:val="005279de"/>
    <w:rPr>
      <w:rFonts w:ascii="Segoe UI" w:hAnsi="Segoe UI" w:eastAsia="Times New Roman" w:cs="Segoe UI"/>
      <w:sz w:val="18"/>
      <w:szCs w:val="18"/>
      <w:lang w:val="uk-UA" w:eastAsia="zh-CN"/>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BalloonText">
    <w:name w:val="Balloon Text"/>
    <w:basedOn w:val="Normal"/>
    <w:link w:val="Style14"/>
    <w:uiPriority w:val="99"/>
    <w:semiHidden/>
    <w:unhideWhenUsed/>
    <w:qFormat/>
    <w:rsid w:val="005279de"/>
    <w:pPr/>
    <w:rPr>
      <w:rFonts w:ascii="Segoe UI" w:hAnsi="Segoe UI" w:cs="Segoe UI"/>
      <w:sz w:val="18"/>
      <w:szCs w:val="18"/>
    </w:rPr>
  </w:style>
  <w:style w:type="paragraph" w:styleId="ListParagraph">
    <w:name w:val="List Paragraph"/>
    <w:basedOn w:val="Normal"/>
    <w:uiPriority w:val="34"/>
    <w:qFormat/>
    <w:rsid w:val="00be21f7"/>
    <w:pPr>
      <w:spacing w:before="0" w:after="0"/>
      <w:ind w:start="720"/>
      <w:contextualSpacing/>
    </w:pPr>
    <w:rPr/>
  </w:style>
  <w:style w:type="paragraph" w:styleId="Style17">
    <w:name w:val="Вміст рамки"/>
    <w:basedOn w:val="Normal"/>
    <w:qFormat/>
    <w:pPr/>
    <w:rPr/>
  </w:style>
  <w:style w:type="numbering" w:styleId="Style18"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ozdilnianskahromada.gov.ua/documents/308865-pro-zatverdzennia-pidsumkovogo-zvitu-vikonannia-programi-informatizaciyi-rozdilnianskoyi-miskoyi-radi-na-2025-2026-roki"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F8768-3833-4FEA-B043-61F754C8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Application>LibreOffice/25.8.5.2$Windows_x86 LibreOffice_project/9c8b85f387cc00a89945a79c9e6239f32e450ac2</Application>
  <AppVersion>15.0000</AppVersion>
  <Pages>5</Pages>
  <Words>1178</Words>
  <Characters>8033</Characters>
  <CharactersWithSpaces>9056</CharactersWithSpaces>
  <Paragraphs>218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2025-01-10T12:16:00Z</dcterms:created>
  <dc:creator>User</dc:creator>
  <dc:description/>
  <dc:language>uk-UA</dc:language>
  <cp:lastModifiedBy/>
  <cp:lastPrinted>2026-03-05T11:51:00Z</cp:lastPrinted>
  <dcterms:modified xsi:type="dcterms:W3CDTF">2026-04-03T13:43:20Z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