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4"/>
          <w:szCs w:val="4"/>
        </w:rPr>
      </w:pPr>
      <w:r>
        <w:rPr>
          <w:sz w:val="4"/>
          <w:szCs w:val="4"/>
        </w:rPr>
      </w:r>
      <w:bookmarkStart w:id="0" w:name="_Hlk129942606"/>
    </w:p>
    <w:p>
      <w:pPr>
        <w:pStyle w:val="Normal"/>
        <w:ind w:firstLine="708" w:start="3540"/>
        <w:jc w:val="end"/>
        <w:rPr/>
      </w:pPr>
      <w:bookmarkStart w:id="1" w:name="_Hlk184827967"/>
      <w:bookmarkStart w:id="2" w:name="_GoBack"/>
      <w:bookmarkEnd w:id="0"/>
      <w:bookmarkEnd w:id="2"/>
      <w:r>
        <w:rPr/>
        <w:t xml:space="preserve">Додаток 1 </w:t>
      </w:r>
    </w:p>
    <w:p>
      <w:pPr>
        <w:pStyle w:val="Normal"/>
        <w:jc w:val="end"/>
        <w:rPr/>
      </w:pPr>
      <w:r>
        <w:rPr/>
        <w:t xml:space="preserve">до Програми «Молодь громади» </w:t>
      </w:r>
    </w:p>
    <w:p>
      <w:pPr>
        <w:pStyle w:val="Normal"/>
        <w:jc w:val="end"/>
        <w:rPr/>
      </w:pPr>
      <w:r>
        <w:rPr/>
        <w:t xml:space="preserve">на 2026-2028 роки </w:t>
      </w:r>
    </w:p>
    <w:p>
      <w:pPr>
        <w:pStyle w:val="Normal"/>
        <w:ind w:start="6379"/>
        <w:rPr/>
      </w:pPr>
      <w:r>
        <w:rPr/>
      </w:r>
    </w:p>
    <w:p>
      <w:pPr>
        <w:pStyle w:val="Normal"/>
        <w:ind w:end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ind w:hanging="360" w:start="720" w:end="142"/>
        <w:jc w:val="center"/>
        <w:rPr>
          <w:b/>
        </w:rPr>
      </w:pPr>
      <w:r>
        <w:rPr>
          <w:b/>
        </w:rPr>
        <w:t>ПАСПОРТ ПРОГРАМИ</w:t>
      </w:r>
    </w:p>
    <w:tbl>
      <w:tblPr>
        <w:tblW w:w="9376" w:type="dxa"/>
        <w:jc w:val="start"/>
        <w:tblInd w:w="0" w:type="dxa"/>
        <w:tblLayout w:type="fixed"/>
        <w:tblCellMar>
          <w:top w:w="0" w:type="dxa"/>
          <w:start w:w="20" w:type="dxa"/>
          <w:bottom w:w="0" w:type="dxa"/>
          <w:end w:w="20" w:type="dxa"/>
        </w:tblCellMar>
        <w:tblLook w:val="0600" w:firstRow="0" w:noVBand="1" w:lastRow="0" w:firstColumn="0" w:lastColumn="0" w:noHBand="1"/>
      </w:tblPr>
      <w:tblGrid>
        <w:gridCol w:w="675"/>
        <w:gridCol w:w="3615"/>
        <w:gridCol w:w="5086"/>
      </w:tblGrid>
      <w:tr>
        <w:trPr>
          <w:trHeight w:val="57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1.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Ініціатор розроблення Програми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 xml:space="preserve"> </w:t>
            </w:r>
            <w:r>
              <w:rPr/>
              <w:t>Виконавчий комітет Роздільнянської міської ради, Відділ молоді та спорту Роздільнянської міської ради</w:t>
            </w:r>
          </w:p>
        </w:tc>
      </w:tr>
      <w:tr>
        <w:trPr>
          <w:trHeight w:val="85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2.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Дата, номер і назва розпорядчого документа про розроблення Програми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 xml:space="preserve"> </w:t>
            </w:r>
            <w:r>
              <w:rPr/>
              <w:t>Розпорядження Роздільнянської міської ради від 2 вересня 2025 року № 271/од-2025 «Про створення робочої групи з розробки місцевої цільової соціальної Програми «Молодь громади» на 2026-2028 роки</w:t>
            </w:r>
          </w:p>
        </w:tc>
      </w:tr>
      <w:tr>
        <w:trPr>
          <w:trHeight w:val="52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3.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Розробник Програми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 xml:space="preserve"> </w:t>
            </w:r>
            <w:r>
              <w:rPr/>
              <w:t>Відділ молоді та спорту Роздільнянської міської ради у складі робочої групи з розробки Програми</w:t>
            </w:r>
          </w:p>
        </w:tc>
      </w:tr>
      <w:tr>
        <w:trPr>
          <w:trHeight w:val="727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4.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ind w:end="142"/>
              <w:rPr/>
            </w:pPr>
            <w:r>
              <w:rPr/>
              <w:t>Відповідальний виконавець Програми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 xml:space="preserve"> </w:t>
            </w:r>
            <w:r>
              <w:rPr/>
              <w:t>Відділ молоді та спорту Роздільнянської міської ради</w:t>
            </w:r>
          </w:p>
        </w:tc>
      </w:tr>
      <w:tr>
        <w:trPr>
          <w:trHeight w:val="42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5.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Виконавці Програми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Відділ молоді та спорту Роздільнянської міської ради</w:t>
            </w:r>
          </w:p>
          <w:p>
            <w:pPr>
              <w:pStyle w:val="Normal"/>
              <w:ind w:end="142"/>
              <w:rPr/>
            </w:pPr>
            <w:r>
              <w:rPr/>
              <w:t>Відділ культури Роздільнянської міської ради</w:t>
            </w:r>
          </w:p>
          <w:p>
            <w:pPr>
              <w:pStyle w:val="Normal"/>
              <w:ind w:end="142"/>
              <w:rPr/>
            </w:pPr>
            <w:r>
              <w:rPr/>
              <w:t>Відділ освіти Роздільнянської міської ради</w:t>
            </w:r>
          </w:p>
          <w:p>
            <w:pPr>
              <w:pStyle w:val="Normal"/>
              <w:ind w:end="142"/>
              <w:rPr/>
            </w:pPr>
            <w:r>
              <w:rPr/>
              <w:t>Відділ соціальної політики Роздільнянської міської ради</w:t>
            </w:r>
          </w:p>
          <w:p>
            <w:pPr>
              <w:pStyle w:val="Normal"/>
              <w:ind w:end="142"/>
              <w:rPr/>
            </w:pPr>
            <w:r>
              <w:rPr/>
              <w:t>Служба у справах дітей Роздільнянської міської ради</w:t>
            </w:r>
          </w:p>
        </w:tc>
      </w:tr>
      <w:tr>
        <w:trPr>
          <w:trHeight w:val="57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ind w:end="142"/>
              <w:rPr/>
            </w:pPr>
            <w:r>
              <w:rPr/>
              <w:t>6.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Термін реалізації Програми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 xml:space="preserve"> </w:t>
            </w:r>
            <w:r>
              <w:rPr/>
              <w:t>2026 – 2028 роки</w:t>
            </w:r>
          </w:p>
        </w:tc>
      </w:tr>
      <w:tr>
        <w:trPr>
          <w:trHeight w:val="43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7.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Мета Програми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 xml:space="preserve"> </w:t>
            </w:r>
            <w:r>
              <w:rPr/>
              <w:t>Ф</w:t>
            </w:r>
            <w:r>
              <w:rPr>
                <w:rStyle w:val="rvts0"/>
                <w:rFonts w:eastAsia="" w:eastAsiaTheme="majorEastAsia"/>
              </w:rPr>
              <w:t>ормування у молоді Роздільнянської міської територіальної громади як стратегічної складової людського капіталу України і громади відчуття належності до українського суспільства, розвиток її життєстійкості та створення можливостей для особистісної самореалізації, забезпечення сприятливих умов для участі та інтеграції у життя громади, зростання національної свідомості на основі суспільно-державних цінностей та відповідального громадянства, успішної соціалізації молоді, підвищення рівня громадянських компетентностей, спроможності бути самостійними, активними, патріотичними і відповідальними учасниками суспільних процесів.</w:t>
            </w:r>
          </w:p>
        </w:tc>
      </w:tr>
      <w:tr>
        <w:trPr>
          <w:trHeight w:val="326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8.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ind w:end="142"/>
              <w:rPr/>
            </w:pPr>
            <w:r>
              <w:rPr/>
              <w:t>Загальний обсяг фінансових ресурсів, необхідних для реалізації Програми, всього: зокрема:</w:t>
            </w:r>
          </w:p>
          <w:p>
            <w:pPr>
              <w:pStyle w:val="ListParagraph"/>
              <w:numPr>
                <w:ilvl w:val="0"/>
                <w:numId w:val="2"/>
              </w:numPr>
              <w:ind w:hanging="0" w:start="5" w:end="142"/>
              <w:rPr/>
            </w:pPr>
            <w:r>
              <w:rPr/>
              <w:t>- коштів Державного бюджету;</w:t>
            </w:r>
          </w:p>
          <w:p>
            <w:pPr>
              <w:pStyle w:val="ListParagraph"/>
              <w:numPr>
                <w:ilvl w:val="0"/>
                <w:numId w:val="2"/>
              </w:numPr>
              <w:ind w:hanging="5" w:start="5" w:end="142"/>
              <w:rPr/>
            </w:pPr>
            <w:r>
              <w:rPr/>
              <w:t>- коштів обласного бюджету;</w:t>
            </w:r>
          </w:p>
          <w:p>
            <w:pPr>
              <w:pStyle w:val="ListParagraph"/>
              <w:numPr>
                <w:ilvl w:val="0"/>
                <w:numId w:val="2"/>
              </w:numPr>
              <w:ind w:hanging="5" w:start="5" w:end="142"/>
              <w:rPr/>
            </w:pPr>
            <w:r>
              <w:rPr/>
              <w:t>-</w:t>
            </w:r>
            <w:r>
              <w:rPr>
                <w:sz w:val="14"/>
                <w:szCs w:val="14"/>
              </w:rPr>
              <w:t xml:space="preserve">  </w:t>
            </w:r>
            <w:r>
              <w:rPr/>
              <w:t>коштів бюджету Роздільнянської міської територіальної громади;</w:t>
            </w:r>
          </w:p>
          <w:p>
            <w:pPr>
              <w:pStyle w:val="Normal"/>
              <w:ind w:end="142"/>
              <w:rPr/>
            </w:pPr>
            <w:r>
              <w:rPr/>
              <w:t>-</w:t>
            </w:r>
            <w:r>
              <w:rPr>
                <w:sz w:val="14"/>
                <w:szCs w:val="14"/>
              </w:rPr>
              <w:t xml:space="preserve">   </w:t>
            </w:r>
            <w:r>
              <w:rPr/>
              <w:t>інші джерела.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 xml:space="preserve"> </w:t>
            </w:r>
          </w:p>
          <w:p>
            <w:pPr>
              <w:pStyle w:val="Normal"/>
              <w:ind w:end="142"/>
              <w:rPr/>
            </w:pPr>
            <w:r>
              <w:rPr/>
            </w:r>
          </w:p>
          <w:p>
            <w:pPr>
              <w:pStyle w:val="Normal"/>
              <w:ind w:end="142"/>
              <w:rPr/>
            </w:pPr>
            <w:r>
              <w:rPr/>
            </w:r>
          </w:p>
          <w:p>
            <w:pPr>
              <w:pStyle w:val="Normal"/>
              <w:ind w:end="142"/>
              <w:rPr/>
            </w:pPr>
            <w:r>
              <w:rPr/>
            </w:r>
          </w:p>
          <w:p>
            <w:pPr>
              <w:pStyle w:val="Normal"/>
              <w:ind w:end="142"/>
              <w:rPr/>
            </w:pPr>
            <w:r>
              <w:rPr/>
            </w:r>
          </w:p>
          <w:p>
            <w:pPr>
              <w:pStyle w:val="Normal"/>
              <w:ind w:end="142"/>
              <w:rPr/>
            </w:pPr>
            <w:r>
              <w:rPr/>
            </w:r>
          </w:p>
          <w:p>
            <w:pPr>
              <w:pStyle w:val="Normal"/>
              <w:ind w:end="142"/>
              <w:rPr/>
            </w:pPr>
            <w:r>
              <w:rPr/>
              <w:t>Міський бюджет – 1436,802 тис. грн.</w:t>
            </w:r>
          </w:p>
        </w:tc>
      </w:tr>
      <w:tr>
        <w:trPr>
          <w:trHeight w:val="57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9.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Очікувані результати виконання</w:t>
            </w:r>
          </w:p>
        </w:tc>
        <w:tc>
          <w:tcPr>
            <w:tcW w:w="508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708"/>
                <w:tab w:val="left" w:pos="1080" w:leader="none"/>
              </w:tabs>
              <w:ind w:firstLine="709" w:end="142"/>
              <w:jc w:val="both"/>
              <w:rPr/>
            </w:pPr>
            <w:r>
              <w:rPr/>
              <w:t xml:space="preserve"> </w:t>
            </w:r>
            <w:r>
              <w:rPr/>
              <w:t>- Забезпечення участі молоді громади у прийнятті рішень та скоординованої діяльності органу місцевого самоврядування та консультативно-дорадчого органу з питань молодіжної політики;</w:t>
            </w:r>
          </w:p>
          <w:p>
            <w:pPr>
              <w:pStyle w:val="Normal"/>
              <w:tabs>
                <w:tab w:val="clear" w:pos="708"/>
                <w:tab w:val="left" w:pos="1080" w:leader="none"/>
              </w:tabs>
              <w:ind w:firstLine="709" w:end="142"/>
              <w:jc w:val="both"/>
              <w:rPr/>
            </w:pPr>
            <w:r>
              <w:rPr/>
              <w:t>- Розвиток  молодіжної інфраструктури  у громаді;</w:t>
            </w:r>
          </w:p>
          <w:p>
            <w:pPr>
              <w:pStyle w:val="Normal"/>
              <w:tabs>
                <w:tab w:val="clear" w:pos="708"/>
                <w:tab w:val="left" w:pos="1080" w:leader="none"/>
              </w:tabs>
              <w:ind w:firstLine="709" w:end="142"/>
              <w:jc w:val="both"/>
              <w:rPr/>
            </w:pPr>
            <w:r>
              <w:rPr/>
              <w:t>- Підвищення рівня охоплення молодих мешканців громади молодіжною роботою різних напрямків;</w:t>
            </w:r>
          </w:p>
          <w:p>
            <w:pPr>
              <w:pStyle w:val="Normal"/>
              <w:tabs>
                <w:tab w:val="clear" w:pos="708"/>
                <w:tab w:val="left" w:pos="1080" w:leader="none"/>
              </w:tabs>
              <w:ind w:firstLine="709" w:end="142"/>
              <w:jc w:val="both"/>
              <w:rPr/>
            </w:pPr>
            <w:r>
              <w:rPr/>
              <w:t>- Забезпечення скоординованої діяльності органу місцевого самоврядування з громадськими об’єднаннями  у молодіжній сфері;</w:t>
            </w:r>
          </w:p>
          <w:p>
            <w:pPr>
              <w:pStyle w:val="Normal"/>
              <w:tabs>
                <w:tab w:val="clear" w:pos="708"/>
                <w:tab w:val="left" w:pos="1080" w:leader="none"/>
              </w:tabs>
              <w:ind w:firstLine="709" w:end="142"/>
              <w:jc w:val="both"/>
              <w:rPr/>
            </w:pPr>
            <w:r>
              <w:rPr/>
              <w:t>- Забезпечення участі молоді громади у прийнятті рішень, підвищення рівня активності молоді, її зацікавленості у житті громади;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firstLine="709" w:end="142"/>
              <w:rPr/>
            </w:pPr>
            <w:r>
              <w:rPr/>
              <w:t>- Розширення форм та засобів  комунікації молоді з метою розгляду та вирішення її актуальних проблем (неформальна освіта, становлення особистості, працевлаштування, здоровий спосіб життя, змістовне дозвілля тощо);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firstLine="709" w:end="142"/>
              <w:rPr/>
            </w:pPr>
            <w:r>
              <w:rPr/>
              <w:t>- Покращення обізнаності молоді громади щодо історичних подій та визначних постатей України;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firstLine="709" w:end="142"/>
              <w:rPr/>
            </w:pPr>
            <w:r>
              <w:rPr/>
              <w:t>- Реалізація потенціалу молоді громади у різних сферах суспільного життя;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firstLine="709" w:end="142"/>
              <w:rPr/>
            </w:pPr>
            <w:r>
              <w:rPr/>
              <w:t>- Розвиток та реалізація здібностей обдарованих дітей громади;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firstLine="709" w:end="142"/>
              <w:rPr/>
            </w:pPr>
            <w:r>
              <w:rPr/>
              <w:t xml:space="preserve">- Підвищення рівня громадянської свідомості, активної патріотичної позиції молоді громади.                                             </w:t>
            </w:r>
          </w:p>
          <w:p>
            <w:pPr>
              <w:pStyle w:val="Normal"/>
              <w:tabs>
                <w:tab w:val="clear" w:pos="708"/>
                <w:tab w:val="left" w:pos="1080" w:leader="none"/>
              </w:tabs>
              <w:ind w:firstLine="709" w:end="142"/>
              <w:jc w:val="both"/>
              <w:rPr/>
            </w:pPr>
            <w:r>
              <w:rPr/>
            </w:r>
          </w:p>
          <w:p>
            <w:pPr>
              <w:pStyle w:val="Normal"/>
              <w:ind w:end="142"/>
              <w:rPr/>
            </w:pPr>
            <w:r>
              <w:rPr/>
            </w:r>
          </w:p>
        </w:tc>
      </w:tr>
      <w:tr>
        <w:trPr>
          <w:trHeight w:val="3942" w:hRule="atLeast"/>
        </w:trPr>
        <w:tc>
          <w:tcPr>
            <w:tcW w:w="67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10.</w:t>
            </w:r>
          </w:p>
        </w:tc>
        <w:tc>
          <w:tcPr>
            <w:tcW w:w="3615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Ключові показники ефективності</w:t>
            </w:r>
          </w:p>
        </w:tc>
        <w:tc>
          <w:tcPr>
            <w:tcW w:w="5086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ind w:end="142"/>
              <w:rPr/>
            </w:pPr>
            <w:r>
              <w:rPr/>
              <w:t>- Витрати на 1 представника молоді громади, залученого до співпраці з міською радою;</w:t>
            </w:r>
          </w:p>
          <w:p>
            <w:pPr>
              <w:pStyle w:val="Normal"/>
              <w:ind w:end="142"/>
              <w:rPr/>
            </w:pPr>
            <w:r>
              <w:rPr/>
              <w:t>- Витрати на 1 представника молоді громади, охопленого роботою молодіжного працівника;</w:t>
            </w:r>
          </w:p>
          <w:p>
            <w:pPr>
              <w:pStyle w:val="Normal"/>
              <w:ind w:end="142"/>
              <w:rPr/>
            </w:pPr>
            <w:r>
              <w:rPr/>
              <w:t>- Витрати на 1 учасника молодіжного заходу;</w:t>
            </w:r>
          </w:p>
          <w:p>
            <w:pPr>
              <w:pStyle w:val="Normal"/>
              <w:ind w:end="142"/>
              <w:rPr/>
            </w:pPr>
            <w:r>
              <w:rPr/>
              <w:t>- Витрати на 1 представника молоді громади, залученого до організації та проведення  урочистих і святкових заходів до визначних та пам’ятних дат України, а також заходів, спрямованих на утвердження української національної та громадянської ідентичності;</w:t>
            </w:r>
          </w:p>
          <w:p>
            <w:pPr>
              <w:pStyle w:val="Normal"/>
              <w:ind w:end="142"/>
              <w:rPr/>
            </w:pPr>
            <w:r>
              <w:rPr/>
              <w:t>- Витрати на 1 представника талановитої молоді та обдарованих дітей громади (виявлених за результатами конкурсу)</w:t>
            </w:r>
          </w:p>
        </w:tc>
      </w:tr>
    </w:tbl>
    <w:p>
      <w:pPr>
        <w:pStyle w:val="Normal"/>
        <w:ind w:start="7788"/>
        <w:jc w:val="both"/>
        <w:rPr/>
      </w:pPr>
      <w:r>
        <w:rPr/>
        <w:t xml:space="preserve">         </w:t>
      </w:r>
    </w:p>
    <w:p>
      <w:pPr>
        <w:pStyle w:val="Normal"/>
        <w:ind w:start="7788"/>
        <w:jc w:val="both"/>
        <w:rPr/>
      </w:pPr>
      <w:r>
        <w:rPr/>
        <w:t xml:space="preserve"> </w:t>
      </w:r>
      <w:r>
        <w:rPr/>
        <w:t>Додаток 2</w:t>
      </w:r>
    </w:p>
    <w:p>
      <w:pPr>
        <w:pStyle w:val="Normal"/>
        <w:jc w:val="end"/>
        <w:rPr/>
      </w:pPr>
      <w:r>
        <w:rPr/>
        <w:t xml:space="preserve">до Програми «Молодь громади» </w:t>
      </w:r>
    </w:p>
    <w:p>
      <w:pPr>
        <w:pStyle w:val="Normal"/>
        <w:jc w:val="end"/>
        <w:rPr/>
      </w:pPr>
      <w:r>
        <w:rPr/>
        <w:t xml:space="preserve">на 2026-2028 роки </w:t>
      </w:r>
    </w:p>
    <w:p>
      <w:pPr>
        <w:pStyle w:val="Normal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ПОКАЗНИКИ РЕЗУЛЬТАТИВНОСТІ ПРОГРАМИ</w:t>
      </w:r>
    </w:p>
    <w:p>
      <w:pPr>
        <w:pStyle w:val="Normal"/>
        <w:jc w:val="center"/>
        <w:rPr/>
      </w:pPr>
      <w:r>
        <w:rPr/>
      </w:r>
    </w:p>
    <w:tbl>
      <w:tblPr>
        <w:tblStyle w:val="ad"/>
        <w:tblW w:w="991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1"/>
        <w:gridCol w:w="2808"/>
        <w:gridCol w:w="737"/>
        <w:gridCol w:w="1194"/>
        <w:gridCol w:w="1194"/>
        <w:gridCol w:w="1195"/>
        <w:gridCol w:w="1194"/>
        <w:gridCol w:w="1035"/>
      </w:tblGrid>
      <w:tr>
        <w:trPr/>
        <w:tc>
          <w:tcPr>
            <w:tcW w:w="56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з/п</w:t>
            </w:r>
          </w:p>
        </w:tc>
        <w:tc>
          <w:tcPr>
            <w:tcW w:w="280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Назва показника</w:t>
            </w:r>
          </w:p>
        </w:tc>
        <w:tc>
          <w:tcPr>
            <w:tcW w:w="737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Одиниця виміру</w:t>
            </w:r>
          </w:p>
        </w:tc>
        <w:tc>
          <w:tcPr>
            <w:tcW w:w="5812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Значення показника</w:t>
            </w:r>
          </w:p>
        </w:tc>
      </w:tr>
      <w:tr>
        <w:trPr/>
        <w:tc>
          <w:tcPr>
            <w:tcW w:w="56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280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37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Вихідні дані на початок програми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2026 рік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2027 рік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2028 рік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Усього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1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2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3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4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5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6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7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8</w:t>
            </w:r>
          </w:p>
        </w:tc>
      </w:tr>
      <w:tr>
        <w:trPr/>
        <w:tc>
          <w:tcPr>
            <w:tcW w:w="9918" w:type="dxa"/>
            <w:gridSpan w:val="8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І  Показник затрат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Сума коштів на функціонування Молодіжної ради, Молодіжного простору «Молодь. Дія», розбудову молодіжної інфраструктури, співпрацю молоді громади з Роздільнянською міською радою, підтримку молодіжних громадських організацій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ind w:start="3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20, 0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20,0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60,0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Сума коштів на оплату праці молодіжного працівника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ind w:start="3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88,616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126,593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126,593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341,802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 xml:space="preserve">Сума коштів на проведення  різноманітних форм молодіжних активностей: семінари, тренінги, круглі столи, конференції, форуми, акції, конкурси, фестивалі, ігри,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інформаційні кампанії, розроблення та виготовлення друкованих, фото- та відеоматеріалів, виготовлення аксесуарів з логотипами тощо.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60,0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60,0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180,0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Сума коштів на організацію та проведення урочистих і святкових заходів до визначних та пам’ятних дат України, а також заходів, спрямованих на утвердження української національної та громадянської ідентичності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45,0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45,0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45,0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135,0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5.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Сума коштів на підтримку талановитої молоді та обдарованих дітей громади (виявлених за результатами конкурсу)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240,0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240,0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240,0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720,0</w:t>
            </w:r>
          </w:p>
        </w:tc>
      </w:tr>
      <w:tr>
        <w:trPr/>
        <w:tc>
          <w:tcPr>
            <w:tcW w:w="9918" w:type="dxa"/>
            <w:gridSpan w:val="8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ІІ  Показник продукту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Кількість молоді, залученої до співпраці з міською радою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240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Кількість молодіжних працівників у громаді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3. 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Кількість молоді, охопленої роботою молодіжного працівника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600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600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600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1800</w:t>
            </w:r>
          </w:p>
        </w:tc>
      </w:tr>
      <w:tr>
        <w:trPr>
          <w:trHeight w:val="2538" w:hRule="atLeast"/>
        </w:trPr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 xml:space="preserve">Кількість молоді, охопленої  різноманітними заходами та молодіжними активностями, спрямованими на вирішення актуальних проблем молоді (неформальна освіта, становлення особистості, працевлаштування, здоровий спосіб життя, розвиток творчості, змістовне дозвілля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тощо).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200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800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800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800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2400</w:t>
            </w:r>
          </w:p>
        </w:tc>
      </w:tr>
      <w:tr>
        <w:trPr>
          <w:trHeight w:val="1414" w:hRule="atLeast"/>
        </w:trPr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5. 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Кількість молоді громади, залученої до організації та проведення урочистих і святкових заходів до визначних та пам’ятних дат України, а також заходів, спрямованих на утвердження української національної та громадянської ідентичності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150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500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500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500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1500</w:t>
            </w:r>
          </w:p>
        </w:tc>
      </w:tr>
      <w:tr>
        <w:trPr>
          <w:trHeight w:val="698" w:hRule="atLeast"/>
        </w:trPr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6. 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Кількість переможців серед талановитої молоді (особисто, колективи, команди, групи тощо), яким надана підтримка міської ради (виявлених за результатами конкурсу)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переможців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24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24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24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72</w:t>
            </w:r>
          </w:p>
        </w:tc>
      </w:tr>
      <w:tr>
        <w:trPr/>
        <w:tc>
          <w:tcPr>
            <w:tcW w:w="9918" w:type="dxa"/>
            <w:gridSpan w:val="8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ІІІ  Показники ефективності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Витрати на 1 представника молоді громади, залученого до співпраці з міською радою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0,25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0,25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0,25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0,75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Витрати на 1 представника молоді громади, охопленого роботою молодіжного працівника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0,011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0,016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0,016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0,043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Витрати на 1 учасника молодіжного заходу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0,075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0,075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0,075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0,225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Витрати на 1 представника молоді громади, залученого до організації та проведення  урочистих і святкових заходів до визначних та пам’ятних дат України, а також заходів, спрямованих на утвердження української національної та громадянської ідентичності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0,09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0,09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0,09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0,27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5.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Витрати на 1 переможця конкурсу на отримання Премії серед талановитої молоді громади (виявлених за результатами конкурсу)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тис. грн.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10,0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10,0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10,0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30,0</w:t>
            </w:r>
          </w:p>
        </w:tc>
      </w:tr>
      <w:tr>
        <w:trPr/>
        <w:tc>
          <w:tcPr>
            <w:tcW w:w="9918" w:type="dxa"/>
            <w:gridSpan w:val="8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en-US" w:bidi="ar-SA"/>
              </w:rPr>
              <w:t>IV</w:t>
            </w:r>
            <w:r>
              <w:rPr>
                <w:kern w:val="0"/>
                <w:lang w:val="uk-UA" w:bidi="ar-SA"/>
              </w:rPr>
              <w:t>. Показники якості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Відсоток залучення молоді громади до співпраці з міською радою (до чисельності молоді громади 7870 осіб)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0,25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1,02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1,02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1,02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3,06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Відсоток охоплення молоді громади роботою молодіжного працівника (до чисельності молоді громади 7870 осіб)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0,0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7,62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7,62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7,62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22,86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 xml:space="preserve">Відсоток охоплення молоді громади різноманітними заходами та молодіжними активностями, спрямованими на вирішення актуальних проблем молоді (неформальна освіта, становлення особистості, працевлаштування, здоровий спосіб життя, розвиток творчості, змістовне дозвілля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тощо) - (до чисельності молоді громади 7870 осіб)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2,54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10,17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10,17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10,17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30,51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Відсоток залучення молоді громади до організації та проведення урочистих і святкових заходів до визначних та пам’ятних дат України, а також заходів, спрямованих на утвердження української національної та громадянської ідентичності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1,91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6,35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6,35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6,35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19,05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5. 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Відсоток охоплення молоді громади підтримкою міської ради (до кількості поданих заяв щодо участі у конкурсі)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6.</w:t>
            </w:r>
          </w:p>
        </w:tc>
        <w:tc>
          <w:tcPr>
            <w:tcW w:w="2808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 xml:space="preserve"> </w:t>
            </w:r>
            <w:r>
              <w:rPr>
                <w:kern w:val="0"/>
                <w:sz w:val="20"/>
                <w:szCs w:val="20"/>
                <w:lang w:val="uk-UA" w:bidi="ar-SA"/>
              </w:rPr>
              <w:t>Рівень виконання молодіжних заходів у громаді у плановому періоді відповідно до запланованих показників</w:t>
            </w:r>
          </w:p>
        </w:tc>
        <w:tc>
          <w:tcPr>
            <w:tcW w:w="7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>0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100 </w:t>
            </w:r>
          </w:p>
        </w:tc>
        <w:tc>
          <w:tcPr>
            <w:tcW w:w="11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100 </w:t>
            </w:r>
          </w:p>
        </w:tc>
        <w:tc>
          <w:tcPr>
            <w:tcW w:w="11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100 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lang w:val="uk-UA" w:bidi="ar-SA"/>
              </w:rPr>
            </w:pPr>
            <w:r>
              <w:rPr>
                <w:kern w:val="0"/>
                <w:lang w:val="uk-UA" w:bidi="ar-SA"/>
              </w:rPr>
              <w:t xml:space="preserve">100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ind w:start="360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end"/>
        <w:rPr/>
      </w:pPr>
      <w:r>
        <w:rPr/>
        <w:t xml:space="preserve">Додаток </w:t>
      </w:r>
      <w:r>
        <w:rPr>
          <w:lang w:val="ru-RU"/>
        </w:rPr>
        <w:t>3</w:t>
      </w:r>
      <w:r>
        <w:rPr/>
        <w:br/>
        <w:t xml:space="preserve"> до Програми «Молодь громади» </w:t>
      </w:r>
    </w:p>
    <w:p>
      <w:pPr>
        <w:pStyle w:val="Normal"/>
        <w:jc w:val="end"/>
        <w:rPr/>
      </w:pPr>
      <w:r>
        <w:rPr/>
        <w:t>на 2026-2028 роки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РЕСУРСНЕ ЗАБЕЗПЕЧЕННЯ ПРОГРАМИ</w:t>
      </w:r>
    </w:p>
    <w:p>
      <w:pPr>
        <w:pStyle w:val="Normal"/>
        <w:rPr/>
      </w:pPr>
      <w:r>
        <w:rPr/>
        <w:t xml:space="preserve"> </w:t>
      </w:r>
    </w:p>
    <w:tbl>
      <w:tblPr>
        <w:tblW w:w="9348" w:type="dxa"/>
        <w:jc w:val="start"/>
        <w:tblInd w:w="0" w:type="dxa"/>
        <w:tblLayout w:type="fixed"/>
        <w:tblCellMar>
          <w:top w:w="0" w:type="dxa"/>
          <w:start w:w="20" w:type="dxa"/>
          <w:bottom w:w="0" w:type="dxa"/>
          <w:end w:w="20" w:type="dxa"/>
        </w:tblCellMar>
        <w:tblLook w:val="0600" w:firstRow="0" w:noVBand="1" w:lastRow="0" w:firstColumn="0" w:lastColumn="0" w:noHBand="1"/>
      </w:tblPr>
      <w:tblGrid>
        <w:gridCol w:w="2475"/>
        <w:gridCol w:w="1627"/>
        <w:gridCol w:w="1560"/>
        <w:gridCol w:w="1560"/>
        <w:gridCol w:w="2126"/>
      </w:tblGrid>
      <w:tr>
        <w:trPr>
          <w:trHeight w:val="525" w:hRule="atLeast"/>
        </w:trPr>
        <w:tc>
          <w:tcPr>
            <w:tcW w:w="2475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rPr/>
            </w:pPr>
            <w:r>
              <w:rPr/>
              <w:t>Обсяг коштів, що пропонується залучити на виконання Програми</w:t>
            </w:r>
          </w:p>
        </w:tc>
        <w:tc>
          <w:tcPr>
            <w:tcW w:w="4747" w:type="dxa"/>
            <w:gridSpan w:val="3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Етапи виконання Програми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rPr/>
            </w:pPr>
            <w:r>
              <w:rPr/>
              <w:t xml:space="preserve">Всього витрат </w:t>
            </w:r>
          </w:p>
          <w:p>
            <w:pPr>
              <w:pStyle w:val="Normal"/>
              <w:spacing w:lineRule="auto" w:line="257"/>
              <w:rPr/>
            </w:pPr>
            <w:r>
              <w:rPr/>
              <w:t>на виконання Програми</w:t>
            </w:r>
          </w:p>
        </w:tc>
      </w:tr>
      <w:tr>
        <w:trPr>
          <w:trHeight w:val="555" w:hRule="atLeast"/>
        </w:trPr>
        <w:tc>
          <w:tcPr>
            <w:tcW w:w="2475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pacing w:lineRule="auto" w:line="257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47" w:type="dxa"/>
            <w:gridSpan w:val="3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І</w:t>
            </w:r>
          </w:p>
        </w:tc>
        <w:tc>
          <w:tcPr>
            <w:tcW w:w="2126" w:type="dxa"/>
            <w:vMerge w:val="continue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tcMar>
              <w:start w:w="108" w:type="dxa"/>
              <w:end w:w="108" w:type="dxa"/>
            </w:tcMar>
          </w:tcPr>
          <w:p>
            <w:pPr>
              <w:pStyle w:val="Normal"/>
              <w:spacing w:lineRule="auto" w:line="257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215" w:hRule="atLeast"/>
        </w:trPr>
        <w:tc>
          <w:tcPr>
            <w:tcW w:w="2475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pacing w:lineRule="auto" w:line="257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627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2026 рік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2027 рік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ind w:start="-298"/>
              <w:jc w:val="center"/>
              <w:rPr/>
            </w:pPr>
            <w:r>
              <w:rPr/>
              <w:t>2028 рік</w:t>
            </w:r>
          </w:p>
        </w:tc>
        <w:tc>
          <w:tcPr>
            <w:tcW w:w="2126" w:type="dxa"/>
            <w:vMerge w:val="continue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spacing w:lineRule="auto" w:line="257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355" w:hRule="atLeast"/>
        </w:trPr>
        <w:tc>
          <w:tcPr>
            <w:tcW w:w="247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1</w:t>
            </w:r>
          </w:p>
        </w:tc>
        <w:tc>
          <w:tcPr>
            <w:tcW w:w="1627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2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3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4</w:t>
            </w:r>
          </w:p>
        </w:tc>
        <w:tc>
          <w:tcPr>
            <w:tcW w:w="2126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5</w:t>
            </w:r>
          </w:p>
        </w:tc>
      </w:tr>
      <w:tr>
        <w:trPr>
          <w:trHeight w:val="720" w:hRule="atLeast"/>
        </w:trPr>
        <w:tc>
          <w:tcPr>
            <w:tcW w:w="247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rPr/>
            </w:pPr>
            <w:r>
              <w:rPr/>
              <w:t>Обсяг коштів, всього, зокрема:</w:t>
            </w:r>
          </w:p>
        </w:tc>
        <w:tc>
          <w:tcPr>
            <w:tcW w:w="1627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453,616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491,593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491,593</w:t>
            </w:r>
          </w:p>
        </w:tc>
        <w:tc>
          <w:tcPr>
            <w:tcW w:w="2126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1436,802</w:t>
            </w:r>
          </w:p>
        </w:tc>
      </w:tr>
      <w:tr>
        <w:trPr>
          <w:trHeight w:val="555" w:hRule="atLeast"/>
        </w:trPr>
        <w:tc>
          <w:tcPr>
            <w:tcW w:w="247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rPr/>
            </w:pPr>
            <w:r>
              <w:rPr/>
              <w:t>Державний бюджет</w:t>
            </w:r>
          </w:p>
        </w:tc>
        <w:tc>
          <w:tcPr>
            <w:tcW w:w="1627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57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57"/>
              <w:jc w:val="center"/>
              <w:rPr/>
            </w:pPr>
            <w:r>
              <w:rPr/>
            </w:r>
          </w:p>
        </w:tc>
        <w:tc>
          <w:tcPr>
            <w:tcW w:w="2126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</w:tr>
      <w:tr>
        <w:trPr>
          <w:trHeight w:val="555" w:hRule="atLeast"/>
        </w:trPr>
        <w:tc>
          <w:tcPr>
            <w:tcW w:w="247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rPr/>
            </w:pPr>
            <w:r>
              <w:rPr/>
              <w:t>Обласний бюджет</w:t>
            </w:r>
          </w:p>
        </w:tc>
        <w:tc>
          <w:tcPr>
            <w:tcW w:w="1627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  <w:tc>
          <w:tcPr>
            <w:tcW w:w="2126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</w:tr>
      <w:tr>
        <w:trPr>
          <w:trHeight w:val="855" w:hRule="atLeast"/>
        </w:trPr>
        <w:tc>
          <w:tcPr>
            <w:tcW w:w="247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rPr/>
            </w:pPr>
            <w:r>
              <w:rPr/>
              <w:t>Бюджет Роздільнянської міської територіальної громади</w:t>
            </w:r>
          </w:p>
        </w:tc>
        <w:tc>
          <w:tcPr>
            <w:tcW w:w="1627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453,616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491,593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491,593</w:t>
            </w:r>
          </w:p>
        </w:tc>
        <w:tc>
          <w:tcPr>
            <w:tcW w:w="2126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1436,802</w:t>
            </w:r>
          </w:p>
        </w:tc>
      </w:tr>
      <w:tr>
        <w:trPr>
          <w:trHeight w:val="570" w:hRule="atLeast"/>
        </w:trPr>
        <w:tc>
          <w:tcPr>
            <w:tcW w:w="247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rPr/>
            </w:pPr>
            <w:r>
              <w:rPr/>
              <w:t>Інші джерела</w:t>
            </w:r>
          </w:p>
        </w:tc>
        <w:tc>
          <w:tcPr>
            <w:tcW w:w="1627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  <w:tc>
          <w:tcPr>
            <w:tcW w:w="1560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  <w:p>
            <w:pPr>
              <w:pStyle w:val="Normal"/>
              <w:spacing w:lineRule="auto" w:line="257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57"/>
              <w:jc w:val="center"/>
              <w:rPr/>
            </w:pPr>
            <w:r>
              <w:rPr/>
            </w:r>
          </w:p>
        </w:tc>
        <w:tc>
          <w:tcPr>
            <w:tcW w:w="2126" w:type="dxa"/>
            <w:tcBorders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57"/>
              <w:jc w:val="center"/>
              <w:rPr/>
            </w:pPr>
            <w:r>
              <w:rPr/>
              <w:t>-</w:t>
            </w:r>
          </w:p>
        </w:tc>
      </w:tr>
    </w:tbl>
    <w:p>
      <w:pPr>
        <w:pStyle w:val="Normal"/>
        <w:rPr>
          <w:lang w:val="ru-RU"/>
        </w:rPr>
      </w:pPr>
      <w:r>
        <w:rPr/>
        <w:t xml:space="preserve"> </w:t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pacing w:lineRule="auto" w:line="259" w:before="0" w:after="0"/>
        <w:ind w:start="5812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bookmarkStart w:id="3" w:name="_Hlk185322738"/>
      <w:bookmarkEnd w:id="1"/>
      <w:bookmarkEnd w:id="3"/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701" w:right="707" w:gutter="0" w:header="902" w:top="993" w:footer="567" w:bottom="624"/>
          <w:pgNumType w:fmt="decimal"/>
          <w:formProt w:val="false"/>
          <w:titlePg/>
          <w:textDirection w:val="lrTb"/>
        </w:sectPr>
      </w:pPr>
    </w:p>
    <w:p>
      <w:pPr>
        <w:pStyle w:val="Normal"/>
        <w:tabs>
          <w:tab w:val="clear" w:pos="708"/>
          <w:tab w:val="left" w:pos="1260" w:leader="none"/>
          <w:tab w:val="left" w:pos="14656" w:leader="none"/>
        </w:tabs>
        <w:ind w:hanging="296" w:start="11624" w:end="-10"/>
        <w:rPr/>
      </w:pPr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/>
        <w:t>Додаток 4</w:t>
      </w:r>
    </w:p>
    <w:p>
      <w:pPr>
        <w:pStyle w:val="Normal"/>
        <w:tabs>
          <w:tab w:val="clear" w:pos="708"/>
          <w:tab w:val="left" w:pos="10992" w:leader="none"/>
          <w:tab w:val="left" w:pos="11624" w:leader="none"/>
          <w:tab w:val="left" w:pos="11908" w:leader="none"/>
          <w:tab w:val="left" w:pos="12049" w:leader="none"/>
          <w:tab w:val="left" w:pos="14656" w:leader="none"/>
        </w:tabs>
        <w:ind w:hanging="1701" w:start="12049" w:end="111"/>
        <w:rPr/>
      </w:pPr>
      <w:r>
        <w:rPr/>
        <w:t xml:space="preserve">     </w:t>
      </w:r>
      <w:r>
        <w:rPr/>
        <w:tab/>
        <w:tab/>
        <w:t xml:space="preserve">до Програми «Молодь громади» </w:t>
      </w:r>
    </w:p>
    <w:p>
      <w:pPr>
        <w:pStyle w:val="Normal"/>
        <w:tabs>
          <w:tab w:val="clear" w:pos="708"/>
          <w:tab w:val="left" w:pos="11624" w:leader="none"/>
          <w:tab w:val="left" w:pos="11907" w:leader="none"/>
          <w:tab w:val="left" w:pos="12049" w:leader="none"/>
          <w:tab w:val="left" w:pos="14656" w:leader="none"/>
        </w:tabs>
        <w:ind w:hanging="850" w:start="12049" w:end="111"/>
        <w:rPr/>
      </w:pPr>
      <w:r>
        <w:rPr/>
        <w:t xml:space="preserve">       </w:t>
      </w:r>
      <w:r>
        <w:rPr/>
        <w:t>на 2026-2028 роки</w:t>
      </w:r>
    </w:p>
    <w:p>
      <w:pPr>
        <w:pStyle w:val="Normal"/>
        <w:tabs>
          <w:tab w:val="clear" w:pos="708"/>
          <w:tab w:val="left" w:pos="10992" w:leader="none"/>
          <w:tab w:val="left" w:pos="11624" w:leader="none"/>
          <w:tab w:val="left" w:pos="11908" w:leader="none"/>
          <w:tab w:val="left" w:pos="12049" w:leader="none"/>
          <w:tab w:val="left" w:pos="14656" w:leader="none"/>
        </w:tabs>
        <w:ind w:hanging="1701" w:start="12049" w:end="1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142" w:leader="none"/>
        </w:tabs>
        <w:jc w:val="center"/>
        <w:rPr>
          <w:b/>
        </w:rPr>
      </w:pPr>
      <w:r>
        <w:rPr>
          <w:b/>
        </w:rPr>
        <w:t>Завдання і заходи реалізації місцевої цільової соціальної Програми «Молодь громади»  на 2026-2028 роки</w:t>
      </w:r>
    </w:p>
    <w:p>
      <w:pPr>
        <w:pStyle w:val="Normal"/>
        <w:tabs>
          <w:tab w:val="clear" w:pos="708"/>
          <w:tab w:val="left" w:pos="142" w:leader="none"/>
        </w:tabs>
        <w:jc w:val="center"/>
        <w:rPr>
          <w:b/>
        </w:rPr>
      </w:pPr>
      <w:r>
        <w:rPr>
          <w:b/>
        </w:rPr>
      </w:r>
    </w:p>
    <w:tbl>
      <w:tblPr>
        <w:tblW w:w="16313" w:type="dxa"/>
        <w:jc w:val="start"/>
        <w:tblInd w:w="-61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2699"/>
        <w:gridCol w:w="4111"/>
        <w:gridCol w:w="852"/>
        <w:gridCol w:w="1416"/>
        <w:gridCol w:w="1135"/>
        <w:gridCol w:w="992"/>
        <w:gridCol w:w="1034"/>
        <w:gridCol w:w="992"/>
        <w:gridCol w:w="946"/>
        <w:gridCol w:w="2136"/>
      </w:tblGrid>
      <w:tr>
        <w:trPr>
          <w:trHeight w:val="1465" w:hRule="atLeast"/>
          <w:cantSplit/>
        </w:trPr>
        <w:tc>
          <w:tcPr>
            <w:tcW w:w="269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з/п     Завдання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20"/>
              <w:spacing w:before="0" w:after="0"/>
              <w:ind w:hanging="0" w:start="-57" w:end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Зміст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>заходів Програми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>Термін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>виконання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>Виконавці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>Джерела фінансу-вання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113" w:end="-113"/>
              <w:jc w:val="center"/>
              <w:rPr>
                <w:b/>
              </w:rPr>
            </w:pPr>
            <w:r>
              <w:rPr>
                <w:b/>
              </w:rPr>
              <w:t xml:space="preserve">Орієн-товний обсяг 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start="-113" w:end="-113"/>
              <w:jc w:val="center"/>
              <w:rPr>
                <w:b/>
              </w:rPr>
            </w:pPr>
            <w:r>
              <w:rPr>
                <w:b/>
              </w:rPr>
              <w:t xml:space="preserve">фінан-суван-ня, 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start="-113" w:end="-113"/>
              <w:jc w:val="center"/>
              <w:rPr>
                <w:b/>
              </w:rPr>
            </w:pPr>
            <w:r>
              <w:rPr>
                <w:b/>
              </w:rPr>
              <w:t>тис. гривень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 xml:space="preserve">у тому числі за роками, 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 xml:space="preserve">тис. гривень: 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-65" w:leader="none"/>
                <w:tab w:val="left" w:pos="2424" w:leader="none"/>
                <w:tab w:val="left" w:pos="3010" w:leader="none"/>
              </w:tabs>
              <w:ind w:start="-57" w:end="655"/>
              <w:jc w:val="center"/>
              <w:rPr>
                <w:b/>
              </w:rPr>
            </w:pPr>
            <w:r>
              <w:rPr>
                <w:b/>
              </w:rPr>
              <w:t xml:space="preserve">   </w:t>
            </w:r>
            <w:r>
              <w:rPr>
                <w:b/>
              </w:rPr>
              <w:t>Очікувані                                                                результати</w:t>
            </w:r>
          </w:p>
        </w:tc>
      </w:tr>
      <w:tr>
        <w:trPr>
          <w:cantSplit/>
        </w:trPr>
        <w:tc>
          <w:tcPr>
            <w:tcW w:w="26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11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  <w:tc>
          <w:tcPr>
            <w:tcW w:w="2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ind w:start="-57" w:end="-57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>
        <w:trPr/>
        <w:tc>
          <w:tcPr>
            <w:tcW w:w="269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  <w:color w:themeColor="text1" w:val="000000"/>
              </w:rPr>
            </w:pPr>
            <w:bookmarkStart w:id="4" w:name="_Hlk212641459"/>
            <w:r>
              <w:rPr>
                <w:bCs/>
                <w:color w:themeColor="text1" w:val="000000"/>
              </w:rPr>
              <w:t>1.</w:t>
            </w:r>
            <w:r>
              <w:rPr>
                <w:color w:themeColor="text1" w:val="000000"/>
              </w:rPr>
              <w:t xml:space="preserve"> Створити умови для участі молоді громади у суспільному житті, забезпечення її доступу до прийняття рішень </w:t>
            </w:r>
            <w:bookmarkEnd w:id="4"/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39"/>
              <w:rPr/>
            </w:pPr>
            <w:r>
              <w:rPr/>
              <w:t xml:space="preserve">1.1. Організаційно-методична, інформаційна та матеріально-технічна підтримка діяльності Молодіжної ради при Роздільнянській міській раді, Молодіжного простору «Дія. Молодь». </w:t>
            </w:r>
          </w:p>
          <w:p>
            <w:pPr>
              <w:pStyle w:val="Normal"/>
              <w:ind w:firstLine="39"/>
              <w:rPr/>
            </w:pPr>
            <w:r>
              <w:rPr/>
            </w:r>
          </w:p>
          <w:p>
            <w:pPr>
              <w:pStyle w:val="Normal"/>
              <w:ind w:firstLine="39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спорту, Відділ освіти, Відділ культури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30,0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10,0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10,0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/>
              <w:t xml:space="preserve">Забезпечення участі молоді громади у прийнятті рішень та скоординованої діяльності органу місцевого самоврядування та консультативно-дорадчого органу з питань молодіжної політики </w:t>
            </w:r>
          </w:p>
        </w:tc>
      </w:tr>
      <w:tr>
        <w:trPr/>
        <w:tc>
          <w:tcPr>
            <w:tcW w:w="26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1.2. Запровадження у громаді в рамках реалізації Національної програми «Молодіжний працівник» діяльності молодіжного працівника, оплата його підготовки, підвищення кваліфікації, роботи з молоддю громади.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спорту, Відділ освіти, Відділ культури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341,802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88,616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126,593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126,593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Розвиток  молодіжної інфраструктури  у громаді. Підвищення рівня охоплення молодих мешканців громади молодіжною роботою різних напрямків</w:t>
            </w:r>
          </w:p>
        </w:tc>
      </w:tr>
      <w:tr>
        <w:trPr/>
        <w:tc>
          <w:tcPr>
            <w:tcW w:w="269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bookmarkStart w:id="5" w:name="_Hlk212641583"/>
            <w:r>
              <w:rPr>
                <w:bCs/>
              </w:rPr>
              <w:t>2. Розвивати співпрацю Роздільнянської міської ради з усіма суб’єктами молодіжної роботи у громаді</w:t>
            </w:r>
            <w:bookmarkEnd w:id="5"/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39"/>
              <w:rPr/>
            </w:pPr>
            <w:r>
              <w:rPr/>
              <w:t>2.1. Надання фінансової підтримки громадським організаціям для проведення заходів з реалізації молодіжної політики.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спорту, Відділ освіти, Відділ культури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30,0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10,0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10,0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Забезпечення скоординованої діяльності органу місцевого самоврядування з громадськими об’єднаннями  у молодіжній сфері</w:t>
            </w:r>
          </w:p>
        </w:tc>
      </w:tr>
      <w:tr>
        <w:trPr/>
        <w:tc>
          <w:tcPr>
            <w:tcW w:w="26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39"/>
              <w:rPr/>
            </w:pPr>
            <w:r>
              <w:rPr/>
              <w:t>2.2. Заходи, спрямовані на забезпечення гендерної рівності у сфері самореалізації молоді та на підвищення рівня гендерної компетентності серед молоді та усіх суб’єктів молодіжної роботи.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спорту, Відділ освіти, Відділ культури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Дотримання гендерної рівності при здійсненні молодіжної роботи у громаді</w:t>
            </w:r>
          </w:p>
        </w:tc>
      </w:tr>
      <w:tr>
        <w:trPr/>
        <w:tc>
          <w:tcPr>
            <w:tcW w:w="26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39"/>
              <w:rPr/>
            </w:pPr>
            <w:r>
              <w:rPr/>
              <w:t xml:space="preserve">2.3. Залучення молоді до співпраці з міською радою до роботи в консультативно-дорадчих органах міської ради та робочих групах, до стажування у виконавчих органах міської ради, до громадських слухань та громадських обговорень. 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Забезпечення участі молоді громади у прийнятті рішень, підвищення рівня активності молоді, її зацікавленості у житті громади</w:t>
            </w:r>
          </w:p>
        </w:tc>
      </w:tr>
      <w:tr>
        <w:trPr/>
        <w:tc>
          <w:tcPr>
            <w:tcW w:w="269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40" w:before="0" w:after="0"/>
              <w:rPr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bookmarkStart w:id="6" w:name="_Hlk212641708"/>
            <w:r>
              <w:rPr>
                <w:rFonts w:ascii="Times New Roman" w:hAnsi="Times New Roman"/>
                <w:sz w:val="24"/>
                <w:szCs w:val="24"/>
              </w:rPr>
              <w:t>Забезпечити безбар’єрний та інклюзивний розвиток для всіх категорій молоді</w:t>
            </w:r>
            <w:bookmarkEnd w:id="6"/>
          </w:p>
          <w:p>
            <w:pPr>
              <w:pStyle w:val="12"/>
              <w:spacing w:lineRule="auto" w:line="240" w:before="0" w:after="0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3.1. Залучення до участі у молодіжних заходах усіх категорій молоді, у тому числі молодих ветеранів війни, молодих військовослужбовців, молоді із вразливих груп населення, з числа внутрішньо переміщених осіб, осіб з інвалідністю тощо.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</w:r>
          </w:p>
          <w:p>
            <w:pPr>
              <w:pStyle w:val="Normal"/>
              <w:ind w:firstLine="39"/>
              <w:rPr/>
            </w:pPr>
            <w:r>
              <w:rPr/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спорту, Відділ освіти, Відділ культури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Підвищення рівня активності молоді, її зацікавленості у житті громади, забезпечення її безбар’єрного та інклюзивного розвитку</w:t>
            </w:r>
          </w:p>
        </w:tc>
      </w:tr>
      <w:tr>
        <w:trPr/>
        <w:tc>
          <w:tcPr>
            <w:tcW w:w="26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3.2. Всебічна підтримка ініціатив молоді та  різноманітних форм молодіжних активностей: семінари, тренінги, круглі столи, конференції, форуми, акції, конкурси, фестивалі, ігри, творчі вечори, профорієнтаційні бесіди, зустрічі з цікавими людьми, пленери, табори, походи, майстер-класи, інтелектуальні змагання, вишколи, дебати, моніторинги, воркшопи, турніри, квести, вебінари, презентації, інформаційні кампанії, розроблення та виготовлення друкованих, фото- та відеоматеріалів, виготовлення аксесуарів з логотипами тощо.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спорту, Відділ освіти, Відділ культури, соціальної політики, служба у справах дітей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180,0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Розширення форм та засобів  комунікації молоді з метою розгляду та вирішення її актуальних проблем (неформальна освіта, становлення особистості, працевлаштування, здоровий спосіб життя, змістовне дозвілля тощо).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</w:r>
          </w:p>
        </w:tc>
      </w:tr>
      <w:tr>
        <w:trPr/>
        <w:tc>
          <w:tcPr>
            <w:tcW w:w="26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3.3. Організація та проведення урочистих і святкових заходів до визначних та пам’ятних дат України, зокрема, до Дня молоді, Дня захисту дітей тощо.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спорту, освіти, культури, соціальної політики, служба у справах дітей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75,0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25,0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25,0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25,0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Покращення обізнаності молоді громади щодо історичних подій та визначних постатей України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"/>
              <w:spacing w:lineRule="auto" w:line="240" w:before="0" w:after="0"/>
              <w:rPr>
                <w:bCs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4. </w:t>
            </w:r>
            <w:bookmarkStart w:id="7" w:name="_Hlk212642061"/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Створити умови для реалізації молодіжного потенціалу, забезпечення мотивації для самовдосконалення, творчого та професійного розвитку особистості</w:t>
            </w:r>
            <w:bookmarkEnd w:id="7"/>
          </w:p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4.1. Присудження щорічної Премії Роздільнянської міської ради талановитій молоді (особисто, колективи, команди, групи тощо) за досягнення у різних сферах суспільного життя.</w:t>
            </w:r>
          </w:p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Роздільнянська міська рада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720,0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240,0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240,0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Реалізація потенціалу молоді громади у різних сферах суспільного життя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 xml:space="preserve">5. </w:t>
            </w:r>
            <w:bookmarkStart w:id="8" w:name="_Hlk212642132"/>
            <w:r>
              <w:rPr/>
              <w:t>Здійснювати роботу з формування та утвердження української національної та громадянської ідентичності</w:t>
            </w:r>
            <w:bookmarkEnd w:id="8"/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5.1. Проведення молодіжних заходів, спрямованих на формування та утвердження української національної та громадянської ідентичності, а саме на національно-патріотичне виховання, військово-патріотичне виховання, громадянську освіту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2026-2028 роки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Відділ молоді та спорту, освіти, культури, соціальної політики, служба у справах дітей Роздільнянської міської ради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Підвищення рівня громадянської свідомості, активної патріотичної позиції молоді громади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  <w:t>Всього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>
                <w:bCs/>
              </w:rPr>
            </w:pPr>
            <w:r>
              <w:rPr>
                <w:bCs/>
              </w:rPr>
              <w:t>Міський бюджет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1436,802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453,616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491,593</w:t>
            </w:r>
          </w:p>
        </w:tc>
        <w:tc>
          <w:tcPr>
            <w:tcW w:w="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491,593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42" w:leader="none"/>
              </w:tabs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ind w:start="10773"/>
        <w:jc w:val="both"/>
        <w:rPr/>
      </w:pPr>
      <w:r>
        <w:rPr/>
      </w:r>
    </w:p>
    <w:sectPr>
      <w:headerReference w:type="default" r:id="rId8"/>
      <w:headerReference w:type="first" r:id="rId9"/>
      <w:footerReference w:type="default" r:id="rId10"/>
      <w:footerReference w:type="first" r:id="rId11"/>
      <w:type w:val="nextPage"/>
      <w:pgSz w:orient="landscape" w:w="16838" w:h="11906"/>
      <w:pgMar w:left="851" w:right="851" w:gutter="0" w:header="709" w:top="1701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Antiqu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Рамка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r>
      <mc:AlternateContent>
        <mc:Choice Requires="wps">
          <w:drawing>
            <wp:anchor distT="0" distB="0" distL="0" distR="0" simplePos="0" relativeHeight="11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2" name="Рамка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3.8pt;mso-wrap-distance-left:0pt;mso-wrap-distance-right:0pt;mso-wrap-distance-top:0pt;mso-wrap-distance-bottom:0pt;margin-top:0.05pt;mso-position-vertical-relative:text;margin-left:236.9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4" name="Рамка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3.8pt;mso-wrap-distance-left:0pt;mso-wrap-distance-right:0pt;mso-wrap-distance-top:0pt;mso-wrap-distance-bottom:0pt;margin-top:0.05pt;mso-position-vertical-relative:text;margin-left:377.8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8"/>
      <w:numFmt w:val="bullet"/>
      <w:lvlText w:val="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3358d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uk-UA" w:bidi="ar-SA"/>
    </w:rPr>
  </w:style>
  <w:style w:type="paragraph" w:styleId="Heading1">
    <w:name w:val="heading 1"/>
    <w:basedOn w:val="Normal"/>
    <w:next w:val="Normal"/>
    <w:link w:val="1"/>
    <w:qFormat/>
    <w:rsid w:val="00df1577"/>
    <w:pPr>
      <w:keepNext w:val="true"/>
      <w:jc w:val="both"/>
      <w:outlineLvl w:val="0"/>
    </w:pPr>
    <w:rPr>
      <w:sz w:val="32"/>
      <w:szCs w:val="20"/>
    </w:rPr>
  </w:style>
  <w:style w:type="paragraph" w:styleId="Heading2">
    <w:name w:val="heading 2"/>
    <w:basedOn w:val="Normal"/>
    <w:next w:val="Normal"/>
    <w:link w:val="2"/>
    <w:qFormat/>
    <w:rsid w:val="00df1577"/>
    <w:pPr>
      <w:keepNext w:val="true"/>
      <w:jc w:val="both"/>
      <w:outlineLvl w:val="1"/>
    </w:pPr>
    <w:rPr>
      <w:b/>
      <w:bCs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df1577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f1577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character" w:styleId="Style12" w:customStyle="1">
    <w:name w:val="Верхний колонтитул Знак"/>
    <w:basedOn w:val="DefaultParagraphFont"/>
    <w:qFormat/>
    <w:rsid w:val="00df157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df1577"/>
    <w:rPr/>
  </w:style>
  <w:style w:type="character" w:styleId="Style13" w:customStyle="1">
    <w:name w:val="Нижний колонтитул Знак"/>
    <w:basedOn w:val="DefaultParagraphFont"/>
    <w:qFormat/>
    <w:rsid w:val="00df157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qFormat/>
    <w:rsid w:val="00df1577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rong">
    <w:name w:val="Strong"/>
    <w:qFormat/>
    <w:rsid w:val="00df1577"/>
    <w:rPr>
      <w:b/>
      <w:bCs/>
    </w:rPr>
  </w:style>
  <w:style w:type="character" w:styleId="Style15" w:customStyle="1">
    <w:name w:val="Основной текст с отступом Знак"/>
    <w:basedOn w:val="DefaultParagraphFont"/>
    <w:qFormat/>
    <w:rsid w:val="00df157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Текст выноски Знак"/>
    <w:basedOn w:val="DefaultParagraphFont"/>
    <w:link w:val="BalloonText"/>
    <w:semiHidden/>
    <w:qFormat/>
    <w:rsid w:val="00df1577"/>
    <w:rPr>
      <w:rFonts w:ascii="Tahoma" w:hAnsi="Tahoma" w:eastAsia="Times New Roman" w:cs="Tahoma"/>
      <w:sz w:val="16"/>
      <w:szCs w:val="16"/>
      <w:lang w:eastAsia="ru-RU"/>
    </w:rPr>
  </w:style>
  <w:style w:type="character" w:styleId="Emphasis">
    <w:name w:val="Emphasis"/>
    <w:qFormat/>
    <w:rsid w:val="00df1577"/>
    <w:rPr>
      <w:i/>
      <w:iCs/>
    </w:rPr>
  </w:style>
  <w:style w:type="character" w:styleId="rvts23" w:customStyle="1">
    <w:name w:val="rvts23"/>
    <w:basedOn w:val="DefaultParagraphFont"/>
    <w:qFormat/>
    <w:rsid w:val="00277835"/>
    <w:rPr/>
  </w:style>
  <w:style w:type="character" w:styleId="rvts0" w:customStyle="1">
    <w:name w:val="rvts0"/>
    <w:basedOn w:val="DefaultParagraphFont"/>
    <w:qFormat/>
    <w:rsid w:val="00b00caa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rsid w:val="00df1577"/>
    <w:pPr/>
    <w:rPr>
      <w:sz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2"/>
    <w:rsid w:val="00df157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df157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 w:customStyle="1">
    <w:name w:val="Нормальний текст"/>
    <w:basedOn w:val="Normal"/>
    <w:qFormat/>
    <w:rsid w:val="00df1577"/>
    <w:pPr>
      <w:spacing w:before="120" w:after="0"/>
      <w:ind w:firstLine="567"/>
      <w:jc w:val="both"/>
    </w:pPr>
    <w:rPr>
      <w:rFonts w:ascii="Antiqua" w:hAnsi="Antiqua"/>
      <w:sz w:val="26"/>
      <w:szCs w:val="20"/>
    </w:rPr>
  </w:style>
  <w:style w:type="paragraph" w:styleId="11" w:customStyle="1">
    <w:name w:val="Абзац списка1"/>
    <w:basedOn w:val="Normal"/>
    <w:qFormat/>
    <w:rsid w:val="00df1577"/>
    <w:pPr>
      <w:spacing w:before="0" w:after="0"/>
      <w:ind w:start="720"/>
      <w:contextualSpacing/>
    </w:pPr>
    <w:rPr>
      <w:lang w:val="ru-RU"/>
    </w:rPr>
  </w:style>
  <w:style w:type="paragraph" w:styleId="NormalWeb">
    <w:name w:val="Normal (Web)"/>
    <w:basedOn w:val="Normal"/>
    <w:qFormat/>
    <w:rsid w:val="00df1577"/>
    <w:pPr>
      <w:spacing w:beforeAutospacing="1" w:afterAutospacing="1"/>
    </w:pPr>
    <w:rPr>
      <w:lang w:val="ru-RU"/>
    </w:rPr>
  </w:style>
  <w:style w:type="paragraph" w:styleId="BodyTextIndent">
    <w:name w:val="Body Text Indent"/>
    <w:basedOn w:val="Normal"/>
    <w:link w:val="Style15"/>
    <w:rsid w:val="00df1577"/>
    <w:pPr>
      <w:spacing w:before="0" w:after="120"/>
      <w:ind w:start="283"/>
    </w:pPr>
    <w:rPr/>
  </w:style>
  <w:style w:type="paragraph" w:styleId="BalloonText">
    <w:name w:val="Balloon Text"/>
    <w:basedOn w:val="Normal"/>
    <w:link w:val="Style16"/>
    <w:semiHidden/>
    <w:qFormat/>
    <w:rsid w:val="00df157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465f4"/>
    <w:pPr>
      <w:spacing w:before="0" w:after="0"/>
      <w:ind w:start="720"/>
      <w:contextualSpacing/>
    </w:pPr>
    <w:rPr/>
  </w:style>
  <w:style w:type="paragraph" w:styleId="12" w:customStyle="1">
    <w:name w:val="Звичайний1"/>
    <w:qFormat/>
    <w:rsid w:val="00b00caa"/>
    <w:pPr>
      <w:widowControl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0"/>
      <w:lang w:eastAsia="uk-UA" w:val="uk-UA" w:bidi="ar-SA"/>
    </w:rPr>
  </w:style>
  <w:style w:type="paragraph" w:styleId="Style21">
    <w:name w:val="Вміст рамки"/>
    <w:basedOn w:val="Normal"/>
    <w:qFormat/>
    <w:pPr/>
    <w:rPr/>
  </w:style>
  <w:style w:type="numbering" w:styleId="Style22" w:default="1">
    <w:name w:val="Без маркерів"/>
    <w:uiPriority w:val="99"/>
    <w:semiHidden/>
    <w:unhideWhenUsed/>
    <w:qFormat/>
  </w:style>
  <w:style w:type="numbering" w:styleId="13" w:customStyle="1">
    <w:name w:val="Немає списку1"/>
    <w:semiHidden/>
    <w:unhideWhenUsed/>
    <w:qFormat/>
    <w:rsid w:val="00df1577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39"/>
    <w:rsid w:val="00df1577"/>
    <w:pPr>
      <w:spacing w:after="0" w:line="240" w:lineRule="auto"/>
    </w:pPr>
    <w:rPr>
      <w:sz w:val="20"/>
      <w:szCs w:val="20"/>
      <w:lang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2775D-7E1A-4C65-8B6E-32FA93CE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LibreOffice/26.2.4.2$Windows_x86 LibreOffice_project/0229ac93fcf0d7cbc6376066c6f35021cef002dc</Application>
  <AppVersion>15.0000</AppVersion>
  <Pages>11</Pages>
  <Words>1876</Words>
  <Characters>12354</Characters>
  <CharactersWithSpaces>14295</CharactersWithSpaces>
  <Paragraphs>439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2026-06-25T08:59:00Z</dcterms:created>
  <dc:creator>Користувач</dc:creator>
  <dc:description/>
  <dc:language>uk-UA</dc:language>
  <cp:lastModifiedBy/>
  <cp:lastPrinted>2026-06-25T08:56:00Z</cp:lastPrinted>
  <dcterms:modified xsi:type="dcterms:W3CDTF">2026-07-07T15:26:53Z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