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both"/>
        <w:rPr>
          <w:sz w:val="4"/>
          <w:szCs w:val="4"/>
        </w:rPr>
      </w:pPr>
      <w:r>
        <w:rPr>
          <w:sz w:val="4"/>
          <w:szCs w:val="4"/>
        </w:rPr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center"/>
        <w:rPr>
          <w:rFonts w:ascii="Times New Roman" w:hAnsi="Times New Roman" w:eastAsia="Calibri" w:cs="Times New Roman"/>
          <w:b/>
          <w:sz w:val="24"/>
          <w:szCs w:val="24"/>
          <w:lang w:val="uk-UA"/>
        </w:rPr>
      </w:pPr>
      <w:r>
        <w:rPr>
          <w:rFonts w:eastAsia="Calibri" w:cs="Times New Roman" w:ascii="Times New Roman" w:hAnsi="Times New Roman"/>
          <w:b/>
          <w:sz w:val="24"/>
          <w:szCs w:val="24"/>
          <w:lang w:val="uk-UA"/>
        </w:rPr>
        <w:t>ПАСПОРТ ПРОГРАМИ</w:t>
      </w:r>
    </w:p>
    <w:p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cs="Times New Roman" w:ascii="Times New Roman" w:hAnsi="Times New Roman"/>
          <w:b/>
          <w:sz w:val="24"/>
          <w:szCs w:val="24"/>
          <w:lang w:val="uk-UA" w:eastAsia="ru-RU"/>
        </w:rPr>
        <w:t>Програма забезпечення житлом деяких категорій осіб, які захищали незалежність, суверенітет та територіальну цілісність України, учасників бойових дій на території інших держав, а також членів їх сімей, які мешкають на території</w:t>
      </w:r>
    </w:p>
    <w:p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cs="Times New Roman" w:ascii="Times New Roman" w:hAnsi="Times New Roman"/>
          <w:b/>
          <w:sz w:val="24"/>
          <w:szCs w:val="24"/>
          <w:lang w:val="uk-UA" w:eastAsia="ru-RU"/>
        </w:rPr>
        <w:t>Роздільнянської міської територіальної громади на 2025- 2029  роки</w:t>
      </w:r>
    </w:p>
    <w:tbl>
      <w:tblPr>
        <w:tblpPr w:vertAnchor="text" w:horzAnchor="margin" w:tblpXSpec="center" w:leftFromText="180" w:rightFromText="180" w:tblpY="250"/>
        <w:tblW w:w="9889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 w:firstRow="0" w:noVBand="0" w:lastRow="0" w:firstColumn="0" w:lastColumn="0" w:noHBand="0"/>
      </w:tblPr>
      <w:tblGrid>
        <w:gridCol w:w="727"/>
        <w:gridCol w:w="3436"/>
        <w:gridCol w:w="5726"/>
      </w:tblGrid>
      <w:tr>
        <w:trPr/>
        <w:tc>
          <w:tcPr>
            <w:tcW w:w="7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ind w:firstLine="18" w:start="-18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Ініціатор розроблення Програми</w:t>
            </w:r>
          </w:p>
        </w:tc>
        <w:tc>
          <w:tcPr>
            <w:tcW w:w="5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Відділ  соціальної політики Роздільнянської міської ради</w:t>
            </w:r>
          </w:p>
        </w:tc>
      </w:tr>
      <w:tr>
        <w:trPr/>
        <w:tc>
          <w:tcPr>
            <w:tcW w:w="72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3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Дата, номер і назва розпорядчого документа про розроблення Програми</w:t>
            </w:r>
          </w:p>
        </w:tc>
        <w:tc>
          <w:tcPr>
            <w:tcW w:w="57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uk-UA" w:eastAsia="ru-RU"/>
              </w:rPr>
              <w:t>Розпорядження міського голови від 22.11.2024 №375/од-2024 «Про розробку проєкту Програми забезпечення житлом деяких категорій осіб, які захищали незалежність, суверенітет та територіальну цілісність України, учасників бойових дій на території інших держав, а також членів їх сімей, які мешкають на території Роздільнянської міської територіальної громади на 2025- 2029  роки»</w:t>
            </w:r>
          </w:p>
        </w:tc>
      </w:tr>
      <w:tr>
        <w:trPr/>
        <w:tc>
          <w:tcPr>
            <w:tcW w:w="72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43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Розробник Програми</w:t>
            </w:r>
          </w:p>
        </w:tc>
        <w:tc>
          <w:tcPr>
            <w:tcW w:w="57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Відділ  соціальної політики Роздільнянської міської ради</w:t>
            </w:r>
          </w:p>
        </w:tc>
      </w:tr>
      <w:tr>
        <w:trPr/>
        <w:tc>
          <w:tcPr>
            <w:tcW w:w="72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3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Відповідальний виконавець Програми</w:t>
            </w:r>
          </w:p>
        </w:tc>
        <w:tc>
          <w:tcPr>
            <w:tcW w:w="57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Відділ  соціальної політики Роздільнянської міської ради</w:t>
            </w:r>
          </w:p>
        </w:tc>
      </w:tr>
      <w:tr>
        <w:trPr/>
        <w:tc>
          <w:tcPr>
            <w:tcW w:w="72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43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uk-UA" w:eastAsia="ru-RU"/>
              </w:rPr>
              <w:t>Виконавці програми</w:t>
            </w:r>
          </w:p>
        </w:tc>
        <w:tc>
          <w:tcPr>
            <w:tcW w:w="57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uk-UA" w:eastAsia="ru-RU"/>
              </w:rPr>
              <w:t>-</w:t>
            </w:r>
          </w:p>
        </w:tc>
      </w:tr>
      <w:tr>
        <w:trPr/>
        <w:tc>
          <w:tcPr>
            <w:tcW w:w="72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343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uk-UA" w:eastAsia="ru-RU"/>
              </w:rPr>
              <w:t>Термін реалізації Програми</w:t>
            </w:r>
          </w:p>
        </w:tc>
        <w:tc>
          <w:tcPr>
            <w:tcW w:w="57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  <w:lang w:val="uk-UA" w:eastAsia="ru-RU"/>
              </w:rPr>
              <w:t>І етап: 2025-2027 роки</w:t>
            </w:r>
          </w:p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uk-UA" w:eastAsia="ru-RU"/>
              </w:rPr>
              <w:t>ІІ етап: 2028-2029 роки</w:t>
            </w:r>
          </w:p>
        </w:tc>
      </w:tr>
      <w:tr>
        <w:trPr>
          <w:trHeight w:val="621" w:hRule="atLeast"/>
        </w:trPr>
        <w:tc>
          <w:tcPr>
            <w:tcW w:w="72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43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Мета Програми</w:t>
            </w:r>
          </w:p>
        </w:tc>
        <w:tc>
          <w:tcPr>
            <w:tcW w:w="57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cs="Times New Roman" w:ascii="Times New Roman" w:hAnsi="Times New Roman"/>
                <w:bCs/>
                <w:color w:val="202124"/>
                <w:sz w:val="24"/>
                <w:szCs w:val="24"/>
                <w:shd w:fill="FFFFFF" w:val="clear"/>
                <w:lang w:val="uk-UA"/>
              </w:rPr>
              <w:t>Забезпечення соціального захисту ветеранів війни та членів їхніх сімей, а також родин загиблих (померлих) Захисників і Захисниць шляхом поліпшення житлових умов, забезпечення гідного рівня життя та сприяння їхній інтеграції в суспільство за рахунок надання грошової компенсації за належні для отримання житлові приміщення.</w:t>
            </w:r>
          </w:p>
        </w:tc>
      </w:tr>
      <w:tr>
        <w:trPr>
          <w:trHeight w:val="835" w:hRule="atLeast"/>
        </w:trPr>
        <w:tc>
          <w:tcPr>
            <w:tcW w:w="7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4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Загальний обсяг фінансових ресурсів, необхідних для реалізації програми</w:t>
            </w:r>
          </w:p>
        </w:tc>
        <w:tc>
          <w:tcPr>
            <w:tcW w:w="5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333333"/>
                <w:sz w:val="24"/>
                <w:szCs w:val="24"/>
                <w:lang w:val="uk-U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bCs/>
                <w:color w:val="333333"/>
                <w:sz w:val="24"/>
                <w:szCs w:val="24"/>
                <w:lang w:val="uk-UA"/>
              </w:rPr>
              <w:t>25 554,60 тис. грн.</w:t>
            </w:r>
          </w:p>
        </w:tc>
      </w:tr>
      <w:tr>
        <w:trPr>
          <w:trHeight w:val="621" w:hRule="atLeast"/>
        </w:trPr>
        <w:tc>
          <w:tcPr>
            <w:tcW w:w="7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34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всього</w:t>
            </w:r>
          </w:p>
        </w:tc>
        <w:tc>
          <w:tcPr>
            <w:tcW w:w="5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333333"/>
                <w:sz w:val="24"/>
                <w:szCs w:val="24"/>
                <w:lang w:val="uk-UA"/>
              </w:rPr>
              <w:t>25 554,60 тис. грн.</w:t>
            </w:r>
          </w:p>
        </w:tc>
      </w:tr>
      <w:tr>
        <w:trPr/>
        <w:tc>
          <w:tcPr>
            <w:tcW w:w="7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34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у тому числі:</w:t>
            </w:r>
          </w:p>
        </w:tc>
        <w:tc>
          <w:tcPr>
            <w:tcW w:w="5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</w:r>
          </w:p>
        </w:tc>
      </w:tr>
      <w:tr>
        <w:trPr/>
        <w:tc>
          <w:tcPr>
            <w:tcW w:w="7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34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кошти державного бюджету</w:t>
            </w:r>
          </w:p>
        </w:tc>
        <w:tc>
          <w:tcPr>
            <w:tcW w:w="5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25 544,60  тис. грн.</w:t>
            </w:r>
          </w:p>
        </w:tc>
      </w:tr>
      <w:tr>
        <w:trPr/>
        <w:tc>
          <w:tcPr>
            <w:tcW w:w="7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34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кошти обласного бюджету</w:t>
            </w:r>
          </w:p>
        </w:tc>
        <w:tc>
          <w:tcPr>
            <w:tcW w:w="5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0,00</w:t>
            </w:r>
          </w:p>
        </w:tc>
      </w:tr>
      <w:tr>
        <w:trPr/>
        <w:tc>
          <w:tcPr>
            <w:tcW w:w="7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34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кошти бюджету Роздільнянської міської ради</w:t>
            </w:r>
          </w:p>
        </w:tc>
        <w:tc>
          <w:tcPr>
            <w:tcW w:w="5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color w:val="333333"/>
                <w:sz w:val="24"/>
                <w:szCs w:val="24"/>
                <w:lang w:val="uk-UA"/>
              </w:rPr>
              <w:t>10,00</w:t>
            </w:r>
            <w:r>
              <w:rPr>
                <w:rFonts w:eastAsia="Times New Roman" w:cs="Times New Roman" w:ascii="Times New Roman" w:hAnsi="Times New Roman"/>
                <w:b/>
                <w:bCs/>
                <w:color w:val="333333"/>
                <w:sz w:val="24"/>
                <w:szCs w:val="24"/>
                <w:lang w:val="uk-UA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  <w:lang w:val="uk-UA" w:eastAsia="ru-RU"/>
              </w:rPr>
              <w:t>тис. грн.</w:t>
            </w:r>
          </w:p>
        </w:tc>
      </w:tr>
      <w:tr>
        <w:trPr/>
        <w:tc>
          <w:tcPr>
            <w:tcW w:w="7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34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кошти інших джерел</w:t>
            </w:r>
          </w:p>
        </w:tc>
        <w:tc>
          <w:tcPr>
            <w:tcW w:w="5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-</w:t>
            </w:r>
          </w:p>
        </w:tc>
      </w:tr>
      <w:tr>
        <w:trPr/>
        <w:tc>
          <w:tcPr>
            <w:tcW w:w="7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4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uk-UA" w:eastAsia="ru-RU"/>
              </w:rPr>
              <w:t>Очікувані результати виконання</w:t>
            </w:r>
          </w:p>
        </w:tc>
        <w:tc>
          <w:tcPr>
            <w:tcW w:w="5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uk-UA"/>
              </w:rPr>
              <w:t>поліпшення умов проживання ветеранів війни, Захисників та Захисниць України, членів сімей загиблих (померлих) ветеранів війни.</w:t>
            </w:r>
          </w:p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uk-UA"/>
              </w:rPr>
              <w:t>підвищення рівня обізнаності ветеранів війни, Захисників та Захисниць України, членів сімей загиблих (померлих) ветеранів війни.</w:t>
            </w:r>
          </w:p>
          <w:p>
            <w:pPr>
              <w:pStyle w:val="Normal"/>
              <w:spacing w:before="0" w:after="160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 w:eastAsia="ru-RU"/>
              </w:rPr>
            </w:pPr>
            <w:r>
              <w:rPr>
                <w:rFonts w:cs="Times New Roman" w:ascii="Times New Roman" w:hAnsi="Times New Roman"/>
                <w:color w:val="FF0000"/>
                <w:sz w:val="24"/>
                <w:szCs w:val="24"/>
                <w:lang w:val="uk-UA" w:eastAsia="ru-RU"/>
              </w:rPr>
            </w:r>
          </w:p>
        </w:tc>
      </w:tr>
      <w:tr>
        <w:trPr/>
        <w:tc>
          <w:tcPr>
            <w:tcW w:w="7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4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uk-UA" w:eastAsia="ru-RU"/>
              </w:rPr>
              <w:t>Ключові показники ефективності</w:t>
            </w:r>
          </w:p>
        </w:tc>
        <w:tc>
          <w:tcPr>
            <w:tcW w:w="5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uk-UA" w:eastAsia="ru-RU"/>
              </w:rPr>
              <w:t>Відсоток охоплення  грошовою компенсацією заявників окремих пільгових категорій осіб до загальної чисельності заявників</w:t>
            </w:r>
          </w:p>
          <w:p>
            <w:pPr>
              <w:pStyle w:val="Normal"/>
              <w:spacing w:before="0" w:after="160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 w:eastAsia="ru-RU"/>
              </w:rPr>
            </w:pPr>
            <w:r>
              <w:rPr>
                <w:rFonts w:cs="Times New Roman" w:ascii="Times New Roman" w:hAnsi="Times New Roman"/>
                <w:color w:val="FF0000"/>
                <w:sz w:val="24"/>
                <w:szCs w:val="24"/>
                <w:lang w:val="uk-UA" w:eastAsia="ru-RU"/>
              </w:rPr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uk-UA"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val="uk-UA" w:eastAsia="ru-RU"/>
        </w:rPr>
      </w:r>
    </w:p>
    <w:p>
      <w:pPr>
        <w:pStyle w:val="Normal"/>
        <w:spacing w:lineRule="auto" w:line="240" w:before="0" w:after="0"/>
        <w:ind w:start="567"/>
        <w:jc w:val="center"/>
        <w:rPr>
          <w:rFonts w:ascii="Times New Roman" w:hAnsi="Times New Roman" w:eastAsia="Times New Roman" w:cs="Times New Roman"/>
          <w:b/>
          <w:color w:val="000000"/>
          <w:sz w:val="28"/>
          <w:szCs w:val="28"/>
          <w:lang w:val="uk-UA"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  <w:szCs w:val="28"/>
          <w:lang w:val="uk-UA" w:eastAsia="ru-RU"/>
        </w:rPr>
      </w:r>
    </w:p>
    <w:p>
      <w:pPr>
        <w:pStyle w:val="Normal"/>
        <w:spacing w:lineRule="auto" w:line="240" w:before="0" w:after="0"/>
        <w:ind w:start="567"/>
        <w:jc w:val="center"/>
        <w:rPr>
          <w:rFonts w:ascii="Times New Roman" w:hAnsi="Times New Roman" w:eastAsia="Times New Roman" w:cs="Times New Roman"/>
          <w:b/>
          <w:color w:val="000000"/>
          <w:sz w:val="28"/>
          <w:szCs w:val="28"/>
          <w:lang w:val="uk-UA"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  <w:szCs w:val="28"/>
          <w:lang w:val="uk-UA" w:eastAsia="ru-RU"/>
        </w:rPr>
      </w:r>
    </w:p>
    <w:p>
      <w:pPr>
        <w:pStyle w:val="Normal"/>
        <w:spacing w:lineRule="auto" w:line="240" w:before="0" w:after="0"/>
        <w:ind w:start="567"/>
        <w:jc w:val="center"/>
        <w:rPr>
          <w:rFonts w:ascii="Times New Roman" w:hAnsi="Times New Roman" w:eastAsia="Times New Roman" w:cs="Times New Roman"/>
          <w:b/>
          <w:color w:val="000000"/>
          <w:sz w:val="28"/>
          <w:szCs w:val="28"/>
          <w:lang w:val="uk-UA"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  <w:szCs w:val="28"/>
          <w:lang w:val="uk-UA" w:eastAsia="ru-RU"/>
        </w:rPr>
      </w:r>
    </w:p>
    <w:p>
      <w:pPr>
        <w:pStyle w:val="Normal"/>
        <w:spacing w:lineRule="auto" w:line="240" w:before="0" w:after="0"/>
        <w:ind w:start="567"/>
        <w:jc w:val="center"/>
        <w:rPr>
          <w:rFonts w:ascii="Times New Roman" w:hAnsi="Times New Roman" w:eastAsia="Times New Roman" w:cs="Times New Roman"/>
          <w:b/>
          <w:color w:val="000000"/>
          <w:sz w:val="28"/>
          <w:szCs w:val="28"/>
          <w:lang w:val="uk-UA"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  <w:szCs w:val="28"/>
          <w:lang w:val="uk-UA" w:eastAsia="ru-RU"/>
        </w:rPr>
      </w:r>
    </w:p>
    <w:p>
      <w:pPr>
        <w:pStyle w:val="Normal"/>
        <w:spacing w:lineRule="auto" w:line="240" w:before="0" w:after="0"/>
        <w:ind w:start="567"/>
        <w:jc w:val="center"/>
        <w:rPr>
          <w:rFonts w:ascii="Times New Roman" w:hAnsi="Times New Roman" w:eastAsia="Times New Roman" w:cs="Times New Roman"/>
          <w:b/>
          <w:color w:val="000000"/>
          <w:sz w:val="28"/>
          <w:szCs w:val="28"/>
          <w:lang w:val="uk-UA"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  <w:szCs w:val="28"/>
          <w:lang w:val="uk-UA" w:eastAsia="ru-RU"/>
        </w:rPr>
      </w:r>
    </w:p>
    <w:p>
      <w:pPr>
        <w:pStyle w:val="Normal"/>
        <w:spacing w:lineRule="auto" w:line="240" w:before="0" w:after="0"/>
        <w:ind w:start="567"/>
        <w:jc w:val="center"/>
        <w:rPr>
          <w:rFonts w:ascii="Times New Roman" w:hAnsi="Times New Roman" w:eastAsia="Times New Roman" w:cs="Times New Roman"/>
          <w:b/>
          <w:color w:val="000000"/>
          <w:sz w:val="28"/>
          <w:szCs w:val="28"/>
          <w:lang w:val="uk-UA"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  <w:szCs w:val="28"/>
          <w:lang w:val="uk-UA" w:eastAsia="ru-RU"/>
        </w:rPr>
      </w:r>
    </w:p>
    <w:p>
      <w:pPr>
        <w:pStyle w:val="Normal"/>
        <w:spacing w:lineRule="auto" w:line="240" w:before="0" w:after="0"/>
        <w:ind w:start="567"/>
        <w:jc w:val="center"/>
        <w:rPr>
          <w:rFonts w:ascii="Times New Roman" w:hAnsi="Times New Roman" w:eastAsia="Times New Roman" w:cs="Times New Roman"/>
          <w:b/>
          <w:color w:val="000000"/>
          <w:sz w:val="28"/>
          <w:szCs w:val="28"/>
          <w:lang w:val="uk-UA"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  <w:szCs w:val="28"/>
          <w:lang w:val="uk-UA" w:eastAsia="ru-RU"/>
        </w:rPr>
      </w:r>
    </w:p>
    <w:p>
      <w:pPr>
        <w:pStyle w:val="Normal"/>
        <w:spacing w:lineRule="auto" w:line="240" w:before="0" w:after="0"/>
        <w:ind w:start="567"/>
        <w:jc w:val="center"/>
        <w:rPr>
          <w:rFonts w:ascii="Times New Roman" w:hAnsi="Times New Roman" w:eastAsia="Times New Roman" w:cs="Times New Roman"/>
          <w:b/>
          <w:color w:val="000000"/>
          <w:sz w:val="28"/>
          <w:szCs w:val="28"/>
          <w:lang w:val="uk-UA"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  <w:szCs w:val="28"/>
          <w:lang w:val="uk-UA" w:eastAsia="ru-RU"/>
        </w:rPr>
      </w:r>
    </w:p>
    <w:p>
      <w:pPr>
        <w:pStyle w:val="Normal"/>
        <w:spacing w:lineRule="auto" w:line="240" w:before="0" w:after="0"/>
        <w:ind w:start="567"/>
        <w:jc w:val="center"/>
        <w:rPr>
          <w:rFonts w:ascii="Times New Roman" w:hAnsi="Times New Roman" w:eastAsia="Times New Roman" w:cs="Times New Roman"/>
          <w:b/>
          <w:color w:val="000000"/>
          <w:sz w:val="28"/>
          <w:szCs w:val="28"/>
          <w:lang w:val="uk-UA"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  <w:szCs w:val="28"/>
          <w:lang w:val="uk-UA" w:eastAsia="ru-RU"/>
        </w:rPr>
      </w:r>
    </w:p>
    <w:p>
      <w:pPr>
        <w:pStyle w:val="Normal"/>
        <w:spacing w:lineRule="auto" w:line="240" w:before="0" w:after="0"/>
        <w:ind w:start="567"/>
        <w:jc w:val="center"/>
        <w:rPr>
          <w:rFonts w:ascii="Times New Roman" w:hAnsi="Times New Roman" w:eastAsia="Times New Roman" w:cs="Times New Roman"/>
          <w:b/>
          <w:color w:val="000000"/>
          <w:sz w:val="28"/>
          <w:szCs w:val="28"/>
          <w:lang w:val="uk-UA"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  <w:szCs w:val="28"/>
          <w:lang w:val="uk-UA" w:eastAsia="ru-RU"/>
        </w:rPr>
      </w:r>
    </w:p>
    <w:p>
      <w:pPr>
        <w:pStyle w:val="Normal"/>
        <w:spacing w:lineRule="auto" w:line="240" w:before="0" w:after="0"/>
        <w:ind w:start="567"/>
        <w:jc w:val="center"/>
        <w:rPr>
          <w:rFonts w:ascii="Times New Roman" w:hAnsi="Times New Roman" w:eastAsia="Times New Roman" w:cs="Times New Roman"/>
          <w:b/>
          <w:color w:val="000000"/>
          <w:sz w:val="28"/>
          <w:szCs w:val="28"/>
          <w:lang w:val="uk-UA"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  <w:szCs w:val="28"/>
          <w:lang w:val="uk-UA" w:eastAsia="ru-RU"/>
        </w:rPr>
      </w:r>
    </w:p>
    <w:p>
      <w:pPr>
        <w:pStyle w:val="Normal"/>
        <w:spacing w:lineRule="auto" w:line="240" w:before="0" w:after="0"/>
        <w:ind w:start="567"/>
        <w:jc w:val="center"/>
        <w:rPr>
          <w:rFonts w:ascii="Times New Roman" w:hAnsi="Times New Roman" w:eastAsia="Times New Roman" w:cs="Times New Roman"/>
          <w:b/>
          <w:color w:val="000000"/>
          <w:sz w:val="28"/>
          <w:szCs w:val="28"/>
          <w:lang w:val="uk-UA"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  <w:szCs w:val="28"/>
          <w:lang w:val="uk-UA" w:eastAsia="ru-RU"/>
        </w:rPr>
      </w:r>
    </w:p>
    <w:p>
      <w:pPr>
        <w:pStyle w:val="Normal"/>
        <w:spacing w:lineRule="auto" w:line="240" w:before="0" w:after="0"/>
        <w:ind w:start="567"/>
        <w:jc w:val="center"/>
        <w:rPr>
          <w:rFonts w:ascii="Times New Roman" w:hAnsi="Times New Roman" w:eastAsia="Times New Roman" w:cs="Times New Roman"/>
          <w:b/>
          <w:color w:val="000000"/>
          <w:sz w:val="28"/>
          <w:szCs w:val="28"/>
          <w:lang w:val="uk-UA"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  <w:szCs w:val="28"/>
          <w:lang w:val="uk-UA" w:eastAsia="ru-RU"/>
        </w:rPr>
      </w:r>
    </w:p>
    <w:p>
      <w:pPr>
        <w:pStyle w:val="Normal"/>
        <w:spacing w:lineRule="auto" w:line="240" w:before="0" w:after="0"/>
        <w:ind w:start="567"/>
        <w:jc w:val="center"/>
        <w:rPr>
          <w:rFonts w:ascii="Times New Roman" w:hAnsi="Times New Roman" w:eastAsia="Times New Roman" w:cs="Times New Roman"/>
          <w:b/>
          <w:color w:val="000000"/>
          <w:sz w:val="28"/>
          <w:szCs w:val="28"/>
          <w:lang w:val="uk-UA"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  <w:szCs w:val="28"/>
          <w:lang w:val="uk-UA" w:eastAsia="ru-RU"/>
        </w:rPr>
      </w:r>
    </w:p>
    <w:p>
      <w:pPr>
        <w:pStyle w:val="Normal"/>
        <w:spacing w:lineRule="auto" w:line="240" w:before="0" w:after="0"/>
        <w:ind w:start="567"/>
        <w:jc w:val="center"/>
        <w:rPr>
          <w:rFonts w:ascii="Times New Roman" w:hAnsi="Times New Roman" w:eastAsia="Times New Roman" w:cs="Times New Roman"/>
          <w:b/>
          <w:color w:val="000000"/>
          <w:sz w:val="28"/>
          <w:szCs w:val="28"/>
          <w:lang w:val="uk-UA"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  <w:szCs w:val="28"/>
          <w:lang w:val="uk-UA" w:eastAsia="ru-RU"/>
        </w:rPr>
      </w:r>
    </w:p>
    <w:p>
      <w:pPr>
        <w:pStyle w:val="Normal"/>
        <w:spacing w:lineRule="auto" w:line="240" w:before="0" w:after="0"/>
        <w:ind w:start="567"/>
        <w:jc w:val="center"/>
        <w:rPr>
          <w:rFonts w:ascii="Times New Roman" w:hAnsi="Times New Roman" w:eastAsia="Times New Roman" w:cs="Times New Roman"/>
          <w:b/>
          <w:color w:val="000000"/>
          <w:sz w:val="28"/>
          <w:szCs w:val="28"/>
          <w:lang w:val="uk-UA"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  <w:szCs w:val="28"/>
          <w:lang w:val="uk-UA" w:eastAsia="ru-RU"/>
        </w:rPr>
      </w:r>
    </w:p>
    <w:p>
      <w:pPr>
        <w:pStyle w:val="Normal"/>
        <w:spacing w:lineRule="auto" w:line="240" w:before="0" w:after="0"/>
        <w:ind w:start="567"/>
        <w:jc w:val="center"/>
        <w:rPr>
          <w:rFonts w:ascii="Times New Roman" w:hAnsi="Times New Roman" w:eastAsia="Times New Roman" w:cs="Times New Roman"/>
          <w:b/>
          <w:color w:val="000000"/>
          <w:sz w:val="28"/>
          <w:szCs w:val="28"/>
          <w:lang w:val="uk-UA"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  <w:szCs w:val="28"/>
          <w:lang w:val="uk-UA" w:eastAsia="ru-RU"/>
        </w:rPr>
      </w:r>
    </w:p>
    <w:p>
      <w:pPr>
        <w:pStyle w:val="Normal"/>
        <w:spacing w:lineRule="auto" w:line="240" w:before="0" w:after="0"/>
        <w:ind w:start="567"/>
        <w:jc w:val="center"/>
        <w:rPr>
          <w:rFonts w:ascii="Times New Roman" w:hAnsi="Times New Roman" w:eastAsia="Times New Roman" w:cs="Times New Roman"/>
          <w:b/>
          <w:color w:val="000000"/>
          <w:sz w:val="28"/>
          <w:szCs w:val="28"/>
          <w:lang w:val="uk-UA"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  <w:szCs w:val="28"/>
          <w:lang w:val="uk-UA" w:eastAsia="ru-RU"/>
        </w:rPr>
      </w:r>
    </w:p>
    <w:p>
      <w:pPr>
        <w:pStyle w:val="Normal"/>
        <w:spacing w:lineRule="auto" w:line="240" w:before="0" w:after="0"/>
        <w:ind w:start="567"/>
        <w:jc w:val="center"/>
        <w:rPr>
          <w:rFonts w:ascii="Times New Roman" w:hAnsi="Times New Roman" w:eastAsia="Times New Roman" w:cs="Times New Roman"/>
          <w:b/>
          <w:color w:val="000000"/>
          <w:sz w:val="28"/>
          <w:szCs w:val="28"/>
          <w:lang w:val="uk-UA"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  <w:szCs w:val="28"/>
          <w:lang w:val="uk-UA" w:eastAsia="ru-RU"/>
        </w:rPr>
      </w:r>
    </w:p>
    <w:p>
      <w:pPr>
        <w:pStyle w:val="Normal"/>
        <w:spacing w:lineRule="auto" w:line="240" w:before="0" w:after="0"/>
        <w:ind w:start="567"/>
        <w:jc w:val="center"/>
        <w:rPr>
          <w:rFonts w:ascii="Times New Roman" w:hAnsi="Times New Roman" w:eastAsia="Times New Roman" w:cs="Times New Roman"/>
          <w:b/>
          <w:color w:val="000000"/>
          <w:sz w:val="28"/>
          <w:szCs w:val="28"/>
          <w:lang w:val="uk-UA"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  <w:szCs w:val="28"/>
          <w:lang w:val="uk-UA" w:eastAsia="ru-RU"/>
        </w:rPr>
      </w:r>
    </w:p>
    <w:p>
      <w:pPr>
        <w:pStyle w:val="Normal"/>
        <w:spacing w:lineRule="auto" w:line="240" w:before="0" w:after="0"/>
        <w:ind w:start="567"/>
        <w:jc w:val="center"/>
        <w:rPr>
          <w:rFonts w:ascii="Times New Roman" w:hAnsi="Times New Roman" w:eastAsia="Times New Roman" w:cs="Times New Roman"/>
          <w:b/>
          <w:color w:val="000000"/>
          <w:sz w:val="28"/>
          <w:szCs w:val="28"/>
          <w:lang w:val="uk-UA"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  <w:szCs w:val="28"/>
          <w:lang w:val="uk-UA" w:eastAsia="ru-RU"/>
        </w:rPr>
      </w:r>
    </w:p>
    <w:p>
      <w:pPr>
        <w:pStyle w:val="Normal"/>
        <w:spacing w:lineRule="auto" w:line="240" w:before="0" w:after="0"/>
        <w:ind w:start="567"/>
        <w:jc w:val="center"/>
        <w:rPr>
          <w:rFonts w:ascii="Times New Roman" w:hAnsi="Times New Roman" w:eastAsia="Times New Roman" w:cs="Times New Roman"/>
          <w:b/>
          <w:color w:val="000000"/>
          <w:sz w:val="28"/>
          <w:szCs w:val="28"/>
          <w:lang w:val="uk-UA"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  <w:szCs w:val="28"/>
          <w:lang w:val="uk-UA" w:eastAsia="ru-RU"/>
        </w:rPr>
      </w:r>
    </w:p>
    <w:p>
      <w:pPr>
        <w:pStyle w:val="Normal"/>
        <w:spacing w:lineRule="auto" w:line="240" w:before="0" w:after="0"/>
        <w:ind w:start="567"/>
        <w:jc w:val="center"/>
        <w:rPr>
          <w:rFonts w:ascii="Times New Roman" w:hAnsi="Times New Roman" w:eastAsia="Times New Roman" w:cs="Times New Roman"/>
          <w:b/>
          <w:color w:val="000000"/>
          <w:sz w:val="28"/>
          <w:szCs w:val="28"/>
          <w:lang w:val="uk-UA"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  <w:szCs w:val="28"/>
          <w:lang w:val="uk-UA" w:eastAsia="ru-RU"/>
        </w:rPr>
      </w:r>
    </w:p>
    <w:p>
      <w:pPr>
        <w:pStyle w:val="Normal"/>
        <w:spacing w:lineRule="auto" w:line="240" w:before="0" w:after="0"/>
        <w:ind w:start="567"/>
        <w:jc w:val="center"/>
        <w:rPr>
          <w:rFonts w:ascii="Times New Roman" w:hAnsi="Times New Roman" w:eastAsia="Times New Roman" w:cs="Times New Roman"/>
          <w:b/>
          <w:color w:val="000000"/>
          <w:sz w:val="28"/>
          <w:szCs w:val="28"/>
          <w:lang w:val="uk-UA"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  <w:szCs w:val="28"/>
          <w:lang w:val="uk-UA" w:eastAsia="ru-RU"/>
        </w:rPr>
      </w:r>
    </w:p>
    <w:p>
      <w:pPr>
        <w:pStyle w:val="Normal"/>
        <w:spacing w:lineRule="auto" w:line="240" w:before="0" w:after="0"/>
        <w:ind w:start="567"/>
        <w:jc w:val="center"/>
        <w:rPr>
          <w:rFonts w:ascii="Times New Roman" w:hAnsi="Times New Roman" w:eastAsia="Times New Roman" w:cs="Times New Roman"/>
          <w:b/>
          <w:color w:val="000000"/>
          <w:sz w:val="28"/>
          <w:szCs w:val="28"/>
          <w:lang w:val="uk-UA" w:eastAsia="ru-RU"/>
        </w:rPr>
        <w:sectPr>
          <w:type w:val="nextPage"/>
          <w:pgSz w:w="11906" w:h="16838"/>
          <w:pgMar w:left="1701" w:right="567" w:gutter="0" w:header="0" w:top="1134" w:footer="0" w:bottom="1134"/>
          <w:pgNumType w:fmt="decimal"/>
          <w:formProt w:val="false"/>
          <w:textDirection w:val="lrTb"/>
          <w:docGrid w:type="default" w:linePitch="360" w:charSpace="0"/>
        </w:sectPr>
      </w:pPr>
      <w:r>
        <w:rPr>
          <w:rFonts w:eastAsia="Times New Roman" w:cs="Times New Roman" w:ascii="Times New Roman" w:hAnsi="Times New Roman"/>
          <w:b/>
          <w:color w:val="000000"/>
          <w:sz w:val="28"/>
          <w:szCs w:val="28"/>
          <w:lang w:val="uk-UA" w:eastAsia="ru-RU"/>
        </w:rPr>
      </w:r>
    </w:p>
    <w:p>
      <w:pPr>
        <w:pStyle w:val="Normal"/>
        <w:spacing w:lineRule="auto" w:line="240" w:before="0" w:after="0"/>
        <w:ind w:start="567"/>
        <w:jc w:val="center"/>
        <w:rPr>
          <w:rFonts w:ascii="Times New Roman" w:hAnsi="Times New Roman" w:eastAsia="Times New Roman" w:cs="Times New Roman"/>
          <w:b/>
          <w:color w:val="000000"/>
          <w:sz w:val="28"/>
          <w:szCs w:val="28"/>
          <w:lang w:val="uk-UA"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  <w:szCs w:val="28"/>
          <w:lang w:val="uk-UA" w:eastAsia="ru-RU"/>
        </w:rPr>
      </w:r>
    </w:p>
    <w:p>
      <w:pPr>
        <w:pStyle w:val="Normal"/>
        <w:spacing w:lineRule="auto" w:line="240" w:before="0" w:after="0"/>
        <w:ind w:start="567"/>
        <w:jc w:val="center"/>
        <w:rPr>
          <w:rFonts w:ascii="Times New Roman" w:hAnsi="Times New Roman" w:eastAsia="Times New Roman" w:cs="Times New Roman"/>
          <w:b/>
          <w:color w:val="000000"/>
          <w:sz w:val="28"/>
          <w:szCs w:val="28"/>
          <w:lang w:val="uk-UA"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  <w:szCs w:val="28"/>
          <w:lang w:val="uk-UA" w:eastAsia="ru-RU"/>
        </w:rPr>
      </w:r>
    </w:p>
    <w:p>
      <w:pPr>
        <w:pStyle w:val="Normal"/>
        <w:shd w:val="clear" w:color="auto" w:fill="FFFFFF"/>
        <w:spacing w:lineRule="auto" w:line="240" w:before="0" w:after="0"/>
        <w:jc w:val="end"/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333333"/>
          <w:sz w:val="24"/>
          <w:szCs w:val="24"/>
          <w:lang w:val="uk-UA"/>
        </w:rPr>
        <w:t>Додаток 1</w:t>
      </w:r>
    </w:p>
    <w:p>
      <w:pPr>
        <w:pStyle w:val="Normal"/>
        <w:shd w:val="clear" w:color="auto" w:fill="FFFFFF"/>
        <w:spacing w:lineRule="auto" w:line="240" w:before="0" w:after="0"/>
        <w:jc w:val="end"/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333333"/>
          <w:sz w:val="24"/>
          <w:szCs w:val="24"/>
          <w:lang w:val="uk-UA"/>
        </w:rPr>
        <w:t xml:space="preserve">до Програми </w:t>
      </w:r>
    </w:p>
    <w:p>
      <w:pPr>
        <w:pStyle w:val="Normal"/>
        <w:shd w:val="clear" w:color="auto" w:fill="FFFFFF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333333"/>
          <w:sz w:val="24"/>
          <w:szCs w:val="24"/>
          <w:lang w:val="uk-UA"/>
        </w:rPr>
      </w:r>
    </w:p>
    <w:p>
      <w:pPr>
        <w:pStyle w:val="Normal"/>
        <w:shd w:val="clear" w:color="auto" w:fill="FFFFFF"/>
        <w:spacing w:lineRule="auto" w:line="240" w:before="0" w:after="0"/>
        <w:jc w:val="center"/>
        <w:rPr>
          <w:rFonts w:ascii="Times New Roman" w:hAnsi="Times New Roman" w:eastAsia="Times New Roman" w:cs="Times New Roman"/>
          <w:color w:val="333333"/>
          <w:sz w:val="21"/>
          <w:szCs w:val="21"/>
          <w:lang w:val="ru-RU"/>
        </w:rPr>
      </w:pPr>
      <w:r>
        <w:rPr>
          <w:rFonts w:eastAsia="Times New Roman" w:cs="Times New Roman" w:ascii="Times New Roman" w:hAnsi="Times New Roman"/>
          <w:b/>
          <w:bCs/>
          <w:color w:val="333333"/>
          <w:sz w:val="24"/>
          <w:szCs w:val="24"/>
          <w:lang w:val="uk-UA"/>
        </w:rPr>
        <w:t>НАПРЯМИ ДІЯЛЬНОСТІ ТА ЗАХОДИ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val="uk-UA"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val="uk-UA" w:eastAsia="ru-RU"/>
        </w:rPr>
        <w:t>Програми забезпечення житлом деяких категорій осіб, які захищали незалежність, суверенітет та територіальну цілісність України, учасників бойових дій на території інших держав, а також членів їх сімей, які мешкають на території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val="uk-UA"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val="uk-UA" w:eastAsia="ru-RU"/>
        </w:rPr>
        <w:t>Роздільнянської міської територіальної громади на 2025- 2029  роки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val="uk-UA"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val="uk-UA" w:eastAsia="ru-RU"/>
        </w:rPr>
      </w:r>
    </w:p>
    <w:p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cs="Times New Roman" w:ascii="Times New Roman" w:hAnsi="Times New Roman"/>
          <w:b/>
          <w:sz w:val="24"/>
          <w:szCs w:val="24"/>
          <w:lang w:val="uk-UA" w:eastAsia="ru-RU"/>
        </w:rPr>
      </w:r>
    </w:p>
    <w:tbl>
      <w:tblPr>
        <w:tblpPr w:vertAnchor="text" w:horzAnchor="text" w:leftFromText="180" w:rightFromText="180" w:tblpX="0" w:tblpY="1"/>
        <w:tblOverlap w:val="never"/>
        <w:tblW w:w="14554" w:type="dxa"/>
        <w:jc w:val="start"/>
        <w:tblInd w:w="-7" w:type="dxa"/>
        <w:tblLayout w:type="fixed"/>
        <w:tblCellMar>
          <w:top w:w="0" w:type="dxa"/>
          <w:start w:w="105" w:type="dxa"/>
          <w:bottom w:w="0" w:type="dxa"/>
          <w:end w:w="105" w:type="dxa"/>
        </w:tblCellMar>
        <w:tblLook w:val="04a0" w:firstRow="1" w:noVBand="1" w:lastRow="0" w:firstColumn="1" w:lastColumn="0" w:noHBand="0"/>
      </w:tblPr>
      <w:tblGrid>
        <w:gridCol w:w="289"/>
        <w:gridCol w:w="1077"/>
        <w:gridCol w:w="1898"/>
        <w:gridCol w:w="1007"/>
        <w:gridCol w:w="1348"/>
        <w:gridCol w:w="1331"/>
        <w:gridCol w:w="970"/>
        <w:gridCol w:w="930"/>
        <w:gridCol w:w="930"/>
        <w:gridCol w:w="733"/>
        <w:gridCol w:w="533"/>
        <w:gridCol w:w="333"/>
        <w:gridCol w:w="334"/>
        <w:gridCol w:w="333"/>
        <w:gridCol w:w="333"/>
        <w:gridCol w:w="332"/>
        <w:gridCol w:w="653"/>
        <w:gridCol w:w="1190"/>
      </w:tblGrid>
      <w:tr>
        <w:trPr>
          <w:trHeight w:val="465" w:hRule="atLeast"/>
        </w:trPr>
        <w:tc>
          <w:tcPr>
            <w:tcW w:w="289" w:type="dxa"/>
            <w:vMerge w:val="restart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sz w:val="16"/>
                <w:szCs w:val="16"/>
                <w:lang w:val="uk-UA"/>
              </w:rPr>
              <w:t>-</w:t>
            </w:r>
          </w:p>
        </w:tc>
        <w:tc>
          <w:tcPr>
            <w:tcW w:w="1077" w:type="dxa"/>
            <w:vMerge w:val="restart"/>
            <w:tcBorders>
              <w:top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sz w:val="16"/>
                <w:szCs w:val="16"/>
                <w:lang w:val="uk-UA"/>
              </w:rPr>
            </w:r>
          </w:p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sz w:val="16"/>
                <w:szCs w:val="16"/>
                <w:lang w:val="uk-UA"/>
              </w:rPr>
              <w:t>Завдання</w:t>
            </w:r>
          </w:p>
        </w:tc>
        <w:tc>
          <w:tcPr>
            <w:tcW w:w="1898" w:type="dxa"/>
            <w:vMerge w:val="restart"/>
            <w:tcBorders>
              <w:top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sz w:val="16"/>
                <w:szCs w:val="16"/>
                <w:lang w:val="uk-UA"/>
              </w:rPr>
            </w:r>
          </w:p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sz w:val="16"/>
                <w:szCs w:val="16"/>
                <w:lang w:val="uk-UA"/>
              </w:rPr>
              <w:t>Зміст заходів</w:t>
            </w:r>
          </w:p>
        </w:tc>
        <w:tc>
          <w:tcPr>
            <w:tcW w:w="1007" w:type="dxa"/>
            <w:vMerge w:val="restart"/>
            <w:tcBorders>
              <w:top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sz w:val="16"/>
                <w:szCs w:val="16"/>
                <w:lang w:val="uk-UA"/>
              </w:rPr>
            </w:pPr>
            <w:r>
              <w:rPr>
                <w:rFonts w:eastAsia="Calibri" w:cs="Times New Roman" w:ascii="Times New Roman" w:hAnsi="Times New Roman"/>
                <w:b/>
                <w:sz w:val="16"/>
                <w:szCs w:val="16"/>
                <w:lang w:val="uk-UA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sz w:val="16"/>
                <w:szCs w:val="16"/>
                <w:lang w:val="uk-UA"/>
              </w:rPr>
            </w:pPr>
            <w:r>
              <w:rPr>
                <w:rFonts w:eastAsia="Calibri" w:cs="Times New Roman" w:ascii="Times New Roman" w:hAnsi="Times New Roman"/>
                <w:b/>
                <w:sz w:val="16"/>
                <w:szCs w:val="16"/>
                <w:lang w:val="uk-UA"/>
              </w:rPr>
              <w:t>Термін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sz w:val="16"/>
                <w:szCs w:val="16"/>
                <w:lang w:val="uk-UA"/>
              </w:rPr>
            </w:pPr>
            <w:r>
              <w:rPr>
                <w:rFonts w:eastAsia="Calibri" w:cs="Times New Roman" w:ascii="Times New Roman" w:hAnsi="Times New Roman"/>
                <w:b/>
                <w:sz w:val="16"/>
                <w:szCs w:val="16"/>
                <w:lang w:val="uk-UA"/>
              </w:rPr>
              <w:t>виконання</w:t>
            </w:r>
          </w:p>
        </w:tc>
        <w:tc>
          <w:tcPr>
            <w:tcW w:w="1348" w:type="dxa"/>
            <w:vMerge w:val="restart"/>
            <w:tcBorders>
              <w:top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sz w:val="16"/>
                <w:szCs w:val="16"/>
                <w:lang w:val="uk-UA"/>
              </w:rPr>
            </w:r>
          </w:p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sz w:val="16"/>
                <w:szCs w:val="16"/>
                <w:lang w:val="uk-UA"/>
              </w:rPr>
              <w:t>Виконавці</w:t>
            </w:r>
          </w:p>
        </w:tc>
        <w:tc>
          <w:tcPr>
            <w:tcW w:w="1331" w:type="dxa"/>
            <w:vMerge w:val="restart"/>
            <w:tcBorders>
              <w:top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sz w:val="16"/>
                <w:szCs w:val="16"/>
                <w:lang w:val="uk-UA"/>
              </w:rPr>
            </w:r>
          </w:p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sz w:val="16"/>
                <w:szCs w:val="16"/>
                <w:lang w:val="uk-UA"/>
              </w:rPr>
              <w:t>Джерела фінансування</w:t>
            </w:r>
          </w:p>
        </w:tc>
        <w:tc>
          <w:tcPr>
            <w:tcW w:w="5761" w:type="dxa"/>
            <w:gridSpan w:val="10"/>
            <w:tcBorders>
              <w:top w:val="single" w:sz="6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sz w:val="16"/>
                <w:szCs w:val="16"/>
                <w:lang w:val="uk-UA"/>
              </w:rPr>
              <w:t>Обсяги фінансування по роках, тис. гривень</w:t>
            </w:r>
          </w:p>
        </w:tc>
        <w:tc>
          <w:tcPr>
            <w:tcW w:w="653" w:type="dxa"/>
            <w:vMerge w:val="restart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tcMar>
              <w:start w:w="7" w:type="dxa"/>
              <w:end w:w="7" w:type="dxa"/>
            </w:tcMar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b/>
                <w:sz w:val="16"/>
                <w:szCs w:val="16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sz w:val="16"/>
                <w:szCs w:val="16"/>
                <w:lang w:val="uk-UA"/>
              </w:rPr>
            </w:r>
          </w:p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b/>
                <w:sz w:val="16"/>
                <w:szCs w:val="16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sz w:val="16"/>
                <w:szCs w:val="16"/>
                <w:lang w:val="uk-UA"/>
              </w:rPr>
              <w:t>Всього</w:t>
            </w:r>
          </w:p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sz w:val="16"/>
                <w:szCs w:val="16"/>
                <w:lang w:val="uk-UA"/>
              </w:rPr>
            </w:r>
          </w:p>
        </w:tc>
        <w:tc>
          <w:tcPr>
            <w:tcW w:w="1190" w:type="dxa"/>
            <w:vMerge w:val="restart"/>
            <w:tcBorders>
              <w:top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sz w:val="16"/>
                <w:szCs w:val="16"/>
                <w:lang w:val="uk-UA"/>
              </w:rPr>
            </w:r>
          </w:p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sz w:val="16"/>
                <w:szCs w:val="16"/>
                <w:lang w:val="uk-UA"/>
              </w:rPr>
              <w:t>Очікуваний результат</w:t>
            </w:r>
          </w:p>
        </w:tc>
      </w:tr>
      <w:tr>
        <w:trPr>
          <w:trHeight w:val="225" w:hRule="atLeast"/>
        </w:trPr>
        <w:tc>
          <w:tcPr>
            <w:tcW w:w="289" w:type="dxa"/>
            <w:vMerge w:val="continue"/>
            <w:tcBorders>
              <w:start w:val="single" w:sz="6" w:space="0" w:color="000000"/>
              <w:end w:val="single" w:sz="6" w:space="0" w:color="000000"/>
            </w:tcBorders>
            <w:shd w:color="auto" w:fill="auto" w:val="clear"/>
            <w:tcMar>
              <w:start w:w="7" w:type="dxa"/>
              <w:end w:w="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1077" w:type="dxa"/>
            <w:vMerge w:val="continue"/>
            <w:tcBorders>
              <w:end w:val="single" w:sz="6" w:space="0" w:color="000000"/>
            </w:tcBorders>
            <w:shd w:color="auto" w:fill="auto" w:val="clear"/>
            <w:tcMar>
              <w:start w:w="7" w:type="dxa"/>
              <w:end w:w="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sz w:val="16"/>
                <w:szCs w:val="16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sz w:val="16"/>
                <w:szCs w:val="16"/>
                <w:lang w:val="uk-UA"/>
              </w:rPr>
            </w:r>
          </w:p>
        </w:tc>
        <w:tc>
          <w:tcPr>
            <w:tcW w:w="1898" w:type="dxa"/>
            <w:vMerge w:val="continue"/>
            <w:tcBorders>
              <w:end w:val="single" w:sz="6" w:space="0" w:color="000000"/>
            </w:tcBorders>
            <w:shd w:color="auto" w:fill="auto" w:val="clear"/>
            <w:tcMar>
              <w:start w:w="7" w:type="dxa"/>
              <w:end w:w="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sz w:val="16"/>
                <w:szCs w:val="16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sz w:val="16"/>
                <w:szCs w:val="16"/>
                <w:lang w:val="uk-UA"/>
              </w:rPr>
            </w:r>
          </w:p>
        </w:tc>
        <w:tc>
          <w:tcPr>
            <w:tcW w:w="1007" w:type="dxa"/>
            <w:vMerge w:val="continue"/>
            <w:tcBorders>
              <w:end w:val="single" w:sz="6" w:space="0" w:color="000000"/>
            </w:tcBorders>
            <w:shd w:color="auto" w:fill="auto" w:val="clear"/>
            <w:tcMar>
              <w:start w:w="7" w:type="dxa"/>
              <w:end w:w="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sz w:val="16"/>
                <w:szCs w:val="16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sz w:val="16"/>
                <w:szCs w:val="16"/>
                <w:lang w:val="uk-UA"/>
              </w:rPr>
            </w:r>
          </w:p>
        </w:tc>
        <w:tc>
          <w:tcPr>
            <w:tcW w:w="1348" w:type="dxa"/>
            <w:vMerge w:val="continue"/>
            <w:tcBorders>
              <w:end w:val="single" w:sz="6" w:space="0" w:color="000000"/>
            </w:tcBorders>
            <w:shd w:color="auto" w:fill="auto" w:val="clear"/>
            <w:tcMar>
              <w:start w:w="7" w:type="dxa"/>
              <w:end w:w="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sz w:val="16"/>
                <w:szCs w:val="16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sz w:val="16"/>
                <w:szCs w:val="16"/>
                <w:lang w:val="uk-UA"/>
              </w:rPr>
            </w:r>
          </w:p>
        </w:tc>
        <w:tc>
          <w:tcPr>
            <w:tcW w:w="1331" w:type="dxa"/>
            <w:vMerge w:val="continue"/>
            <w:tcBorders>
              <w:end w:val="single" w:sz="6" w:space="0" w:color="000000"/>
            </w:tcBorders>
            <w:shd w:color="auto" w:fill="auto" w:val="clear"/>
            <w:tcMar>
              <w:start w:w="7" w:type="dxa"/>
              <w:end w:w="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sz w:val="16"/>
                <w:szCs w:val="16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sz w:val="16"/>
                <w:szCs w:val="16"/>
                <w:lang w:val="uk-UA"/>
              </w:rPr>
            </w:r>
          </w:p>
        </w:tc>
        <w:tc>
          <w:tcPr>
            <w:tcW w:w="190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start w:w="7" w:type="dxa"/>
              <w:end w:w="7" w:type="dxa"/>
            </w:tcMar>
            <w:vAlign w:val="cente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sz w:val="16"/>
                <w:szCs w:val="16"/>
                <w:lang w:val="uk-UA"/>
              </w:rPr>
              <w:t>2025</w:t>
            </w:r>
          </w:p>
        </w:tc>
        <w:tc>
          <w:tcPr>
            <w:tcW w:w="1663" w:type="dxa"/>
            <w:gridSpan w:val="2"/>
            <w:tcBorders>
              <w:start w:val="single" w:sz="4" w:space="0" w:color="000000"/>
              <w:bottom w:val="single" w:sz="4" w:space="0" w:color="000000"/>
              <w:end w:val="single" w:sz="6" w:space="0" w:color="000000"/>
            </w:tcBorders>
            <w:shd w:color="auto" w:fill="auto" w:val="clear"/>
            <w:tcMar>
              <w:start w:w="7" w:type="dxa"/>
              <w:end w:w="7" w:type="dxa"/>
            </w:tcMar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sz w:val="16"/>
                <w:szCs w:val="16"/>
                <w:lang w:val="uk-UA"/>
              </w:rPr>
              <w:t>2026</w:t>
            </w:r>
          </w:p>
        </w:tc>
        <w:tc>
          <w:tcPr>
            <w:tcW w:w="866" w:type="dxa"/>
            <w:gridSpan w:val="2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sz w:val="16"/>
                <w:szCs w:val="16"/>
                <w:lang w:val="uk-UA"/>
              </w:rPr>
              <w:t>2027</w:t>
            </w:r>
          </w:p>
        </w:tc>
        <w:tc>
          <w:tcPr>
            <w:tcW w:w="667" w:type="dxa"/>
            <w:gridSpan w:val="2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start w:w="7" w:type="dxa"/>
              <w:end w:w="7" w:type="dxa"/>
            </w:tcMar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sz w:val="16"/>
                <w:szCs w:val="16"/>
                <w:lang w:val="uk-UA"/>
              </w:rPr>
              <w:t>2028</w:t>
            </w:r>
          </w:p>
        </w:tc>
        <w:tc>
          <w:tcPr>
            <w:tcW w:w="665" w:type="dxa"/>
            <w:gridSpan w:val="2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start w:w="7" w:type="dxa"/>
              <w:end w:w="7" w:type="dxa"/>
            </w:tcMar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sz w:val="16"/>
                <w:szCs w:val="16"/>
                <w:lang w:val="uk-UA"/>
              </w:rPr>
              <w:t>2029</w:t>
            </w:r>
          </w:p>
        </w:tc>
        <w:tc>
          <w:tcPr>
            <w:tcW w:w="653" w:type="dxa"/>
            <w:vMerge w:val="continue"/>
            <w:tcBorders>
              <w:start w:val="single" w:sz="4" w:space="0" w:color="000000"/>
              <w:end w:val="single" w:sz="6" w:space="0" w:color="000000"/>
            </w:tcBorders>
            <w:shd w:color="auto" w:fill="auto" w:val="clear"/>
            <w:tcMar>
              <w:start w:w="7" w:type="dxa"/>
              <w:end w:w="7" w:type="dxa"/>
            </w:tcMar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sz w:val="16"/>
                <w:szCs w:val="16"/>
                <w:lang w:val="uk-UA"/>
              </w:rPr>
            </w:r>
          </w:p>
        </w:tc>
        <w:tc>
          <w:tcPr>
            <w:tcW w:w="1190" w:type="dxa"/>
            <w:vMerge w:val="continue"/>
            <w:tcBorders>
              <w:end w:val="single" w:sz="6" w:space="0" w:color="000000"/>
            </w:tcBorders>
            <w:shd w:color="auto" w:fill="auto" w:val="clear"/>
            <w:tcMar>
              <w:start w:w="7" w:type="dxa"/>
              <w:end w:w="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16"/>
                <w:szCs w:val="16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/>
              </w:rPr>
            </w:r>
          </w:p>
        </w:tc>
      </w:tr>
      <w:tr>
        <w:trPr>
          <w:trHeight w:val="750" w:hRule="atLeast"/>
        </w:trPr>
        <w:tc>
          <w:tcPr>
            <w:tcW w:w="289" w:type="dxa"/>
            <w:vMerge w:val="continue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tcMar>
              <w:start w:w="7" w:type="dxa"/>
              <w:end w:w="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1077" w:type="dxa"/>
            <w:vMerge w:val="continue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  <w:tcMar>
              <w:start w:w="7" w:type="dxa"/>
              <w:end w:w="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sz w:val="16"/>
                <w:szCs w:val="16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sz w:val="16"/>
                <w:szCs w:val="16"/>
                <w:lang w:val="uk-UA"/>
              </w:rPr>
            </w:r>
          </w:p>
        </w:tc>
        <w:tc>
          <w:tcPr>
            <w:tcW w:w="1898" w:type="dxa"/>
            <w:vMerge w:val="continue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  <w:tcMar>
              <w:start w:w="7" w:type="dxa"/>
              <w:end w:w="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sz w:val="16"/>
                <w:szCs w:val="16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sz w:val="16"/>
                <w:szCs w:val="16"/>
                <w:lang w:val="uk-UA"/>
              </w:rPr>
            </w:r>
          </w:p>
        </w:tc>
        <w:tc>
          <w:tcPr>
            <w:tcW w:w="1007" w:type="dxa"/>
            <w:vMerge w:val="continue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  <w:tcMar>
              <w:start w:w="7" w:type="dxa"/>
              <w:end w:w="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sz w:val="16"/>
                <w:szCs w:val="16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sz w:val="16"/>
                <w:szCs w:val="16"/>
                <w:lang w:val="uk-UA"/>
              </w:rPr>
            </w:r>
          </w:p>
        </w:tc>
        <w:tc>
          <w:tcPr>
            <w:tcW w:w="1348" w:type="dxa"/>
            <w:vMerge w:val="continue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  <w:tcMar>
              <w:start w:w="7" w:type="dxa"/>
              <w:end w:w="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sz w:val="16"/>
                <w:szCs w:val="16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sz w:val="16"/>
                <w:szCs w:val="16"/>
                <w:lang w:val="uk-UA"/>
              </w:rPr>
            </w:r>
          </w:p>
        </w:tc>
        <w:tc>
          <w:tcPr>
            <w:tcW w:w="1331" w:type="dxa"/>
            <w:vMerge w:val="continue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  <w:tcMar>
              <w:start w:w="7" w:type="dxa"/>
              <w:end w:w="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sz w:val="16"/>
                <w:szCs w:val="16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sz w:val="16"/>
                <w:szCs w:val="16"/>
                <w:lang w:val="uk-UA"/>
              </w:rPr>
            </w:r>
          </w:p>
        </w:tc>
        <w:tc>
          <w:tcPr>
            <w:tcW w:w="970" w:type="dxa"/>
            <w:tcBorders>
              <w:top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tcMar>
              <w:start w:w="7" w:type="dxa"/>
              <w:end w:w="7" w:type="dxa"/>
            </w:tcMar>
          </w:tcPr>
          <w:p>
            <w:pPr>
              <w:pStyle w:val="Normal"/>
              <w:spacing w:before="0" w:after="160"/>
              <w:rPr>
                <w:rFonts w:ascii="Times New Roman" w:hAnsi="Times New Roman" w:eastAsia="Calibri" w:cs="Times New Roman"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930" w:type="dxa"/>
            <w:tcBorders>
              <w:top w:val="single" w:sz="4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160"/>
              <w:rPr>
                <w:rFonts w:ascii="Times New Roman" w:hAnsi="Times New Roman" w:eastAsia="Calibri" w:cs="Times New Roman"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sz w:val="16"/>
                <w:szCs w:val="16"/>
              </w:rPr>
              <w:t>факт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160"/>
              <w:rPr>
                <w:rFonts w:ascii="Times New Roman" w:hAnsi="Times New Roman" w:eastAsia="Calibri" w:cs="Times New Roman"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733" w:type="dxa"/>
            <w:tcBorders>
              <w:top w:val="single" w:sz="4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tcMar>
              <w:start w:w="7" w:type="dxa"/>
              <w:end w:w="7" w:type="dxa"/>
            </w:tcMar>
          </w:tcPr>
          <w:p>
            <w:pPr>
              <w:pStyle w:val="Normal"/>
              <w:spacing w:before="0" w:after="160"/>
              <w:ind w:start="-29"/>
              <w:rPr>
                <w:rFonts w:ascii="Times New Roman" w:hAnsi="Times New Roman" w:eastAsia="Calibri" w:cs="Times New Roman"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sz w:val="16"/>
                <w:szCs w:val="16"/>
              </w:rPr>
              <w:t>факт</w:t>
            </w:r>
          </w:p>
        </w:tc>
        <w:tc>
          <w:tcPr>
            <w:tcW w:w="533" w:type="dxa"/>
            <w:tcBorders>
              <w:top w:val="single" w:sz="4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160"/>
              <w:rPr>
                <w:rFonts w:ascii="Times New Roman" w:hAnsi="Times New Roman" w:eastAsia="Calibri" w:cs="Times New Roman"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333" w:type="dxa"/>
            <w:tcBorders>
              <w:top w:val="single" w:sz="4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tcMar>
              <w:start w:w="7" w:type="dxa"/>
              <w:end w:w="7" w:type="dxa"/>
            </w:tcMar>
          </w:tcPr>
          <w:p>
            <w:pPr>
              <w:pStyle w:val="Normal"/>
              <w:spacing w:before="0" w:after="160"/>
              <w:rPr>
                <w:rFonts w:ascii="Times New Roman" w:hAnsi="Times New Roman" w:eastAsia="Calibri" w:cs="Times New Roman"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sz w:val="16"/>
                <w:szCs w:val="16"/>
              </w:rPr>
              <w:t>факт</w:t>
            </w:r>
          </w:p>
        </w:tc>
        <w:tc>
          <w:tcPr>
            <w:tcW w:w="334" w:type="dxa"/>
            <w:tcBorders>
              <w:top w:val="single" w:sz="4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tcMar>
              <w:start w:w="7" w:type="dxa"/>
              <w:end w:w="7" w:type="dxa"/>
            </w:tcMar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333" w:type="dxa"/>
            <w:tcBorders>
              <w:top w:val="single" w:sz="4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tcMar>
              <w:start w:w="7" w:type="dxa"/>
              <w:end w:w="7" w:type="dxa"/>
            </w:tcMar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факт</w:t>
            </w:r>
          </w:p>
        </w:tc>
        <w:tc>
          <w:tcPr>
            <w:tcW w:w="333" w:type="dxa"/>
            <w:tcBorders>
              <w:top w:val="single" w:sz="4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tcMar>
              <w:start w:w="7" w:type="dxa"/>
              <w:end w:w="7" w:type="dxa"/>
            </w:tcMar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332" w:type="dxa"/>
            <w:tcBorders>
              <w:top w:val="single" w:sz="4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tcMar>
              <w:start w:w="7" w:type="dxa"/>
              <w:end w:w="7" w:type="dxa"/>
            </w:tcMar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факт</w:t>
            </w:r>
          </w:p>
        </w:tc>
        <w:tc>
          <w:tcPr>
            <w:tcW w:w="653" w:type="dxa"/>
            <w:vMerge w:val="continue"/>
            <w:tcBorders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tcMar>
              <w:start w:w="7" w:type="dxa"/>
              <w:end w:w="7" w:type="dxa"/>
            </w:tcMar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sz w:val="16"/>
                <w:szCs w:val="16"/>
                <w:lang w:val="uk-UA"/>
              </w:rPr>
            </w:r>
          </w:p>
        </w:tc>
        <w:tc>
          <w:tcPr>
            <w:tcW w:w="1190" w:type="dxa"/>
            <w:vMerge w:val="continue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  <w:tcMar>
              <w:start w:w="7" w:type="dxa"/>
              <w:end w:w="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16"/>
                <w:szCs w:val="16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/>
              </w:rPr>
            </w:r>
          </w:p>
        </w:tc>
      </w:tr>
      <w:tr>
        <w:trPr>
          <w:trHeight w:val="540" w:hRule="atLeast"/>
        </w:trPr>
        <w:tc>
          <w:tcPr>
            <w:tcW w:w="14554" w:type="dxa"/>
            <w:gridSpan w:val="18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tcMar>
              <w:start w:w="7" w:type="dxa"/>
              <w:end w:w="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sz w:val="16"/>
                <w:szCs w:val="16"/>
                <w:lang w:val="uk-UA"/>
              </w:rPr>
              <w:t>1.Соціальна підтримка ветеранів війни, Захисників та Захисниць України,  сімей загиблих (померлих) ветеранів війни.</w:t>
            </w:r>
          </w:p>
        </w:tc>
      </w:tr>
      <w:tr>
        <w:trPr>
          <w:trHeight w:val="3315" w:hRule="atLeast"/>
        </w:trPr>
        <w:tc>
          <w:tcPr>
            <w:tcW w:w="289" w:type="dxa"/>
            <w:vMerge w:val="restart"/>
            <w:tcBorders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077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16"/>
                <w:szCs w:val="16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/>
              </w:rPr>
              <w:t>Сприяння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16"/>
                <w:szCs w:val="16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/>
              </w:rPr>
              <w:t>розв’язанню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16"/>
                <w:szCs w:val="16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/>
              </w:rPr>
              <w:t>житлових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16"/>
                <w:szCs w:val="16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/>
              </w:rPr>
              <w:t>проблем окремих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16"/>
                <w:szCs w:val="16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/>
              </w:rPr>
              <w:t>пільгових категорій громадян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16"/>
                <w:szCs w:val="16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/>
              </w:rPr>
            </w:r>
          </w:p>
        </w:tc>
        <w:tc>
          <w:tcPr>
            <w:tcW w:w="18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9720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val="uk-UA" w:eastAsia="ru-RU"/>
              </w:rPr>
              <w:t>1.1 Проведення інформаційних компаній щодо прав та можливостей заявників, відповідно до законодавчих актів ( виготовлення брошур, буклетів, проведення круглих столів)</w:t>
            </w:r>
          </w:p>
          <w:p>
            <w:pPr>
              <w:pStyle w:val="Normal"/>
              <w:tabs>
                <w:tab w:val="clear" w:pos="708"/>
                <w:tab w:val="left" w:pos="9720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val="uk-UA" w:eastAsia="ru-RU"/>
              </w:rPr>
            </w:r>
          </w:p>
        </w:tc>
        <w:tc>
          <w:tcPr>
            <w:tcW w:w="1007" w:type="dxa"/>
            <w:tcBorders>
              <w:top w:val="single" w:sz="4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/>
              </w:rPr>
              <w:t>2025-2029 роки</w:t>
            </w:r>
          </w:p>
        </w:tc>
        <w:tc>
          <w:tcPr>
            <w:tcW w:w="1348" w:type="dxa"/>
            <w:tcBorders>
              <w:top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/>
              </w:rPr>
              <w:t>Відділ соціальної політики Роздільнянської міської ради</w:t>
            </w:r>
          </w:p>
        </w:tc>
        <w:tc>
          <w:tcPr>
            <w:tcW w:w="1331" w:type="dxa"/>
            <w:tcBorders>
              <w:top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/>
              </w:rPr>
              <w:t>Бюджет Роздільнянської міської ради</w:t>
            </w:r>
          </w:p>
        </w:tc>
        <w:tc>
          <w:tcPr>
            <w:tcW w:w="970" w:type="dxa"/>
            <w:tcBorders>
              <w:top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6"/>
                <w:szCs w:val="16"/>
                <w:lang w:val="uk-UA"/>
              </w:rPr>
              <w:t>-</w:t>
            </w:r>
          </w:p>
        </w:tc>
        <w:tc>
          <w:tcPr>
            <w:tcW w:w="930" w:type="dxa"/>
            <w:tcBorders>
              <w:top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/>
              </w:rPr>
              <w:t>-</w:t>
            </w:r>
          </w:p>
        </w:tc>
        <w:tc>
          <w:tcPr>
            <w:tcW w:w="930" w:type="dxa"/>
            <w:tcBorders>
              <w:top w:val="single" w:sz="4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/>
              </w:rPr>
              <w:t>5,00</w:t>
            </w:r>
          </w:p>
        </w:tc>
        <w:tc>
          <w:tcPr>
            <w:tcW w:w="733" w:type="dxa"/>
            <w:tcBorders>
              <w:top w:val="single" w:sz="4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tcMar>
              <w:start w:w="7" w:type="dxa"/>
              <w:end w:w="7" w:type="dxa"/>
            </w:tcMar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16"/>
                <w:szCs w:val="16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/>
              </w:rPr>
              <w:t>-</w:t>
            </w:r>
          </w:p>
        </w:tc>
        <w:tc>
          <w:tcPr>
            <w:tcW w:w="533" w:type="dxa"/>
            <w:tcBorders>
              <w:top w:val="single" w:sz="4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/>
              </w:rPr>
              <w:t>5,00</w:t>
            </w:r>
          </w:p>
        </w:tc>
        <w:tc>
          <w:tcPr>
            <w:tcW w:w="333" w:type="dxa"/>
            <w:tcBorders>
              <w:top w:val="single" w:sz="4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tcMar>
              <w:start w:w="7" w:type="dxa"/>
              <w:end w:w="7" w:type="dxa"/>
            </w:tcMar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/>
              </w:rPr>
              <w:t>-</w:t>
            </w:r>
          </w:p>
        </w:tc>
        <w:tc>
          <w:tcPr>
            <w:tcW w:w="334" w:type="dxa"/>
            <w:tcBorders>
              <w:top w:val="single" w:sz="4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tcMar>
              <w:start w:w="7" w:type="dxa"/>
              <w:end w:w="7" w:type="dxa"/>
            </w:tcMar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/>
              </w:rPr>
              <w:t>-</w:t>
            </w:r>
          </w:p>
        </w:tc>
        <w:tc>
          <w:tcPr>
            <w:tcW w:w="333" w:type="dxa"/>
            <w:tcBorders>
              <w:top w:val="single" w:sz="4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tcMar>
              <w:start w:w="7" w:type="dxa"/>
              <w:end w:w="7" w:type="dxa"/>
            </w:tcMar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/>
              </w:rPr>
              <w:t>-</w:t>
            </w:r>
          </w:p>
        </w:tc>
        <w:tc>
          <w:tcPr>
            <w:tcW w:w="333" w:type="dxa"/>
            <w:tcBorders>
              <w:top w:val="single" w:sz="4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tcMar>
              <w:start w:w="7" w:type="dxa"/>
              <w:end w:w="7" w:type="dxa"/>
            </w:tcMar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/>
              </w:rPr>
              <w:t>-</w:t>
            </w:r>
          </w:p>
        </w:tc>
        <w:tc>
          <w:tcPr>
            <w:tcW w:w="332" w:type="dxa"/>
            <w:tcBorders>
              <w:top w:val="single" w:sz="4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tcMar>
              <w:start w:w="7" w:type="dxa"/>
              <w:end w:w="7" w:type="dxa"/>
            </w:tcMar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/>
              </w:rPr>
              <w:t>-</w:t>
            </w:r>
          </w:p>
        </w:tc>
        <w:tc>
          <w:tcPr>
            <w:tcW w:w="653" w:type="dxa"/>
            <w:tcBorders>
              <w:top w:val="single" w:sz="4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tcMar>
              <w:start w:w="7" w:type="dxa"/>
              <w:end w:w="7" w:type="dxa"/>
            </w:tcMar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/>
              </w:rPr>
              <w:t>10,00</w:t>
            </w:r>
          </w:p>
        </w:tc>
        <w:tc>
          <w:tcPr>
            <w:tcW w:w="1190" w:type="dxa"/>
            <w:tcBorders>
              <w:top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val="uk-UA"/>
              </w:rPr>
              <w:t>підвищення рівня обізнаності ветеранів війни, Захисників та Захисниць України, членів сімей загиблих (померлих) ветеранів війни</w:t>
            </w:r>
          </w:p>
        </w:tc>
      </w:tr>
      <w:tr>
        <w:trPr>
          <w:trHeight w:val="1365" w:hRule="atLeast"/>
        </w:trPr>
        <w:tc>
          <w:tcPr>
            <w:tcW w:w="289" w:type="dxa"/>
            <w:vMerge w:val="continue"/>
            <w:tcBorders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/>
              </w:rPr>
            </w:r>
          </w:p>
        </w:tc>
        <w:tc>
          <w:tcPr>
            <w:tcW w:w="1077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16"/>
                <w:szCs w:val="16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/>
              </w:rPr>
            </w:r>
          </w:p>
        </w:tc>
        <w:tc>
          <w:tcPr>
            <w:tcW w:w="18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val="uk-UA"/>
              </w:rPr>
              <w:t xml:space="preserve">1.2  Виплата грошової компенсації за належні для отримання жилі приміщення членам сімей осіб, визначених абзацами п’ятим – восьмим пункту 1 статті 10 Закону України “Про статус ветеранів війни, гарантії їх соціального захисту”, особам з інвалідністю </w:t>
            </w:r>
            <w:r>
              <w:rPr>
                <w:rFonts w:cs="Times New Roman" w:ascii="Times New Roman" w:hAnsi="Times New Roman"/>
                <w:sz w:val="16"/>
                <w:szCs w:val="16"/>
              </w:rPr>
              <w:t>I</w:t>
            </w:r>
            <w:r>
              <w:rPr>
                <w:rFonts w:cs="Times New Roman" w:ascii="Times New Roman" w:hAnsi="Times New Roman"/>
                <w:sz w:val="16"/>
                <w:szCs w:val="16"/>
                <w:lang w:val="uk-UA"/>
              </w:rPr>
              <w:t>-</w:t>
            </w:r>
            <w:r>
              <w:rPr>
                <w:rFonts w:cs="Times New Roman" w:ascii="Times New Roman" w:hAnsi="Times New Roman"/>
                <w:sz w:val="16"/>
                <w:szCs w:val="16"/>
              </w:rPr>
              <w:t>II</w:t>
            </w:r>
            <w:r>
              <w:rPr>
                <w:rFonts w:cs="Times New Roman" w:ascii="Times New Roman" w:hAnsi="Times New Roman"/>
                <w:sz w:val="16"/>
                <w:szCs w:val="16"/>
                <w:lang w:val="uk-UA"/>
              </w:rPr>
              <w:t xml:space="preserve"> групи, яка настала внаслідок поранення, контузії, каліцтва або захворювання, одержаних під час безпосередньої участі в антитерористичній операції, забезпеченні її проведення чи здійсненні заходів із забезпечення національної безпеки і оборони, відсічі і стримування збройної агресії Російської Федерації у Донецькій та Луганській областях, забезпеченні їх здійснення, визначених пунктами 11-14 частини другої статті 7 Закону України “Про статус ветеранів війни, гарантії їх соціального захисту”, та які потребують поліпшення житлових умов і перебувають на квартирному обліку.</w:t>
            </w:r>
          </w:p>
        </w:tc>
        <w:tc>
          <w:tcPr>
            <w:tcW w:w="1007" w:type="dxa"/>
            <w:tcBorders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2025-2029 роки</w:t>
            </w:r>
          </w:p>
        </w:tc>
        <w:tc>
          <w:tcPr>
            <w:tcW w:w="1348" w:type="dxa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Відділ соціальної політики Роздільнянської міської ради</w:t>
            </w:r>
          </w:p>
        </w:tc>
        <w:tc>
          <w:tcPr>
            <w:tcW w:w="1331" w:type="dxa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Державний бюджет</w:t>
            </w:r>
          </w:p>
        </w:tc>
        <w:tc>
          <w:tcPr>
            <w:tcW w:w="970" w:type="dxa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val="uk-UA"/>
              </w:rPr>
              <w:t>13 000, 907</w:t>
            </w:r>
          </w:p>
        </w:tc>
        <w:tc>
          <w:tcPr>
            <w:tcW w:w="930" w:type="dxa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13 000</w:t>
            </w:r>
            <w:r>
              <w:rPr>
                <w:rFonts w:cs="Times New Roman" w:ascii="Times New Roman" w:hAnsi="Times New Roman"/>
                <w:sz w:val="16"/>
                <w:szCs w:val="16"/>
                <w:lang w:val="uk-UA"/>
              </w:rPr>
              <w:t>,</w:t>
            </w:r>
            <w:r>
              <w:rPr>
                <w:rFonts w:cs="Times New Roman" w:ascii="Times New Roman" w:hAnsi="Times New Roman"/>
                <w:sz w:val="16"/>
                <w:szCs w:val="16"/>
              </w:rPr>
              <w:t>907</w:t>
            </w:r>
          </w:p>
        </w:tc>
        <w:tc>
          <w:tcPr>
            <w:tcW w:w="930" w:type="dxa"/>
            <w:tcBorders>
              <w:bottom w:val="single" w:sz="6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val="uk-UA"/>
              </w:rPr>
              <w:t>12543,693</w:t>
            </w:r>
          </w:p>
        </w:tc>
        <w:tc>
          <w:tcPr>
            <w:tcW w:w="733" w:type="dxa"/>
            <w:tcBorders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tcMar>
              <w:start w:w="7" w:type="dxa"/>
              <w:end w:w="7" w:type="dxa"/>
            </w:tcMar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val="uk-UA"/>
              </w:rPr>
              <w:t>12543,693</w:t>
            </w:r>
          </w:p>
        </w:tc>
        <w:tc>
          <w:tcPr>
            <w:tcW w:w="533" w:type="dxa"/>
            <w:tcBorders>
              <w:bottom w:val="single" w:sz="6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333" w:type="dxa"/>
            <w:tcBorders>
              <w:bottom w:val="single" w:sz="6" w:space="0" w:color="000000"/>
              <w:end w:val="single" w:sz="4" w:space="0" w:color="000000"/>
            </w:tcBorders>
            <w:shd w:color="auto" w:fill="auto" w:val="clear"/>
            <w:tcMar>
              <w:start w:w="7" w:type="dxa"/>
              <w:end w:w="7" w:type="dxa"/>
            </w:tcMar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334" w:type="dxa"/>
            <w:tcBorders>
              <w:bottom w:val="single" w:sz="6" w:space="0" w:color="000000"/>
              <w:end w:val="single" w:sz="4" w:space="0" w:color="000000"/>
            </w:tcBorders>
            <w:shd w:color="auto" w:fill="auto" w:val="clear"/>
            <w:tcMar>
              <w:start w:w="7" w:type="dxa"/>
              <w:end w:w="7" w:type="dxa"/>
            </w:tcMar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val="uk-UA"/>
              </w:rPr>
              <w:t>-</w:t>
            </w:r>
          </w:p>
        </w:tc>
        <w:tc>
          <w:tcPr>
            <w:tcW w:w="333" w:type="dxa"/>
            <w:tcBorders>
              <w:bottom w:val="single" w:sz="6" w:space="0" w:color="000000"/>
              <w:end w:val="single" w:sz="4" w:space="0" w:color="000000"/>
            </w:tcBorders>
            <w:shd w:color="auto" w:fill="auto" w:val="clear"/>
            <w:tcMar>
              <w:start w:w="7" w:type="dxa"/>
              <w:end w:w="7" w:type="dxa"/>
            </w:tcMar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val="uk-UA"/>
              </w:rPr>
              <w:t>-</w:t>
            </w:r>
          </w:p>
        </w:tc>
        <w:tc>
          <w:tcPr>
            <w:tcW w:w="333" w:type="dxa"/>
            <w:tcBorders>
              <w:bottom w:val="single" w:sz="6" w:space="0" w:color="000000"/>
              <w:end w:val="single" w:sz="4" w:space="0" w:color="000000"/>
            </w:tcBorders>
            <w:shd w:color="auto" w:fill="auto" w:val="clear"/>
            <w:tcMar>
              <w:start w:w="7" w:type="dxa"/>
              <w:end w:w="7" w:type="dxa"/>
            </w:tcMar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val="uk-UA"/>
              </w:rPr>
              <w:t>-</w:t>
            </w:r>
          </w:p>
        </w:tc>
        <w:tc>
          <w:tcPr>
            <w:tcW w:w="332" w:type="dxa"/>
            <w:tcBorders>
              <w:bottom w:val="single" w:sz="6" w:space="0" w:color="000000"/>
              <w:end w:val="single" w:sz="4" w:space="0" w:color="000000"/>
            </w:tcBorders>
            <w:shd w:color="auto" w:fill="auto" w:val="clear"/>
            <w:tcMar>
              <w:start w:w="7" w:type="dxa"/>
              <w:end w:w="7" w:type="dxa"/>
            </w:tcMar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val="uk-UA"/>
              </w:rPr>
              <w:t>-</w:t>
            </w:r>
          </w:p>
        </w:tc>
        <w:tc>
          <w:tcPr>
            <w:tcW w:w="653" w:type="dxa"/>
            <w:tcBorders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tcMar>
              <w:start w:w="7" w:type="dxa"/>
              <w:end w:w="7" w:type="dxa"/>
            </w:tcMar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25 544,6</w:t>
            </w:r>
            <w:r>
              <w:rPr>
                <w:rFonts w:cs="Times New Roman" w:ascii="Times New Roman" w:hAnsi="Times New Roman"/>
                <w:sz w:val="16"/>
                <w:szCs w:val="16"/>
                <w:lang w:val="uk-UA"/>
              </w:rPr>
              <w:t>0</w:t>
            </w:r>
          </w:p>
        </w:tc>
        <w:tc>
          <w:tcPr>
            <w:tcW w:w="1190" w:type="dxa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val="uk-UA"/>
              </w:rPr>
              <w:t xml:space="preserve">покращення житлових умов ветеранів війни, Захисників та Захисниць України, членів сімей загиблих (померлих) ветеранів війни </w:t>
            </w:r>
          </w:p>
        </w:tc>
      </w:tr>
      <w:tr>
        <w:trPr>
          <w:trHeight w:val="2565" w:hRule="atLeast"/>
        </w:trPr>
        <w:tc>
          <w:tcPr>
            <w:tcW w:w="289" w:type="dxa"/>
            <w:vMerge w:val="continue"/>
            <w:tcBorders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/>
              </w:rPr>
            </w:r>
          </w:p>
        </w:tc>
        <w:tc>
          <w:tcPr>
            <w:tcW w:w="1077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16"/>
                <w:szCs w:val="16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/>
              </w:rPr>
            </w:r>
          </w:p>
        </w:tc>
        <w:tc>
          <w:tcPr>
            <w:tcW w:w="18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Autospacing="1" w:after="0"/>
              <w:jc w:val="both"/>
              <w:rPr>
                <w:rFonts w:ascii="Times New Roman" w:hAnsi="Times New Roman" w:eastAsia="Times New Roman" w:cs="Times New Roman"/>
                <w:sz w:val="16"/>
                <w:szCs w:val="16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1.3 Виплата грошової компенсації за належні для отримання жилі приміщення членам сімей учасників бойових дій на території інших держав, визначених в абзаці першому пункту 1 статті 10 Закону України “Про статус ветеранів війни, гарантії їх соціального захисту”, особам з інвалідністю I-II групи з числа учасників бойових дій на території інших держав, інвалідність яких настала внаслідок поранення, контузії, каліцтва або захворювання, пов’язаних із перебуванням у цих державах, визначених пунктом 7 частини другої статті 7 Закону України “Про статус ветеранів війни, гарантії їх соціального захисту”, та які потребують поліпшення житлових умов і перебувають на квартирному обліку.</w:t>
            </w:r>
          </w:p>
        </w:tc>
        <w:tc>
          <w:tcPr>
            <w:tcW w:w="1007" w:type="dxa"/>
            <w:tcBorders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/>
              </w:rPr>
              <w:t>2025-2029 роки</w:t>
            </w:r>
          </w:p>
        </w:tc>
        <w:tc>
          <w:tcPr>
            <w:tcW w:w="1348" w:type="dxa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/>
              </w:rPr>
              <w:t>Відділ соціальної політики Роздільнянської міської ради</w:t>
            </w:r>
          </w:p>
        </w:tc>
        <w:tc>
          <w:tcPr>
            <w:tcW w:w="1331" w:type="dxa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/>
              </w:rPr>
              <w:t>Державний бюджет</w:t>
            </w:r>
          </w:p>
        </w:tc>
        <w:tc>
          <w:tcPr>
            <w:tcW w:w="970" w:type="dxa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6"/>
                <w:szCs w:val="16"/>
                <w:lang w:val="uk-UA"/>
              </w:rPr>
              <w:t>-</w:t>
            </w:r>
          </w:p>
        </w:tc>
        <w:tc>
          <w:tcPr>
            <w:tcW w:w="930" w:type="dxa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/>
              </w:rPr>
              <w:t>-</w:t>
            </w:r>
          </w:p>
        </w:tc>
        <w:tc>
          <w:tcPr>
            <w:tcW w:w="930" w:type="dxa"/>
            <w:tcBorders>
              <w:bottom w:val="single" w:sz="6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/>
              </w:rPr>
              <w:t>-</w:t>
            </w:r>
          </w:p>
        </w:tc>
        <w:tc>
          <w:tcPr>
            <w:tcW w:w="733" w:type="dxa"/>
            <w:tcBorders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tcMar>
              <w:start w:w="7" w:type="dxa"/>
              <w:end w:w="7" w:type="dxa"/>
            </w:tcMar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/>
              </w:rPr>
              <w:t>-</w:t>
            </w:r>
          </w:p>
        </w:tc>
        <w:tc>
          <w:tcPr>
            <w:tcW w:w="533" w:type="dxa"/>
            <w:tcBorders>
              <w:bottom w:val="single" w:sz="6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/>
              </w:rPr>
              <w:t>-</w:t>
            </w:r>
          </w:p>
        </w:tc>
        <w:tc>
          <w:tcPr>
            <w:tcW w:w="333" w:type="dxa"/>
            <w:tcBorders>
              <w:bottom w:val="single" w:sz="6" w:space="0" w:color="000000"/>
              <w:end w:val="single" w:sz="4" w:space="0" w:color="000000"/>
            </w:tcBorders>
            <w:shd w:color="auto" w:fill="auto" w:val="clear"/>
            <w:tcMar>
              <w:start w:w="7" w:type="dxa"/>
              <w:end w:w="7" w:type="dxa"/>
            </w:tcMar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/>
              </w:rPr>
              <w:t>-</w:t>
            </w:r>
          </w:p>
        </w:tc>
        <w:tc>
          <w:tcPr>
            <w:tcW w:w="334" w:type="dxa"/>
            <w:tcBorders>
              <w:bottom w:val="single" w:sz="6" w:space="0" w:color="000000"/>
              <w:end w:val="single" w:sz="4" w:space="0" w:color="000000"/>
            </w:tcBorders>
            <w:shd w:color="auto" w:fill="auto" w:val="clear"/>
            <w:tcMar>
              <w:start w:w="7" w:type="dxa"/>
              <w:end w:w="7" w:type="dxa"/>
            </w:tcMar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/>
              </w:rPr>
              <w:t>-</w:t>
            </w:r>
          </w:p>
        </w:tc>
        <w:tc>
          <w:tcPr>
            <w:tcW w:w="333" w:type="dxa"/>
            <w:tcBorders>
              <w:bottom w:val="single" w:sz="6" w:space="0" w:color="000000"/>
              <w:end w:val="single" w:sz="4" w:space="0" w:color="000000"/>
            </w:tcBorders>
            <w:shd w:color="auto" w:fill="auto" w:val="clear"/>
            <w:tcMar>
              <w:start w:w="7" w:type="dxa"/>
              <w:end w:w="7" w:type="dxa"/>
            </w:tcMar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/>
              </w:rPr>
              <w:t>-</w:t>
            </w:r>
          </w:p>
        </w:tc>
        <w:tc>
          <w:tcPr>
            <w:tcW w:w="333" w:type="dxa"/>
            <w:tcBorders>
              <w:bottom w:val="single" w:sz="6" w:space="0" w:color="000000"/>
              <w:end w:val="single" w:sz="4" w:space="0" w:color="000000"/>
            </w:tcBorders>
            <w:shd w:color="auto" w:fill="auto" w:val="clear"/>
            <w:tcMar>
              <w:start w:w="7" w:type="dxa"/>
              <w:end w:w="7" w:type="dxa"/>
            </w:tcMar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/>
              </w:rPr>
              <w:t>-</w:t>
            </w:r>
          </w:p>
        </w:tc>
        <w:tc>
          <w:tcPr>
            <w:tcW w:w="332" w:type="dxa"/>
            <w:tcBorders>
              <w:bottom w:val="single" w:sz="6" w:space="0" w:color="000000"/>
              <w:end w:val="single" w:sz="4" w:space="0" w:color="000000"/>
            </w:tcBorders>
            <w:shd w:color="auto" w:fill="auto" w:val="clear"/>
            <w:tcMar>
              <w:start w:w="7" w:type="dxa"/>
              <w:end w:w="7" w:type="dxa"/>
            </w:tcMar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/>
              </w:rPr>
              <w:t>-</w:t>
            </w:r>
          </w:p>
        </w:tc>
        <w:tc>
          <w:tcPr>
            <w:tcW w:w="653" w:type="dxa"/>
            <w:tcBorders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tcMar>
              <w:start w:w="7" w:type="dxa"/>
              <w:end w:w="7" w:type="dxa"/>
            </w:tcMar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/>
              </w:rPr>
              <w:t>-</w:t>
            </w:r>
          </w:p>
        </w:tc>
        <w:tc>
          <w:tcPr>
            <w:tcW w:w="1190" w:type="dxa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both"/>
              <w:rPr>
                <w:rFonts w:ascii="Times New Roman" w:hAnsi="Times New Roman" w:eastAsia="Times New Roman" w:cs="Times New Roman"/>
                <w:sz w:val="16"/>
                <w:szCs w:val="16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/>
              </w:rPr>
              <w:t>покращення житлових умов ветеранів війни, Захисників та Захисниць України, членів сімей загиблих (померлих) ветеранів війни</w:t>
            </w:r>
          </w:p>
        </w:tc>
      </w:tr>
      <w:tr>
        <w:trPr>
          <w:trHeight w:val="2565" w:hRule="atLeast"/>
        </w:trPr>
        <w:tc>
          <w:tcPr>
            <w:tcW w:w="289" w:type="dxa"/>
            <w:vMerge w:val="continue"/>
            <w:tcBorders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/>
              </w:rPr>
            </w:r>
          </w:p>
        </w:tc>
        <w:tc>
          <w:tcPr>
            <w:tcW w:w="1077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16"/>
                <w:szCs w:val="16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/>
              </w:rPr>
            </w:r>
          </w:p>
        </w:tc>
        <w:tc>
          <w:tcPr>
            <w:tcW w:w="18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Autospacing="1" w:after="0"/>
              <w:jc w:val="both"/>
              <w:rPr>
                <w:rFonts w:ascii="Times New Roman" w:hAnsi="Times New Roman" w:eastAsia="Times New Roman" w:cs="Times New Roman"/>
                <w:sz w:val="16"/>
                <w:szCs w:val="16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1.4 Виплата грошової компенсації за належні для отримання жилі приміщення для внутрішньо переміщених осіб, які захищали незалежність, суверенітет та територіальну цілісність України і брали безпосередню участь в антитерористичній операції, забезпеченні її проведення, перебуваючи безпосередньо в районах антитерористичної операції у період її проведення, у здійсненні заходів із забезпечення національної безпеки і оборони, відсічі і стримування збройної агресії Російської Федерації у Донецькій та Луганській областях, забезпеченні їх здійснення, перебуваючи безпосередньо в районах та у період здійснення зазначених заходів, та визнані особами з інвалідністю внаслідок війни III групи відповідно до пунктів 11 – 14 частини другої статті 7 або учасниками бойових дій відповідно до пунктів 19 – 21 частини першої статті 6 Закону України "Про статус ветеранів війни, гарантії їх соціального захисту", та які потребують поліпшення житлових умов (далі - субвенція), включені у списки осіб, які користуються правом першочергового або позачергового одержання жилих приміщень, за місцем проживання відповідно до законодавства за категоріями, встановленими цим пунктом (далі - квартирний облік), і перебувають не менш як один рік на обліку в Єдиній інформаційній базі даних про внутрішньо переміщених осіб.</w:t>
            </w:r>
          </w:p>
        </w:tc>
        <w:tc>
          <w:tcPr>
            <w:tcW w:w="1007" w:type="dxa"/>
            <w:tcBorders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/>
              </w:rPr>
              <w:t>2025-2029 роки</w:t>
            </w:r>
          </w:p>
        </w:tc>
        <w:tc>
          <w:tcPr>
            <w:tcW w:w="1348" w:type="dxa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/>
              </w:rPr>
              <w:t>Відділ соціальної політики Роздільнянської міської ради</w:t>
            </w:r>
          </w:p>
        </w:tc>
        <w:tc>
          <w:tcPr>
            <w:tcW w:w="1331" w:type="dxa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/>
              </w:rPr>
              <w:t>Державний бюджет</w:t>
            </w:r>
          </w:p>
        </w:tc>
        <w:tc>
          <w:tcPr>
            <w:tcW w:w="970" w:type="dxa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6"/>
                <w:szCs w:val="16"/>
                <w:lang w:val="uk-UA"/>
              </w:rPr>
              <w:t>-</w:t>
            </w:r>
          </w:p>
        </w:tc>
        <w:tc>
          <w:tcPr>
            <w:tcW w:w="930" w:type="dxa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/>
              </w:rPr>
              <w:t>-</w:t>
            </w:r>
          </w:p>
        </w:tc>
        <w:tc>
          <w:tcPr>
            <w:tcW w:w="930" w:type="dxa"/>
            <w:tcBorders>
              <w:bottom w:val="single" w:sz="6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/>
              </w:rPr>
              <w:t>-</w:t>
            </w:r>
          </w:p>
        </w:tc>
        <w:tc>
          <w:tcPr>
            <w:tcW w:w="733" w:type="dxa"/>
            <w:tcBorders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tcMar>
              <w:start w:w="7" w:type="dxa"/>
              <w:end w:w="7" w:type="dxa"/>
            </w:tcMar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/>
              </w:rPr>
              <w:t>-</w:t>
            </w:r>
          </w:p>
        </w:tc>
        <w:tc>
          <w:tcPr>
            <w:tcW w:w="533" w:type="dxa"/>
            <w:tcBorders>
              <w:bottom w:val="single" w:sz="6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/>
              </w:rPr>
              <w:t>-</w:t>
            </w:r>
          </w:p>
        </w:tc>
        <w:tc>
          <w:tcPr>
            <w:tcW w:w="333" w:type="dxa"/>
            <w:tcBorders>
              <w:bottom w:val="single" w:sz="6" w:space="0" w:color="000000"/>
              <w:end w:val="single" w:sz="4" w:space="0" w:color="000000"/>
            </w:tcBorders>
            <w:shd w:color="auto" w:fill="auto" w:val="clear"/>
            <w:tcMar>
              <w:start w:w="7" w:type="dxa"/>
              <w:end w:w="7" w:type="dxa"/>
            </w:tcMar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/>
              </w:rPr>
              <w:t>-</w:t>
            </w:r>
          </w:p>
        </w:tc>
        <w:tc>
          <w:tcPr>
            <w:tcW w:w="334" w:type="dxa"/>
            <w:tcBorders>
              <w:bottom w:val="single" w:sz="6" w:space="0" w:color="000000"/>
              <w:end w:val="single" w:sz="4" w:space="0" w:color="000000"/>
            </w:tcBorders>
            <w:shd w:color="auto" w:fill="auto" w:val="clear"/>
            <w:tcMar>
              <w:start w:w="7" w:type="dxa"/>
              <w:end w:w="7" w:type="dxa"/>
            </w:tcMar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/>
              </w:rPr>
              <w:t>-</w:t>
            </w:r>
          </w:p>
        </w:tc>
        <w:tc>
          <w:tcPr>
            <w:tcW w:w="333" w:type="dxa"/>
            <w:tcBorders>
              <w:bottom w:val="single" w:sz="6" w:space="0" w:color="000000"/>
              <w:end w:val="single" w:sz="4" w:space="0" w:color="000000"/>
            </w:tcBorders>
            <w:shd w:color="auto" w:fill="auto" w:val="clear"/>
            <w:tcMar>
              <w:start w:w="7" w:type="dxa"/>
              <w:end w:w="7" w:type="dxa"/>
            </w:tcMar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/>
              </w:rPr>
              <w:t>-</w:t>
            </w:r>
          </w:p>
        </w:tc>
        <w:tc>
          <w:tcPr>
            <w:tcW w:w="333" w:type="dxa"/>
            <w:tcBorders>
              <w:bottom w:val="single" w:sz="6" w:space="0" w:color="000000"/>
              <w:end w:val="single" w:sz="4" w:space="0" w:color="000000"/>
            </w:tcBorders>
            <w:shd w:color="auto" w:fill="auto" w:val="clear"/>
            <w:tcMar>
              <w:start w:w="7" w:type="dxa"/>
              <w:end w:w="7" w:type="dxa"/>
            </w:tcMar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/>
              </w:rPr>
              <w:t>-</w:t>
            </w:r>
          </w:p>
        </w:tc>
        <w:tc>
          <w:tcPr>
            <w:tcW w:w="332" w:type="dxa"/>
            <w:tcBorders>
              <w:bottom w:val="single" w:sz="6" w:space="0" w:color="000000"/>
              <w:end w:val="single" w:sz="4" w:space="0" w:color="000000"/>
            </w:tcBorders>
            <w:shd w:color="auto" w:fill="auto" w:val="clear"/>
            <w:tcMar>
              <w:start w:w="7" w:type="dxa"/>
              <w:end w:w="7" w:type="dxa"/>
            </w:tcMar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/>
              </w:rPr>
              <w:t>-</w:t>
            </w:r>
          </w:p>
        </w:tc>
        <w:tc>
          <w:tcPr>
            <w:tcW w:w="653" w:type="dxa"/>
            <w:tcBorders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tcMar>
              <w:start w:w="7" w:type="dxa"/>
              <w:end w:w="7" w:type="dxa"/>
            </w:tcMar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/>
              </w:rPr>
              <w:t>-</w:t>
            </w:r>
          </w:p>
        </w:tc>
        <w:tc>
          <w:tcPr>
            <w:tcW w:w="1190" w:type="dxa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both"/>
              <w:rPr>
                <w:rFonts w:ascii="Times New Roman" w:hAnsi="Times New Roman" w:eastAsia="Times New Roman" w:cs="Times New Roman"/>
                <w:sz w:val="16"/>
                <w:szCs w:val="16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/>
              </w:rPr>
              <w:t>покращення житлових умов ветеранів війни, Захисників та Захисниць України, членів сімей загиблих (померлих) ветеранів війни</w:t>
            </w:r>
          </w:p>
        </w:tc>
      </w:tr>
      <w:tr>
        <w:trPr>
          <w:trHeight w:val="662" w:hRule="atLeast"/>
        </w:trPr>
        <w:tc>
          <w:tcPr>
            <w:tcW w:w="6950" w:type="dxa"/>
            <w:gridSpan w:val="6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val="uk-UA"/>
              </w:rPr>
              <w:t>Всього:</w:t>
            </w:r>
          </w:p>
        </w:tc>
        <w:tc>
          <w:tcPr>
            <w:tcW w:w="970" w:type="dxa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  <w:t>13 000</w:t>
            </w:r>
            <w:r>
              <w:rPr>
                <w:rFonts w:cs="Times New Roman" w:ascii="Times New Roman" w:hAnsi="Times New Roman"/>
                <w:b/>
                <w:sz w:val="16"/>
                <w:szCs w:val="16"/>
                <w:lang w:val="uk-UA"/>
              </w:rPr>
              <w:t>,</w:t>
            </w:r>
            <w:r>
              <w:rPr>
                <w:rFonts w:cs="Times New Roman" w:ascii="Times New Roman" w:hAnsi="Times New Roman"/>
                <w:b/>
                <w:sz w:val="16"/>
                <w:szCs w:val="16"/>
              </w:rPr>
              <w:t>907</w:t>
            </w:r>
          </w:p>
        </w:tc>
        <w:tc>
          <w:tcPr>
            <w:tcW w:w="930" w:type="dxa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  <w:t>13 000</w:t>
            </w:r>
            <w:r>
              <w:rPr>
                <w:rFonts w:cs="Times New Roman" w:ascii="Times New Roman" w:hAnsi="Times New Roman"/>
                <w:b/>
                <w:sz w:val="16"/>
                <w:szCs w:val="16"/>
                <w:lang w:val="uk-UA"/>
              </w:rPr>
              <w:t>,</w:t>
            </w:r>
            <w:r>
              <w:rPr>
                <w:rFonts w:cs="Times New Roman" w:ascii="Times New Roman" w:hAnsi="Times New Roman"/>
                <w:b/>
                <w:sz w:val="16"/>
                <w:szCs w:val="16"/>
              </w:rPr>
              <w:t>907</w:t>
            </w:r>
          </w:p>
        </w:tc>
        <w:tc>
          <w:tcPr>
            <w:tcW w:w="930" w:type="dxa"/>
            <w:tcBorders>
              <w:bottom w:val="single" w:sz="6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sz w:val="16"/>
                <w:szCs w:val="16"/>
                <w:lang w:val="uk-UA"/>
              </w:rPr>
              <w:t>12 548,693</w:t>
            </w:r>
          </w:p>
        </w:tc>
        <w:tc>
          <w:tcPr>
            <w:tcW w:w="733" w:type="dxa"/>
            <w:tcBorders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tcMar>
              <w:start w:w="7" w:type="dxa"/>
              <w:end w:w="7" w:type="dxa"/>
            </w:tcMar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sz w:val="16"/>
                <w:szCs w:val="16"/>
                <w:lang w:val="uk-UA"/>
              </w:rPr>
              <w:t>12 548,693</w:t>
            </w:r>
          </w:p>
        </w:tc>
        <w:tc>
          <w:tcPr>
            <w:tcW w:w="533" w:type="dxa"/>
            <w:tcBorders>
              <w:bottom w:val="single" w:sz="6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sz w:val="16"/>
                <w:szCs w:val="16"/>
                <w:lang w:val="uk-UA"/>
              </w:rPr>
              <w:t>5,00</w:t>
            </w:r>
          </w:p>
        </w:tc>
        <w:tc>
          <w:tcPr>
            <w:tcW w:w="333" w:type="dxa"/>
            <w:tcBorders>
              <w:start w:val="single" w:sz="4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tcMar>
              <w:start w:w="7" w:type="dxa"/>
              <w:end w:w="7" w:type="dxa"/>
            </w:tcMar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sz w:val="16"/>
                <w:szCs w:val="16"/>
                <w:lang w:val="uk-UA"/>
              </w:rPr>
              <w:t>0,00</w:t>
            </w:r>
          </w:p>
        </w:tc>
        <w:tc>
          <w:tcPr>
            <w:tcW w:w="334" w:type="dxa"/>
            <w:tcBorders>
              <w:start w:val="single" w:sz="4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tcMar>
              <w:start w:w="7" w:type="dxa"/>
              <w:end w:w="7" w:type="dxa"/>
            </w:tcMar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sz w:val="16"/>
                <w:szCs w:val="16"/>
                <w:lang w:val="uk-UA"/>
              </w:rPr>
              <w:t>0,00</w:t>
            </w:r>
          </w:p>
        </w:tc>
        <w:tc>
          <w:tcPr>
            <w:tcW w:w="333" w:type="dxa"/>
            <w:tcBorders>
              <w:start w:val="single" w:sz="4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tcMar>
              <w:start w:w="7" w:type="dxa"/>
              <w:end w:w="7" w:type="dxa"/>
            </w:tcMar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sz w:val="16"/>
                <w:szCs w:val="16"/>
                <w:lang w:val="uk-UA"/>
              </w:rPr>
              <w:t>0,00</w:t>
            </w:r>
          </w:p>
        </w:tc>
        <w:tc>
          <w:tcPr>
            <w:tcW w:w="333" w:type="dxa"/>
            <w:tcBorders>
              <w:start w:val="single" w:sz="4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tcMar>
              <w:start w:w="7" w:type="dxa"/>
              <w:end w:w="7" w:type="dxa"/>
            </w:tcMar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sz w:val="16"/>
                <w:szCs w:val="16"/>
                <w:lang w:val="uk-UA"/>
              </w:rPr>
              <w:t>0,00</w:t>
            </w:r>
          </w:p>
        </w:tc>
        <w:tc>
          <w:tcPr>
            <w:tcW w:w="332" w:type="dxa"/>
            <w:tcBorders>
              <w:start w:val="single" w:sz="4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tcMar>
              <w:start w:w="7" w:type="dxa"/>
              <w:end w:w="7" w:type="dxa"/>
            </w:tcMar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sz w:val="16"/>
                <w:szCs w:val="16"/>
                <w:lang w:val="uk-UA"/>
              </w:rPr>
              <w:t>0,00</w:t>
            </w:r>
          </w:p>
        </w:tc>
        <w:tc>
          <w:tcPr>
            <w:tcW w:w="653" w:type="dxa"/>
            <w:tcBorders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tcMar>
              <w:start w:w="7" w:type="dxa"/>
              <w:end w:w="7" w:type="dxa"/>
            </w:tcMar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sz w:val="16"/>
                <w:szCs w:val="16"/>
                <w:lang w:val="uk-UA"/>
              </w:rPr>
              <w:t>25 554,60</w:t>
            </w:r>
          </w:p>
        </w:tc>
        <w:tc>
          <w:tcPr>
            <w:tcW w:w="1190" w:type="dxa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165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/>
              </w:rPr>
              <w:t> </w:t>
            </w:r>
          </w:p>
        </w:tc>
      </w:tr>
    </w:tbl>
    <w:p>
      <w:pPr>
        <w:pStyle w:val="Normal"/>
        <w:spacing w:lineRule="auto" w:line="240" w:before="0" w:after="0"/>
        <w:jc w:val="end"/>
        <w:rPr>
          <w:rFonts w:ascii="Times New Roman" w:hAnsi="Times New Roman" w:eastAsia="Times New Roman" w:cs="Times New Roman"/>
          <w:bCs/>
          <w:sz w:val="24"/>
          <w:szCs w:val="24"/>
          <w:lang w:val="uk-UA"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val="uk-UA"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val="uk-UA" w:eastAsia="ru-RU"/>
        </w:rPr>
        <w:t xml:space="preserve">                                                                                                                                                                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 xml:space="preserve">                        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val="uk-UA"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val="ru-RU" w:eastAsia="ru-RU"/>
        </w:rPr>
        <w:t xml:space="preserve">                                                                                                                                                                                                       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val="uk-UA" w:eastAsia="ru-RU"/>
        </w:rPr>
        <w:t xml:space="preserve">  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val="uk-UA" w:eastAsia="ru-RU"/>
        </w:rPr>
        <w:t>Додаток 2</w:t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eastAsia="Times New Roman" w:cs="Times New Roman"/>
          <w:b/>
          <w:bCs/>
          <w:i/>
          <w:sz w:val="24"/>
          <w:szCs w:val="24"/>
          <w:lang w:val="uk-UA"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val="uk-UA" w:eastAsia="ru-RU"/>
        </w:rPr>
        <w:t xml:space="preserve">                        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val="uk-UA" w:eastAsia="ru-RU"/>
        </w:rPr>
        <w:t>до Програми</w:t>
        <w:tab/>
      </w:r>
      <w:r>
        <w:rPr>
          <w:rFonts w:eastAsia="Times New Roman" w:cs="Times New Roman" w:ascii="Times New Roman" w:hAnsi="Times New Roman"/>
          <w:b/>
          <w:bCs/>
          <w:i/>
          <w:sz w:val="24"/>
          <w:szCs w:val="24"/>
          <w:lang w:val="uk-UA" w:eastAsia="ru-RU"/>
        </w:rPr>
        <w:t xml:space="preserve"> 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val="uk-UA"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val="uk-UA"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val="uk-UA"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val="uk-UA" w:eastAsia="ru-RU"/>
        </w:rPr>
        <w:t xml:space="preserve">Показники результативності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val="uk-UA"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val="uk-UA" w:eastAsia="ru-RU"/>
        </w:rPr>
        <w:t>Програми забезпечення житлом деяких категорій осіб, які захищали незалежність, суверенітет та територіальну цілісність України, учасників бойових дій на території інших держав, а також членів їх сімей, які мешкають на території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val="uk-UA"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val="uk-UA" w:eastAsia="ru-RU"/>
        </w:rPr>
        <w:t>Роздільнянської міської територіальної громади на 2025- 2029  роки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val="uk-UA"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val="uk-UA" w:eastAsia="ru-RU"/>
        </w:rPr>
      </w:r>
    </w:p>
    <w:p>
      <w:pPr>
        <w:pStyle w:val="Normal"/>
        <w:tabs>
          <w:tab w:val="clear" w:pos="708"/>
          <w:tab w:val="left" w:pos="915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val="uk-UA"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uk-UA" w:eastAsia="ru-RU"/>
        </w:rPr>
      </w:r>
    </w:p>
    <w:tbl>
      <w:tblPr>
        <w:tblW w:w="13436" w:type="dxa"/>
        <w:jc w:val="start"/>
        <w:tblInd w:w="451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1e0" w:firstRow="1" w:noVBand="0" w:lastRow="1" w:firstColumn="1" w:lastColumn="1" w:noHBand="0"/>
      </w:tblPr>
      <w:tblGrid>
        <w:gridCol w:w="678"/>
        <w:gridCol w:w="2049"/>
        <w:gridCol w:w="1541"/>
        <w:gridCol w:w="1541"/>
        <w:gridCol w:w="1532"/>
        <w:gridCol w:w="1416"/>
        <w:gridCol w:w="1560"/>
        <w:gridCol w:w="141"/>
        <w:gridCol w:w="1123"/>
        <w:gridCol w:w="15"/>
        <w:gridCol w:w="18"/>
        <w:gridCol w:w="28"/>
        <w:gridCol w:w="897"/>
        <w:gridCol w:w="97"/>
        <w:gridCol w:w="800"/>
      </w:tblGrid>
      <w:tr>
        <w:trPr/>
        <w:tc>
          <w:tcPr>
            <w:tcW w:w="678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16"/>
                <w:szCs w:val="16"/>
                <w:lang w:val="uk-UA" w:eastAsia="ru-RU"/>
              </w:rPr>
              <w:t>№</w:t>
            </w:r>
          </w:p>
        </w:tc>
        <w:tc>
          <w:tcPr>
            <w:tcW w:w="204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16"/>
                <w:szCs w:val="16"/>
                <w:lang w:val="uk-UA" w:eastAsia="ru-RU"/>
              </w:rPr>
              <w:t>Найменування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16"/>
                <w:szCs w:val="16"/>
                <w:lang w:val="uk-UA" w:eastAsia="ru-RU"/>
              </w:rPr>
              <w:t>показника</w:t>
            </w:r>
          </w:p>
        </w:tc>
        <w:tc>
          <w:tcPr>
            <w:tcW w:w="154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16"/>
                <w:szCs w:val="16"/>
                <w:lang w:val="uk-UA" w:eastAsia="ru-RU"/>
              </w:rPr>
              <w:t>Одиниця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16"/>
                <w:szCs w:val="16"/>
                <w:lang w:val="uk-UA" w:eastAsia="ru-RU"/>
              </w:rPr>
              <w:t>виміру</w:t>
            </w:r>
          </w:p>
        </w:tc>
        <w:tc>
          <w:tcPr>
            <w:tcW w:w="154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16"/>
                <w:szCs w:val="16"/>
                <w:lang w:val="uk-UA" w:eastAsia="ru-RU"/>
              </w:rPr>
              <w:t>Вихідні дані на початок дії Програми</w:t>
            </w:r>
          </w:p>
        </w:tc>
        <w:tc>
          <w:tcPr>
            <w:tcW w:w="4508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16"/>
                <w:szCs w:val="16"/>
                <w:lang w:val="uk-UA" w:eastAsia="ru-RU"/>
              </w:rPr>
              <w:t>І етап виконання Програми</w:t>
            </w:r>
          </w:p>
        </w:tc>
        <w:tc>
          <w:tcPr>
            <w:tcW w:w="2319" w:type="dxa"/>
            <w:gridSpan w:val="7"/>
            <w:tcBorders>
              <w:top w:val="single" w:sz="6" w:space="0" w:color="000000"/>
              <w:start w:val="single" w:sz="6" w:space="0" w:color="000000"/>
            </w:tcBorders>
            <w:shd w:color="auto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  <w:t xml:space="preserve">II етап </w:t>
            </w:r>
            <w:r>
              <w:rPr>
                <w:rFonts w:eastAsia="Times New Roman" w:cs="Times New Roman" w:ascii="Times New Roman" w:hAnsi="Times New Roman"/>
                <w:b/>
                <w:sz w:val="16"/>
                <w:szCs w:val="16"/>
                <w:lang w:val="uk-UA" w:eastAsia="ru-RU"/>
              </w:rPr>
              <w:t>виконання Програми</w:t>
            </w:r>
          </w:p>
        </w:tc>
        <w:tc>
          <w:tcPr>
            <w:tcW w:w="800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  <w:t>III етап (20_- 20_ роки)</w:t>
            </w:r>
          </w:p>
        </w:tc>
      </w:tr>
      <w:tr>
        <w:trPr>
          <w:trHeight w:val="286" w:hRule="atLeast"/>
        </w:trPr>
        <w:tc>
          <w:tcPr>
            <w:tcW w:w="67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</w:r>
          </w:p>
        </w:tc>
        <w:tc>
          <w:tcPr>
            <w:tcW w:w="204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</w:r>
          </w:p>
        </w:tc>
        <w:tc>
          <w:tcPr>
            <w:tcW w:w="154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</w:r>
          </w:p>
        </w:tc>
        <w:tc>
          <w:tcPr>
            <w:tcW w:w="154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16"/>
                <w:szCs w:val="16"/>
                <w:lang w:val="uk-UA" w:eastAsia="ru-RU"/>
              </w:rPr>
            </w:r>
          </w:p>
        </w:tc>
        <w:tc>
          <w:tcPr>
            <w:tcW w:w="1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16"/>
                <w:szCs w:val="16"/>
                <w:lang w:val="uk-UA" w:eastAsia="ru-RU"/>
              </w:rPr>
              <w:t>2025</w:t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16"/>
                <w:szCs w:val="16"/>
                <w:lang w:val="uk-UA" w:eastAsia="ru-RU"/>
              </w:rPr>
              <w:t>2026</w:t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16"/>
                <w:szCs w:val="16"/>
                <w:lang w:val="uk-UA" w:eastAsia="ru-RU"/>
              </w:rPr>
              <w:t>2027</w:t>
            </w:r>
          </w:p>
        </w:tc>
        <w:tc>
          <w:tcPr>
            <w:tcW w:w="126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16"/>
                <w:szCs w:val="16"/>
                <w:lang w:val="uk-UA" w:eastAsia="ru-RU"/>
              </w:rPr>
              <w:t>2028</w:t>
            </w:r>
          </w:p>
        </w:tc>
        <w:tc>
          <w:tcPr>
            <w:tcW w:w="1055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16"/>
                <w:szCs w:val="16"/>
                <w:lang w:val="uk-UA" w:eastAsia="ru-RU"/>
              </w:rPr>
              <w:t>2029</w:t>
            </w:r>
          </w:p>
        </w:tc>
        <w:tc>
          <w:tcPr>
            <w:tcW w:w="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16"/>
                <w:szCs w:val="16"/>
                <w:lang w:val="uk-UA" w:eastAsia="ru-RU"/>
              </w:rPr>
              <w:t>-</w:t>
            </w:r>
          </w:p>
        </w:tc>
      </w:tr>
      <w:tr>
        <w:trPr>
          <w:trHeight w:val="286" w:hRule="atLeast"/>
        </w:trPr>
        <w:tc>
          <w:tcPr>
            <w:tcW w:w="6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1</w:t>
            </w:r>
          </w:p>
        </w:tc>
        <w:tc>
          <w:tcPr>
            <w:tcW w:w="20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2</w:t>
            </w:r>
          </w:p>
        </w:tc>
        <w:tc>
          <w:tcPr>
            <w:tcW w:w="15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3</w:t>
            </w:r>
          </w:p>
        </w:tc>
        <w:tc>
          <w:tcPr>
            <w:tcW w:w="15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4</w:t>
            </w:r>
          </w:p>
        </w:tc>
        <w:tc>
          <w:tcPr>
            <w:tcW w:w="1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5</w:t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7</w:t>
            </w:r>
          </w:p>
        </w:tc>
        <w:tc>
          <w:tcPr>
            <w:tcW w:w="126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8</w:t>
            </w:r>
          </w:p>
        </w:tc>
        <w:tc>
          <w:tcPr>
            <w:tcW w:w="1055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</w:r>
          </w:p>
        </w:tc>
        <w:tc>
          <w:tcPr>
            <w:tcW w:w="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9</w:t>
            </w:r>
          </w:p>
        </w:tc>
      </w:tr>
      <w:tr>
        <w:trPr/>
        <w:tc>
          <w:tcPr>
            <w:tcW w:w="8757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16"/>
                <w:szCs w:val="16"/>
                <w:lang w:val="uk-UA"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16"/>
                <w:szCs w:val="16"/>
                <w:lang w:val="uk-UA" w:eastAsia="ru-RU"/>
              </w:rPr>
              <w:t xml:space="preserve">                                                                                            </w:t>
            </w:r>
            <w:r>
              <w:rPr>
                <w:rFonts w:eastAsia="Times New Roman" w:cs="Times New Roman" w:ascii="Times New Roman" w:hAnsi="Times New Roman"/>
                <w:b/>
                <w:sz w:val="16"/>
                <w:szCs w:val="16"/>
                <w:lang w:val="uk-UA" w:eastAsia="ru-RU"/>
              </w:rPr>
              <w:t>І. Показник затрат</w:t>
            </w:r>
          </w:p>
        </w:tc>
        <w:tc>
          <w:tcPr>
            <w:tcW w:w="4679" w:type="dxa"/>
            <w:gridSpan w:val="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  <w:b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16"/>
                <w:szCs w:val="16"/>
                <w:lang w:val="uk-UA"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16"/>
                <w:szCs w:val="16"/>
                <w:lang w:val="uk-UA" w:eastAsia="ru-RU"/>
              </w:rPr>
            </w:r>
          </w:p>
        </w:tc>
      </w:tr>
      <w:tr>
        <w:trPr/>
        <w:tc>
          <w:tcPr>
            <w:tcW w:w="6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1</w:t>
            </w:r>
          </w:p>
        </w:tc>
        <w:tc>
          <w:tcPr>
            <w:tcW w:w="20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Загальна чисельність пільгових категорій , які стоять на обліку</w:t>
            </w:r>
          </w:p>
        </w:tc>
        <w:tc>
          <w:tcPr>
            <w:tcW w:w="15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ос.</w:t>
            </w:r>
          </w:p>
        </w:tc>
        <w:tc>
          <w:tcPr>
            <w:tcW w:w="15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32</w:t>
            </w:r>
          </w:p>
        </w:tc>
        <w:tc>
          <w:tcPr>
            <w:tcW w:w="1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32</w:t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32</w:t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32</w:t>
            </w:r>
          </w:p>
        </w:tc>
        <w:tc>
          <w:tcPr>
            <w:tcW w:w="1279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32</w:t>
            </w:r>
          </w:p>
        </w:tc>
        <w:tc>
          <w:tcPr>
            <w:tcW w:w="1040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32</w:t>
            </w:r>
          </w:p>
        </w:tc>
        <w:tc>
          <w:tcPr>
            <w:tcW w:w="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-</w:t>
            </w:r>
          </w:p>
        </w:tc>
      </w:tr>
      <w:tr>
        <w:trPr/>
        <w:tc>
          <w:tcPr>
            <w:tcW w:w="6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2</w:t>
            </w:r>
          </w:p>
        </w:tc>
        <w:tc>
          <w:tcPr>
            <w:tcW w:w="20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Загальна чисельність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прийнятих заяв на отримання компенсації з державного бюджету на придбання житла</w:t>
            </w:r>
          </w:p>
        </w:tc>
        <w:tc>
          <w:tcPr>
            <w:tcW w:w="15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Журнал звернень</w:t>
            </w:r>
          </w:p>
        </w:tc>
        <w:tc>
          <w:tcPr>
            <w:tcW w:w="15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5</w:t>
            </w:r>
          </w:p>
        </w:tc>
        <w:tc>
          <w:tcPr>
            <w:tcW w:w="1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8</w:t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5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5</w:t>
            </w:r>
          </w:p>
        </w:tc>
        <w:tc>
          <w:tcPr>
            <w:tcW w:w="1279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5</w:t>
            </w:r>
          </w:p>
        </w:tc>
        <w:tc>
          <w:tcPr>
            <w:tcW w:w="1040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5</w:t>
            </w:r>
          </w:p>
        </w:tc>
        <w:tc>
          <w:tcPr>
            <w:tcW w:w="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-</w:t>
            </w:r>
          </w:p>
        </w:tc>
      </w:tr>
      <w:tr>
        <w:trPr/>
        <w:tc>
          <w:tcPr>
            <w:tcW w:w="6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3</w:t>
            </w:r>
          </w:p>
        </w:tc>
        <w:tc>
          <w:tcPr>
            <w:tcW w:w="20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Загальна кількість проведених інформаційних компаній</w:t>
            </w:r>
          </w:p>
        </w:tc>
        <w:tc>
          <w:tcPr>
            <w:tcW w:w="15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Кількість заходів</w:t>
            </w:r>
          </w:p>
        </w:tc>
        <w:tc>
          <w:tcPr>
            <w:tcW w:w="15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4</w:t>
            </w:r>
          </w:p>
        </w:tc>
        <w:tc>
          <w:tcPr>
            <w:tcW w:w="1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0</w:t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2</w:t>
            </w:r>
          </w:p>
        </w:tc>
        <w:tc>
          <w:tcPr>
            <w:tcW w:w="1279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0</w:t>
            </w:r>
          </w:p>
        </w:tc>
        <w:tc>
          <w:tcPr>
            <w:tcW w:w="1040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0</w:t>
            </w:r>
          </w:p>
        </w:tc>
        <w:tc>
          <w:tcPr>
            <w:tcW w:w="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-</w:t>
            </w:r>
          </w:p>
        </w:tc>
      </w:tr>
      <w:tr>
        <w:trPr/>
        <w:tc>
          <w:tcPr>
            <w:tcW w:w="6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4</w:t>
            </w:r>
          </w:p>
        </w:tc>
        <w:tc>
          <w:tcPr>
            <w:tcW w:w="20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Грошової компенсації за належні для отримання жилі приміщення</w:t>
            </w:r>
          </w:p>
        </w:tc>
        <w:tc>
          <w:tcPr>
            <w:tcW w:w="15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грн.</w:t>
            </w:r>
          </w:p>
        </w:tc>
        <w:tc>
          <w:tcPr>
            <w:tcW w:w="15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11 038 236,00</w:t>
            </w:r>
          </w:p>
        </w:tc>
        <w:tc>
          <w:tcPr>
            <w:tcW w:w="1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13 000 907,00</w:t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val="uk-UA"/>
              </w:rPr>
              <w:t>12 543 693,00</w:t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0</w:t>
            </w:r>
          </w:p>
        </w:tc>
        <w:tc>
          <w:tcPr>
            <w:tcW w:w="1279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0</w:t>
            </w:r>
          </w:p>
        </w:tc>
        <w:tc>
          <w:tcPr>
            <w:tcW w:w="1040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0</w:t>
            </w:r>
          </w:p>
        </w:tc>
        <w:tc>
          <w:tcPr>
            <w:tcW w:w="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-</w:t>
            </w:r>
          </w:p>
        </w:tc>
      </w:tr>
      <w:tr>
        <w:trPr/>
        <w:tc>
          <w:tcPr>
            <w:tcW w:w="6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5</w:t>
            </w:r>
          </w:p>
        </w:tc>
        <w:tc>
          <w:tcPr>
            <w:tcW w:w="20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Видатки на проведення інформаційних компаній</w:t>
            </w:r>
          </w:p>
        </w:tc>
        <w:tc>
          <w:tcPr>
            <w:tcW w:w="15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грн.</w:t>
            </w:r>
          </w:p>
        </w:tc>
        <w:tc>
          <w:tcPr>
            <w:tcW w:w="15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10 000,00</w:t>
            </w:r>
          </w:p>
        </w:tc>
        <w:tc>
          <w:tcPr>
            <w:tcW w:w="1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0</w:t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5 000,00</w:t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5 000,00</w:t>
            </w:r>
          </w:p>
        </w:tc>
        <w:tc>
          <w:tcPr>
            <w:tcW w:w="1279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0</w:t>
            </w:r>
          </w:p>
        </w:tc>
        <w:tc>
          <w:tcPr>
            <w:tcW w:w="1040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0</w:t>
            </w:r>
          </w:p>
        </w:tc>
        <w:tc>
          <w:tcPr>
            <w:tcW w:w="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</w:r>
          </w:p>
        </w:tc>
      </w:tr>
      <w:tr>
        <w:trPr/>
        <w:tc>
          <w:tcPr>
            <w:tcW w:w="13436" w:type="dxa"/>
            <w:gridSpan w:val="1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16"/>
                <w:szCs w:val="16"/>
                <w:lang w:val="uk-UA" w:eastAsia="ru-RU"/>
              </w:rPr>
              <w:t xml:space="preserve">                                                                                                       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16"/>
                <w:szCs w:val="16"/>
                <w:lang w:val="uk-UA" w:eastAsia="ru-RU"/>
              </w:rPr>
              <w:t xml:space="preserve">                                                                                                                                      </w:t>
            </w:r>
            <w:r>
              <w:rPr>
                <w:rFonts w:eastAsia="Times New Roman" w:cs="Times New Roman" w:ascii="Times New Roman" w:hAnsi="Times New Roman"/>
                <w:b/>
                <w:sz w:val="16"/>
                <w:szCs w:val="16"/>
                <w:lang w:val="uk-UA" w:eastAsia="ru-RU"/>
              </w:rPr>
              <w:t>II. Показники продукту</w:t>
            </w:r>
          </w:p>
        </w:tc>
      </w:tr>
      <w:tr>
        <w:trPr>
          <w:trHeight w:val="689" w:hRule="atLeast"/>
        </w:trPr>
        <w:tc>
          <w:tcPr>
            <w:tcW w:w="6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1</w:t>
            </w:r>
          </w:p>
        </w:tc>
        <w:tc>
          <w:tcPr>
            <w:tcW w:w="20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Кількість заявників , які отримали  компенсацію</w:t>
            </w:r>
          </w:p>
        </w:tc>
        <w:tc>
          <w:tcPr>
            <w:tcW w:w="15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ос.</w:t>
            </w:r>
          </w:p>
        </w:tc>
        <w:tc>
          <w:tcPr>
            <w:tcW w:w="15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3</w:t>
            </w:r>
          </w:p>
        </w:tc>
        <w:tc>
          <w:tcPr>
            <w:tcW w:w="1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4</w:t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4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0</w:t>
            </w:r>
          </w:p>
        </w:tc>
        <w:tc>
          <w:tcPr>
            <w:tcW w:w="115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0</w:t>
            </w:r>
          </w:p>
        </w:tc>
        <w:tc>
          <w:tcPr>
            <w:tcW w:w="102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0</w:t>
            </w:r>
          </w:p>
        </w:tc>
        <w:tc>
          <w:tcPr>
            <w:tcW w:w="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-</w:t>
            </w:r>
          </w:p>
        </w:tc>
      </w:tr>
      <w:tr>
        <w:trPr/>
        <w:tc>
          <w:tcPr>
            <w:tcW w:w="6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2</w:t>
            </w:r>
          </w:p>
        </w:tc>
        <w:tc>
          <w:tcPr>
            <w:tcW w:w="20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Кількість проведених заходів</w:t>
            </w:r>
          </w:p>
        </w:tc>
        <w:tc>
          <w:tcPr>
            <w:tcW w:w="15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статистичні дані</w:t>
            </w:r>
          </w:p>
        </w:tc>
        <w:tc>
          <w:tcPr>
            <w:tcW w:w="15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4</w:t>
            </w:r>
          </w:p>
        </w:tc>
        <w:tc>
          <w:tcPr>
            <w:tcW w:w="1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0</w:t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ru-RU" w:eastAsia="ru-RU"/>
              </w:rPr>
              <w:t>2</w:t>
            </w:r>
          </w:p>
        </w:tc>
        <w:tc>
          <w:tcPr>
            <w:tcW w:w="115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ru-RU" w:eastAsia="ru-RU"/>
              </w:rPr>
              <w:t>0</w:t>
            </w:r>
          </w:p>
        </w:tc>
        <w:tc>
          <w:tcPr>
            <w:tcW w:w="102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ru-RU" w:eastAsia="ru-RU"/>
              </w:rPr>
              <w:t>0</w:t>
            </w:r>
          </w:p>
        </w:tc>
        <w:tc>
          <w:tcPr>
            <w:tcW w:w="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ru-RU" w:eastAsia="ru-RU"/>
              </w:rPr>
              <w:t>-</w:t>
            </w:r>
          </w:p>
        </w:tc>
      </w:tr>
      <w:tr>
        <w:trPr/>
        <w:tc>
          <w:tcPr>
            <w:tcW w:w="6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3</w:t>
            </w:r>
          </w:p>
        </w:tc>
        <w:tc>
          <w:tcPr>
            <w:tcW w:w="20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Кількість осіб, які брали участь у заходах</w:t>
            </w:r>
          </w:p>
        </w:tc>
        <w:tc>
          <w:tcPr>
            <w:tcW w:w="15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статистичні дані</w:t>
            </w:r>
          </w:p>
        </w:tc>
        <w:tc>
          <w:tcPr>
            <w:tcW w:w="15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100</w:t>
            </w:r>
          </w:p>
        </w:tc>
        <w:tc>
          <w:tcPr>
            <w:tcW w:w="1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0</w:t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50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50</w:t>
            </w:r>
          </w:p>
        </w:tc>
        <w:tc>
          <w:tcPr>
            <w:tcW w:w="115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0</w:t>
            </w:r>
          </w:p>
        </w:tc>
        <w:tc>
          <w:tcPr>
            <w:tcW w:w="102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0</w:t>
            </w:r>
          </w:p>
        </w:tc>
        <w:tc>
          <w:tcPr>
            <w:tcW w:w="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-</w:t>
            </w:r>
          </w:p>
        </w:tc>
      </w:tr>
      <w:tr>
        <w:trPr/>
        <w:tc>
          <w:tcPr>
            <w:tcW w:w="13436" w:type="dxa"/>
            <w:gridSpan w:val="1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16"/>
                <w:szCs w:val="16"/>
                <w:lang w:val="uk-UA"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16"/>
                <w:szCs w:val="16"/>
                <w:lang w:val="uk-UA"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16"/>
                <w:szCs w:val="16"/>
                <w:lang w:val="uk-UA" w:eastAsia="ru-RU"/>
              </w:rPr>
              <w:t xml:space="preserve">                                                           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16"/>
                <w:szCs w:val="16"/>
                <w:lang w:val="uk-UA"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16"/>
                <w:szCs w:val="16"/>
                <w:lang w:val="uk-UA" w:eastAsia="ru-RU"/>
              </w:rPr>
              <w:t xml:space="preserve">                                                                                                                                          </w:t>
            </w:r>
            <w:r>
              <w:rPr>
                <w:rFonts w:eastAsia="Times New Roman" w:cs="Times New Roman" w:ascii="Times New Roman" w:hAnsi="Times New Roman"/>
                <w:b/>
                <w:sz w:val="16"/>
                <w:szCs w:val="16"/>
                <w:lang w:val="uk-UA" w:eastAsia="ru-RU"/>
              </w:rPr>
              <w:t>ІІІ. Показник ефективності</w:t>
            </w:r>
          </w:p>
        </w:tc>
      </w:tr>
      <w:tr>
        <w:trPr>
          <w:trHeight w:val="550" w:hRule="atLeast"/>
        </w:trPr>
        <w:tc>
          <w:tcPr>
            <w:tcW w:w="6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1</w:t>
            </w:r>
          </w:p>
        </w:tc>
        <w:tc>
          <w:tcPr>
            <w:tcW w:w="20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Середня вартість одного</w:t>
            </w: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 xml:space="preserve">заходу </w:t>
            </w:r>
          </w:p>
        </w:tc>
        <w:tc>
          <w:tcPr>
            <w:tcW w:w="15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грн.</w:t>
            </w:r>
          </w:p>
        </w:tc>
        <w:tc>
          <w:tcPr>
            <w:tcW w:w="15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100,00</w:t>
            </w:r>
          </w:p>
        </w:tc>
        <w:tc>
          <w:tcPr>
            <w:tcW w:w="1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0,00</w:t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100,00</w:t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100,00</w:t>
            </w:r>
          </w:p>
        </w:tc>
        <w:tc>
          <w:tcPr>
            <w:tcW w:w="1325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0,00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0,00</w:t>
            </w:r>
          </w:p>
        </w:tc>
        <w:tc>
          <w:tcPr>
            <w:tcW w:w="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-</w:t>
            </w:r>
          </w:p>
        </w:tc>
      </w:tr>
      <w:tr>
        <w:trPr>
          <w:trHeight w:val="550" w:hRule="atLeast"/>
        </w:trPr>
        <w:tc>
          <w:tcPr>
            <w:tcW w:w="6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2</w:t>
            </w:r>
          </w:p>
        </w:tc>
        <w:tc>
          <w:tcPr>
            <w:tcW w:w="20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16"/>
                <w:szCs w:val="16"/>
                <w:vertAlign w:val="superscript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Середня вартість одного придбаного жилого приміщення</w:t>
            </w:r>
          </w:p>
        </w:tc>
        <w:tc>
          <w:tcPr>
            <w:tcW w:w="15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грн.</w:t>
            </w:r>
          </w:p>
        </w:tc>
        <w:tc>
          <w:tcPr>
            <w:tcW w:w="15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3 679 412,00</w:t>
            </w:r>
          </w:p>
        </w:tc>
        <w:tc>
          <w:tcPr>
            <w:tcW w:w="1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3 250 226,75</w:t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3 135 923,25</w:t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0,00</w:t>
            </w:r>
          </w:p>
        </w:tc>
        <w:tc>
          <w:tcPr>
            <w:tcW w:w="1325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0,00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0,00</w:t>
            </w:r>
          </w:p>
        </w:tc>
        <w:tc>
          <w:tcPr>
            <w:tcW w:w="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</w:r>
          </w:p>
        </w:tc>
      </w:tr>
      <w:tr>
        <w:trPr>
          <w:trHeight w:val="550" w:hRule="atLeast"/>
        </w:trPr>
        <w:tc>
          <w:tcPr>
            <w:tcW w:w="13436" w:type="dxa"/>
            <w:gridSpan w:val="1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16"/>
                <w:szCs w:val="16"/>
                <w:lang w:val="uk-UA" w:eastAsia="ru-RU"/>
              </w:rPr>
              <w:t xml:space="preserve">                                                                                                      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16"/>
                <w:szCs w:val="16"/>
                <w:lang w:val="uk-UA" w:eastAsia="ru-RU"/>
              </w:rPr>
              <w:t xml:space="preserve">                                                                                                                                                </w:t>
            </w:r>
            <w:r>
              <w:rPr>
                <w:rFonts w:eastAsia="Times New Roman" w:cs="Times New Roman" w:ascii="Times New Roman" w:hAnsi="Times New Roman"/>
                <w:b/>
                <w:sz w:val="16"/>
                <w:szCs w:val="16"/>
                <w:lang w:val="uk-UA" w:eastAsia="ru-RU"/>
              </w:rPr>
              <w:t>IV. Показники якості</w:t>
            </w:r>
          </w:p>
        </w:tc>
      </w:tr>
      <w:tr>
        <w:trPr>
          <w:trHeight w:val="550" w:hRule="atLeast"/>
        </w:trPr>
        <w:tc>
          <w:tcPr>
            <w:tcW w:w="6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 xml:space="preserve">     </w:t>
            </w: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1</w:t>
            </w:r>
          </w:p>
        </w:tc>
        <w:tc>
          <w:tcPr>
            <w:tcW w:w="20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Частка відпрацьованих звернень для отримання компенсації за належні умови проживання</w:t>
            </w:r>
          </w:p>
        </w:tc>
        <w:tc>
          <w:tcPr>
            <w:tcW w:w="15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%</w:t>
            </w:r>
          </w:p>
        </w:tc>
        <w:tc>
          <w:tcPr>
            <w:tcW w:w="15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100</w:t>
            </w:r>
          </w:p>
        </w:tc>
        <w:tc>
          <w:tcPr>
            <w:tcW w:w="1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100</w:t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100</w:t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100</w:t>
            </w:r>
          </w:p>
        </w:tc>
        <w:tc>
          <w:tcPr>
            <w:tcW w:w="1325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100</w:t>
            </w:r>
          </w:p>
        </w:tc>
        <w:tc>
          <w:tcPr>
            <w:tcW w:w="8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100</w:t>
            </w:r>
          </w:p>
        </w:tc>
        <w:tc>
          <w:tcPr>
            <w:tcW w:w="89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-</w:t>
            </w:r>
          </w:p>
        </w:tc>
      </w:tr>
      <w:tr>
        <w:trPr>
          <w:trHeight w:val="550" w:hRule="atLeast"/>
        </w:trPr>
        <w:tc>
          <w:tcPr>
            <w:tcW w:w="6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2</w:t>
            </w:r>
          </w:p>
        </w:tc>
        <w:tc>
          <w:tcPr>
            <w:tcW w:w="20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Відсоток о</w:t>
            </w:r>
            <w:r>
              <w:rPr>
                <w:rStyle w:val="docdata"/>
                <w:rFonts w:cs="Times New Roman" w:ascii="Times New Roman" w:hAnsi="Times New Roman"/>
                <w:color w:val="000000"/>
                <w:sz w:val="16"/>
                <w:szCs w:val="16"/>
                <w:lang w:val="uk-UA"/>
              </w:rPr>
              <w:t>хоплення  грошовою компенсацією заявників окремих пільгових категорій осіб до загальної чисельності заявників</w:t>
            </w:r>
          </w:p>
        </w:tc>
        <w:tc>
          <w:tcPr>
            <w:tcW w:w="15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ru-RU" w:eastAsia="ru-RU"/>
              </w:rPr>
              <w:t>%</w:t>
            </w:r>
          </w:p>
        </w:tc>
        <w:tc>
          <w:tcPr>
            <w:tcW w:w="15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60</w:t>
            </w:r>
          </w:p>
        </w:tc>
        <w:tc>
          <w:tcPr>
            <w:tcW w:w="1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50</w:t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0</w:t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0</w:t>
            </w:r>
          </w:p>
        </w:tc>
        <w:tc>
          <w:tcPr>
            <w:tcW w:w="1325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0</w:t>
            </w:r>
          </w:p>
        </w:tc>
        <w:tc>
          <w:tcPr>
            <w:tcW w:w="8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0</w:t>
            </w:r>
          </w:p>
        </w:tc>
        <w:tc>
          <w:tcPr>
            <w:tcW w:w="89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-</w:t>
            </w:r>
          </w:p>
        </w:tc>
      </w:tr>
      <w:tr>
        <w:trPr>
          <w:trHeight w:val="550" w:hRule="atLeast"/>
        </w:trPr>
        <w:tc>
          <w:tcPr>
            <w:tcW w:w="6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3</w:t>
            </w:r>
          </w:p>
        </w:tc>
        <w:tc>
          <w:tcPr>
            <w:tcW w:w="20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Відсоток охоплення  пільгових категорій осіб до загальної чисельності осіб пільгових категорій, які прийняли участь в заходах</w:t>
            </w:r>
          </w:p>
        </w:tc>
        <w:tc>
          <w:tcPr>
            <w:tcW w:w="15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ru-RU"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ru-RU" w:eastAsia="ru-RU"/>
              </w:rPr>
              <w:t>%</w:t>
            </w:r>
          </w:p>
        </w:tc>
        <w:tc>
          <w:tcPr>
            <w:tcW w:w="15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100</w:t>
            </w:r>
          </w:p>
        </w:tc>
        <w:tc>
          <w:tcPr>
            <w:tcW w:w="1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0</w:t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100</w:t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100</w:t>
            </w:r>
          </w:p>
        </w:tc>
        <w:tc>
          <w:tcPr>
            <w:tcW w:w="1325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0</w:t>
            </w:r>
          </w:p>
        </w:tc>
        <w:tc>
          <w:tcPr>
            <w:tcW w:w="8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0</w:t>
            </w:r>
          </w:p>
        </w:tc>
        <w:tc>
          <w:tcPr>
            <w:tcW w:w="89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uk-UA" w:eastAsia="ru-RU"/>
              </w:rPr>
              <w:t>-</w:t>
            </w:r>
          </w:p>
        </w:tc>
      </w:tr>
    </w:tbl>
    <w:p>
      <w:pPr>
        <w:pStyle w:val="Normal"/>
        <w:tabs>
          <w:tab w:val="clear" w:pos="708"/>
          <w:tab w:val="left" w:pos="915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val="uk-UA"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uk-UA" w:eastAsia="ru-RU"/>
        </w:rPr>
      </w:r>
    </w:p>
    <w:p>
      <w:pPr>
        <w:pStyle w:val="Normal"/>
        <w:shd w:val="clear" w:color="auto" w:fill="FFFFFF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333333"/>
          <w:sz w:val="24"/>
          <w:szCs w:val="24"/>
          <w:lang w:val="uk-UA"/>
        </w:rPr>
      </w:r>
    </w:p>
    <w:p>
      <w:pPr>
        <w:pStyle w:val="Normal"/>
        <w:shd w:val="clear" w:color="auto" w:fill="FFFFFF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333333"/>
          <w:sz w:val="24"/>
          <w:szCs w:val="24"/>
          <w:lang w:val="uk-UA"/>
        </w:rPr>
      </w:r>
    </w:p>
    <w:p>
      <w:pPr>
        <w:pStyle w:val="Normal"/>
        <w:shd w:val="clear" w:color="auto" w:fill="FFFFFF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333333"/>
          <w:sz w:val="24"/>
          <w:szCs w:val="24"/>
          <w:lang w:val="uk-UA"/>
        </w:rPr>
      </w:r>
    </w:p>
    <w:p>
      <w:pPr>
        <w:pStyle w:val="Normal"/>
        <w:shd w:val="clear" w:color="auto" w:fill="FFFFFF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333333"/>
          <w:sz w:val="24"/>
          <w:szCs w:val="24"/>
          <w:lang w:val="uk-UA"/>
        </w:rPr>
      </w:r>
    </w:p>
    <w:p>
      <w:pPr>
        <w:pStyle w:val="Normal"/>
        <w:shd w:val="clear" w:color="auto" w:fill="FFFFFF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333333"/>
          <w:sz w:val="24"/>
          <w:szCs w:val="24"/>
          <w:lang w:val="uk-UA"/>
        </w:rPr>
      </w:r>
    </w:p>
    <w:p>
      <w:pPr>
        <w:pStyle w:val="Normal"/>
        <w:shd w:val="clear" w:color="auto" w:fill="FFFFFF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333333"/>
          <w:sz w:val="24"/>
          <w:szCs w:val="24"/>
          <w:lang w:val="uk-UA"/>
        </w:rPr>
      </w:r>
    </w:p>
    <w:p>
      <w:pPr>
        <w:pStyle w:val="Normal"/>
        <w:shd w:val="clear" w:color="auto" w:fill="FFFFFF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333333"/>
          <w:sz w:val="24"/>
          <w:szCs w:val="24"/>
          <w:lang w:val="uk-UA"/>
        </w:rPr>
      </w:r>
    </w:p>
    <w:p>
      <w:pPr>
        <w:pStyle w:val="Normal"/>
        <w:shd w:val="clear" w:color="auto" w:fill="FFFFFF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333333"/>
          <w:sz w:val="24"/>
          <w:szCs w:val="24"/>
          <w:lang w:val="uk-UA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333333"/>
          <w:sz w:val="24"/>
          <w:szCs w:val="24"/>
          <w:lang w:val="uk-UA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333333"/>
          <w:sz w:val="24"/>
          <w:szCs w:val="24"/>
          <w:lang w:val="uk-UA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333333"/>
          <w:sz w:val="24"/>
          <w:szCs w:val="24"/>
          <w:lang w:val="uk-UA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333333"/>
          <w:sz w:val="24"/>
          <w:szCs w:val="24"/>
          <w:lang w:val="uk-UA"/>
        </w:rPr>
      </w:r>
    </w:p>
    <w:p>
      <w:pPr>
        <w:pStyle w:val="Normal"/>
        <w:shd w:val="clear" w:color="auto" w:fill="FFFFFF"/>
        <w:spacing w:lineRule="auto" w:line="240" w:before="0" w:after="0"/>
        <w:jc w:val="end"/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333333"/>
          <w:sz w:val="24"/>
          <w:szCs w:val="24"/>
          <w:lang w:val="uk-UA"/>
        </w:rPr>
        <w:t>Д</w:t>
      </w:r>
      <w:bookmarkStart w:id="0" w:name="_GoBack"/>
      <w:bookmarkEnd w:id="0"/>
      <w:r>
        <w:rPr>
          <w:rFonts w:eastAsia="Times New Roman" w:cs="Times New Roman" w:ascii="Times New Roman" w:hAnsi="Times New Roman"/>
          <w:b/>
          <w:bCs/>
          <w:color w:val="333333"/>
          <w:sz w:val="24"/>
          <w:szCs w:val="24"/>
          <w:lang w:val="uk-UA"/>
        </w:rPr>
        <w:t>одаток 3</w:t>
      </w:r>
    </w:p>
    <w:p>
      <w:pPr>
        <w:pStyle w:val="Normal"/>
        <w:shd w:val="clear" w:color="auto" w:fill="FFFFFF"/>
        <w:spacing w:lineRule="auto" w:line="240" w:before="0" w:after="0"/>
        <w:jc w:val="end"/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333333"/>
          <w:sz w:val="24"/>
          <w:szCs w:val="24"/>
          <w:lang w:val="uk-UA"/>
        </w:rPr>
        <w:t xml:space="preserve">до Програми </w:t>
      </w:r>
    </w:p>
    <w:p>
      <w:pPr>
        <w:pStyle w:val="Normal"/>
        <w:shd w:val="clear" w:color="auto" w:fill="FFFFFF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333333"/>
          <w:sz w:val="24"/>
          <w:szCs w:val="24"/>
          <w:lang w:val="uk-UA"/>
        </w:rPr>
      </w:r>
    </w:p>
    <w:p>
      <w:pPr>
        <w:pStyle w:val="Normal"/>
        <w:shd w:val="clear" w:color="auto" w:fill="FFFFFF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333333"/>
          <w:sz w:val="24"/>
          <w:szCs w:val="24"/>
          <w:lang w:val="uk-UA"/>
        </w:rPr>
      </w:r>
    </w:p>
    <w:p>
      <w:pPr>
        <w:pStyle w:val="Normal"/>
        <w:shd w:val="clear" w:color="auto" w:fill="FFFFFF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333333"/>
          <w:sz w:val="24"/>
          <w:szCs w:val="24"/>
          <w:lang w:val="uk-UA"/>
        </w:rPr>
      </w:r>
    </w:p>
    <w:p>
      <w:pPr>
        <w:pStyle w:val="Normal"/>
        <w:shd w:val="clear" w:color="auto" w:fill="FFFFFF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333333"/>
          <w:sz w:val="24"/>
          <w:szCs w:val="24"/>
          <w:lang w:val="uk-UA"/>
        </w:rPr>
        <w:t>Ресурсне забезпечення</w:t>
      </w:r>
    </w:p>
    <w:p>
      <w:pPr>
        <w:pStyle w:val="Normal"/>
        <w:shd w:val="clear" w:color="auto" w:fill="FFFFFF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333333"/>
          <w:sz w:val="24"/>
          <w:szCs w:val="24"/>
          <w:lang w:val="uk-UA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val="uk-UA"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val="uk-UA" w:eastAsia="ru-RU"/>
        </w:rPr>
        <w:t>Програми забезпечення житлом деяких категорій осіб, які захищали незалежність, суверенітет та територіальну цілісність України, учасників бойових дій на території інших держав, а також членів їх сімей, які мешкають на території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val="uk-UA"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val="uk-UA" w:eastAsia="ru-RU"/>
        </w:rPr>
        <w:t>Роздільнянської міської територіальної громади на 2025- 2029  роки</w:t>
      </w:r>
    </w:p>
    <w:p>
      <w:pPr>
        <w:pStyle w:val="NoSpacing"/>
        <w:ind w:start="284"/>
        <w:jc w:val="center"/>
        <w:rPr>
          <w:rFonts w:ascii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cs="Times New Roman" w:ascii="Times New Roman" w:hAnsi="Times New Roman"/>
          <w:b/>
          <w:sz w:val="24"/>
          <w:szCs w:val="24"/>
          <w:lang w:val="uk-UA" w:eastAsia="ru-RU"/>
        </w:rPr>
      </w:r>
    </w:p>
    <w:tbl>
      <w:tblPr>
        <w:tblW w:w="14204" w:type="dxa"/>
        <w:jc w:val="start"/>
        <w:tblInd w:w="-34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 w:firstRow="0" w:noVBand="0" w:lastRow="0" w:firstColumn="0" w:lastColumn="0" w:noHBand="0"/>
      </w:tblPr>
      <w:tblGrid>
        <w:gridCol w:w="4701"/>
        <w:gridCol w:w="1425"/>
        <w:gridCol w:w="1274"/>
        <w:gridCol w:w="1415"/>
        <w:gridCol w:w="1005"/>
        <w:gridCol w:w="44"/>
        <w:gridCol w:w="935"/>
        <w:gridCol w:w="997"/>
        <w:gridCol w:w="2408"/>
      </w:tblGrid>
      <w:tr>
        <w:trPr>
          <w:trHeight w:val="525" w:hRule="atLeast"/>
        </w:trPr>
        <w:tc>
          <w:tcPr>
            <w:tcW w:w="470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333333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333333"/>
                <w:sz w:val="20"/>
                <w:szCs w:val="20"/>
                <w:lang w:val="uk-UA"/>
              </w:rPr>
              <w:t xml:space="preserve">Обсяг коштів, що пропонується залучити на виконання Програми </w:t>
            </w:r>
          </w:p>
        </w:tc>
        <w:tc>
          <w:tcPr>
            <w:tcW w:w="7095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333333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333333"/>
                <w:sz w:val="20"/>
                <w:szCs w:val="20"/>
                <w:lang w:val="uk-UA"/>
              </w:rPr>
              <w:t>Етапи виконання Програми</w:t>
            </w:r>
          </w:p>
        </w:tc>
        <w:tc>
          <w:tcPr>
            <w:tcW w:w="2408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333333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333333"/>
                <w:sz w:val="20"/>
                <w:szCs w:val="20"/>
                <w:lang w:val="uk-UA"/>
              </w:rPr>
              <w:t>Всього витрат на виконання Програми (тис.грн)</w:t>
            </w:r>
          </w:p>
        </w:tc>
      </w:tr>
      <w:tr>
        <w:trPr>
          <w:trHeight w:val="353" w:hRule="atLeast"/>
        </w:trPr>
        <w:tc>
          <w:tcPr>
            <w:tcW w:w="470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333333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333333"/>
                <w:sz w:val="20"/>
                <w:szCs w:val="20"/>
                <w:lang w:val="ru-RU"/>
              </w:rPr>
            </w:r>
          </w:p>
        </w:tc>
        <w:tc>
          <w:tcPr>
            <w:tcW w:w="4114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333333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333333"/>
                <w:sz w:val="20"/>
                <w:szCs w:val="20"/>
                <w:lang w:val="uk-UA"/>
              </w:rPr>
              <w:t>І</w:t>
            </w:r>
          </w:p>
        </w:tc>
        <w:tc>
          <w:tcPr>
            <w:tcW w:w="1984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333333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333333"/>
                <w:sz w:val="20"/>
                <w:szCs w:val="20"/>
                <w:lang w:val="uk-UA"/>
              </w:rPr>
              <w:t>ІІ</w:t>
            </w:r>
          </w:p>
        </w:tc>
        <w:tc>
          <w:tcPr>
            <w:tcW w:w="9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333333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333333"/>
                <w:sz w:val="20"/>
                <w:szCs w:val="20"/>
                <w:lang w:val="uk-UA"/>
              </w:rPr>
              <w:t>ІІІ</w:t>
            </w:r>
          </w:p>
        </w:tc>
        <w:tc>
          <w:tcPr>
            <w:tcW w:w="240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333333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333333"/>
                <w:sz w:val="20"/>
                <w:szCs w:val="20"/>
                <w:lang w:val="uk-UA"/>
              </w:rPr>
            </w:r>
          </w:p>
        </w:tc>
      </w:tr>
      <w:tr>
        <w:trPr>
          <w:trHeight w:val="439" w:hRule="atLeast"/>
        </w:trPr>
        <w:tc>
          <w:tcPr>
            <w:tcW w:w="470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333333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333333"/>
                <w:sz w:val="20"/>
                <w:szCs w:val="20"/>
                <w:lang w:val="uk-UA"/>
              </w:rPr>
            </w:r>
          </w:p>
        </w:tc>
        <w:tc>
          <w:tcPr>
            <w:tcW w:w="1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333333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333333"/>
                <w:sz w:val="20"/>
                <w:szCs w:val="20"/>
                <w:lang w:val="uk-UA"/>
              </w:rPr>
              <w:t>2025</w:t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333333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333333"/>
                <w:sz w:val="20"/>
                <w:szCs w:val="20"/>
                <w:lang w:val="uk-UA"/>
              </w:rPr>
              <w:t>2026</w:t>
            </w:r>
          </w:p>
        </w:tc>
        <w:tc>
          <w:tcPr>
            <w:tcW w:w="14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333333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333333"/>
                <w:sz w:val="20"/>
                <w:szCs w:val="20"/>
                <w:lang w:val="uk-UA"/>
              </w:rPr>
              <w:t>2027</w:t>
            </w:r>
          </w:p>
        </w:tc>
        <w:tc>
          <w:tcPr>
            <w:tcW w:w="1005" w:type="dxa"/>
            <w:tcBorders>
              <w:bottom w:val="single" w:sz="6" w:space="0" w:color="000000"/>
              <w:end w:val="single" w:sz="4" w:space="0" w:color="000000"/>
            </w:tcBorders>
            <w:shd w:color="auto" w:fill="FFFFFF" w:val="clear"/>
          </w:tcPr>
          <w:p>
            <w:pPr>
              <w:pStyle w:val="Normal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  <w:lang w:val="uk-UA"/>
              </w:rPr>
            </w:r>
          </w:p>
          <w:p>
            <w:pPr>
              <w:pStyle w:val="Normal"/>
              <w:spacing w:before="0" w:after="160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  <w:lang w:val="uk-UA"/>
              </w:rPr>
              <w:t xml:space="preserve">  </w:t>
            </w:r>
            <w:r>
              <w:rPr>
                <w:rFonts w:cs="Times New Roman" w:ascii="Times New Roman" w:hAnsi="Times New Roman"/>
                <w:b/>
                <w:sz w:val="20"/>
                <w:szCs w:val="20"/>
                <w:lang w:val="uk-UA"/>
              </w:rPr>
              <w:t>2028</w:t>
            </w:r>
          </w:p>
        </w:tc>
        <w:tc>
          <w:tcPr>
            <w:tcW w:w="979" w:type="dxa"/>
            <w:gridSpan w:val="2"/>
            <w:tcBorders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  <w:lang w:val="uk-UA"/>
              </w:rPr>
            </w:r>
          </w:p>
          <w:p>
            <w:pPr>
              <w:pStyle w:val="Normal"/>
              <w:spacing w:before="0" w:after="160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  <w:lang w:val="uk-UA"/>
              </w:rPr>
              <w:t xml:space="preserve">  </w:t>
            </w:r>
            <w:r>
              <w:rPr>
                <w:rFonts w:cs="Times New Roman" w:ascii="Times New Roman" w:hAnsi="Times New Roman"/>
                <w:b/>
                <w:sz w:val="20"/>
                <w:szCs w:val="20"/>
                <w:lang w:val="uk-UA"/>
              </w:rPr>
              <w:t>2029</w:t>
            </w:r>
          </w:p>
        </w:tc>
        <w:tc>
          <w:tcPr>
            <w:tcW w:w="997" w:type="dxa"/>
            <w:tcBorders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20__-</w:t>
            </w:r>
          </w:p>
          <w:p>
            <w:pPr>
              <w:pStyle w:val="Norma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20__</w:t>
            </w:r>
          </w:p>
          <w:p>
            <w:pPr>
              <w:pStyle w:val="Normal"/>
              <w:spacing w:before="0" w:after="1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роки</w:t>
            </w:r>
          </w:p>
        </w:tc>
        <w:tc>
          <w:tcPr>
            <w:tcW w:w="240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333333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333333"/>
                <w:sz w:val="20"/>
                <w:szCs w:val="20"/>
                <w:lang w:val="uk-UA"/>
              </w:rPr>
            </w:r>
          </w:p>
        </w:tc>
      </w:tr>
      <w:tr>
        <w:trPr>
          <w:trHeight w:val="293" w:hRule="atLeast"/>
        </w:trPr>
        <w:tc>
          <w:tcPr>
            <w:tcW w:w="4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333333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333333"/>
                <w:sz w:val="20"/>
                <w:szCs w:val="20"/>
                <w:lang w:val="uk-UA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333333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333333"/>
                <w:sz w:val="20"/>
                <w:szCs w:val="20"/>
                <w:lang w:val="uk-UA"/>
              </w:rPr>
              <w:t>2</w:t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333333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333333"/>
                <w:sz w:val="20"/>
                <w:szCs w:val="20"/>
                <w:lang w:val="uk-UA"/>
              </w:rPr>
              <w:t>3</w:t>
            </w:r>
          </w:p>
        </w:tc>
        <w:tc>
          <w:tcPr>
            <w:tcW w:w="14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333333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333333"/>
                <w:sz w:val="20"/>
                <w:szCs w:val="20"/>
                <w:lang w:val="uk-UA"/>
              </w:rPr>
              <w:t>4</w:t>
            </w:r>
          </w:p>
        </w:tc>
        <w:tc>
          <w:tcPr>
            <w:tcW w:w="100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333333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333333"/>
                <w:sz w:val="20"/>
                <w:szCs w:val="20"/>
                <w:lang w:val="uk-UA"/>
              </w:rPr>
              <w:t>5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333333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333333"/>
                <w:sz w:val="20"/>
                <w:szCs w:val="20"/>
                <w:lang w:val="uk-UA"/>
              </w:rPr>
              <w:t>6</w:t>
            </w:r>
          </w:p>
        </w:tc>
        <w:tc>
          <w:tcPr>
            <w:tcW w:w="9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333333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333333"/>
                <w:sz w:val="20"/>
                <w:szCs w:val="20"/>
                <w:lang w:val="uk-UA"/>
              </w:rPr>
              <w:t>7</w:t>
            </w:r>
          </w:p>
        </w:tc>
        <w:tc>
          <w:tcPr>
            <w:tcW w:w="24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333333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333333"/>
                <w:sz w:val="20"/>
                <w:szCs w:val="20"/>
                <w:lang w:val="uk-UA"/>
              </w:rPr>
              <w:t>8</w:t>
            </w:r>
          </w:p>
        </w:tc>
      </w:tr>
      <w:tr>
        <w:trPr>
          <w:trHeight w:val="298" w:hRule="atLeast"/>
        </w:trPr>
        <w:tc>
          <w:tcPr>
            <w:tcW w:w="4701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333333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333333"/>
                <w:sz w:val="20"/>
                <w:szCs w:val="20"/>
                <w:lang w:val="uk-UA"/>
              </w:rPr>
              <w:t>Обсяг коштів, всього, зокрема:</w:t>
            </w:r>
          </w:p>
        </w:tc>
        <w:tc>
          <w:tcPr>
            <w:tcW w:w="1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val="uk-UA" w:eastAsia="ru-RU"/>
              </w:rPr>
              <w:t>13 000,907</w:t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  <w:lang w:val="uk-UA"/>
              </w:rPr>
              <w:t>12 548,693</w:t>
            </w:r>
          </w:p>
        </w:tc>
        <w:tc>
          <w:tcPr>
            <w:tcW w:w="14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  <w:lang w:val="uk-UA"/>
              </w:rPr>
              <w:t>5,00</w:t>
            </w:r>
          </w:p>
        </w:tc>
        <w:tc>
          <w:tcPr>
            <w:tcW w:w="100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  <w:lang w:val="ru-RU"/>
              </w:rPr>
              <w:t>-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  <w:lang w:val="ru-RU"/>
              </w:rPr>
            </w:r>
          </w:p>
        </w:tc>
        <w:tc>
          <w:tcPr>
            <w:tcW w:w="9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  <w:lang w:val="ru-RU"/>
              </w:rPr>
              <w:t>-</w:t>
            </w:r>
          </w:p>
        </w:tc>
        <w:tc>
          <w:tcPr>
            <w:tcW w:w="24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333333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333333"/>
                <w:sz w:val="20"/>
                <w:szCs w:val="20"/>
                <w:lang w:val="uk-UA"/>
              </w:rPr>
              <w:t>25 554,60</w:t>
            </w:r>
          </w:p>
        </w:tc>
      </w:tr>
      <w:tr>
        <w:trPr>
          <w:trHeight w:val="266" w:hRule="atLeast"/>
        </w:trPr>
        <w:tc>
          <w:tcPr>
            <w:tcW w:w="4701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333333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333333"/>
                <w:sz w:val="20"/>
                <w:szCs w:val="20"/>
                <w:lang w:val="uk-UA"/>
              </w:rPr>
              <w:t>Державний бюджет</w:t>
            </w:r>
          </w:p>
        </w:tc>
        <w:tc>
          <w:tcPr>
            <w:tcW w:w="1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val="uk-UA" w:eastAsia="ru-RU"/>
              </w:rPr>
              <w:t>13 000,907</w:t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val="uk-UA"/>
              </w:rPr>
              <w:t>12 543,693</w:t>
            </w:r>
          </w:p>
        </w:tc>
        <w:tc>
          <w:tcPr>
            <w:tcW w:w="4396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визначається постановою КМУ</w:t>
            </w:r>
          </w:p>
        </w:tc>
        <w:tc>
          <w:tcPr>
            <w:tcW w:w="24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val="uk-UA"/>
              </w:rPr>
              <w:t>25 544,60</w:t>
            </w:r>
          </w:p>
        </w:tc>
      </w:tr>
      <w:tr>
        <w:trPr>
          <w:trHeight w:val="152" w:hRule="atLeast"/>
        </w:trPr>
        <w:tc>
          <w:tcPr>
            <w:tcW w:w="4701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333333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333333"/>
                <w:sz w:val="20"/>
                <w:szCs w:val="20"/>
                <w:lang w:val="uk-UA"/>
              </w:rPr>
              <w:t>Обласний бюджет</w:t>
            </w:r>
          </w:p>
        </w:tc>
        <w:tc>
          <w:tcPr>
            <w:tcW w:w="1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333333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333333"/>
                <w:sz w:val="20"/>
                <w:szCs w:val="20"/>
                <w:lang w:val="uk-UA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333333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333333"/>
                <w:sz w:val="20"/>
                <w:szCs w:val="20"/>
                <w:lang w:val="uk-UA"/>
              </w:rPr>
              <w:t>-</w:t>
            </w:r>
          </w:p>
        </w:tc>
        <w:tc>
          <w:tcPr>
            <w:tcW w:w="14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333333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333333"/>
                <w:sz w:val="20"/>
                <w:szCs w:val="20"/>
                <w:lang w:val="uk-UA"/>
              </w:rPr>
              <w:t>-</w:t>
            </w:r>
          </w:p>
        </w:tc>
        <w:tc>
          <w:tcPr>
            <w:tcW w:w="104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333333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333333"/>
                <w:sz w:val="20"/>
                <w:szCs w:val="20"/>
                <w:lang w:val="uk-UA"/>
              </w:rPr>
              <w:t>-</w:t>
            </w:r>
          </w:p>
        </w:tc>
        <w:tc>
          <w:tcPr>
            <w:tcW w:w="9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333333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333333"/>
                <w:sz w:val="20"/>
                <w:szCs w:val="20"/>
                <w:lang w:val="uk-UA"/>
              </w:rPr>
            </w:r>
          </w:p>
        </w:tc>
        <w:tc>
          <w:tcPr>
            <w:tcW w:w="9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333333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333333"/>
                <w:sz w:val="20"/>
                <w:szCs w:val="20"/>
                <w:lang w:val="uk-UA"/>
              </w:rPr>
              <w:t>-</w:t>
            </w:r>
          </w:p>
        </w:tc>
        <w:tc>
          <w:tcPr>
            <w:tcW w:w="24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333333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333333"/>
                <w:sz w:val="20"/>
                <w:szCs w:val="20"/>
                <w:lang w:val="uk-UA"/>
              </w:rPr>
              <w:t>-</w:t>
            </w:r>
          </w:p>
        </w:tc>
      </w:tr>
      <w:tr>
        <w:trPr>
          <w:trHeight w:val="152" w:hRule="atLeast"/>
        </w:trPr>
        <w:tc>
          <w:tcPr>
            <w:tcW w:w="4701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333333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333333"/>
                <w:sz w:val="20"/>
                <w:szCs w:val="20"/>
                <w:lang w:val="uk-UA"/>
              </w:rPr>
              <w:t>Бюджет Роздільнянської міської територіальної громади</w:t>
            </w:r>
          </w:p>
        </w:tc>
        <w:tc>
          <w:tcPr>
            <w:tcW w:w="1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  <w:lang w:val="uk-UA"/>
              </w:rPr>
              <w:t>5,00</w:t>
            </w:r>
          </w:p>
        </w:tc>
        <w:tc>
          <w:tcPr>
            <w:tcW w:w="14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  <w:lang w:val="uk-UA"/>
              </w:rPr>
              <w:t>5,00</w:t>
            </w:r>
          </w:p>
        </w:tc>
        <w:tc>
          <w:tcPr>
            <w:tcW w:w="104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  <w:lang w:val="ru-RU"/>
              </w:rPr>
              <w:t>-</w:t>
            </w:r>
          </w:p>
        </w:tc>
        <w:tc>
          <w:tcPr>
            <w:tcW w:w="9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  <w:lang w:val="ru-RU"/>
              </w:rPr>
            </w:r>
          </w:p>
        </w:tc>
        <w:tc>
          <w:tcPr>
            <w:tcW w:w="9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  <w:lang w:val="ru-RU"/>
              </w:rPr>
              <w:t>-</w:t>
            </w:r>
          </w:p>
        </w:tc>
        <w:tc>
          <w:tcPr>
            <w:tcW w:w="24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333333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333333"/>
                <w:sz w:val="20"/>
                <w:szCs w:val="20"/>
                <w:lang w:val="uk-UA"/>
              </w:rPr>
              <w:t>10,00</w:t>
            </w:r>
          </w:p>
        </w:tc>
      </w:tr>
      <w:tr>
        <w:trPr>
          <w:trHeight w:val="252" w:hRule="atLeast"/>
        </w:trPr>
        <w:tc>
          <w:tcPr>
            <w:tcW w:w="4701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333333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333333"/>
                <w:sz w:val="20"/>
                <w:szCs w:val="20"/>
                <w:lang w:val="uk-UA"/>
              </w:rPr>
              <w:t>Інші джерела</w:t>
            </w:r>
          </w:p>
        </w:tc>
        <w:tc>
          <w:tcPr>
            <w:tcW w:w="1425" w:type="dxa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1274" w:type="dxa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1415" w:type="dxa"/>
            <w:tcBorders>
              <w:bottom w:val="single" w:sz="6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1049" w:type="dxa"/>
            <w:gridSpan w:val="2"/>
            <w:tcBorders>
              <w:start w:val="single" w:sz="4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935" w:type="dxa"/>
            <w:tcBorders>
              <w:start w:val="single" w:sz="4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</w:r>
          </w:p>
        </w:tc>
        <w:tc>
          <w:tcPr>
            <w:tcW w:w="997" w:type="dxa"/>
            <w:tcBorders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2408" w:type="dxa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-</w:t>
            </w:r>
          </w:p>
        </w:tc>
      </w:tr>
    </w:tbl>
    <w:p>
      <w:pPr>
        <w:pStyle w:val="Normal"/>
        <w:shd w:val="clear" w:color="auto" w:fill="FFFFFF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333333"/>
          <w:sz w:val="24"/>
          <w:szCs w:val="24"/>
          <w:lang w:val="uk-UA"/>
        </w:rPr>
      </w:r>
    </w:p>
    <w:p>
      <w:pPr>
        <w:pStyle w:val="Normal"/>
        <w:shd w:val="clear" w:color="auto" w:fill="FFFFFF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333333"/>
          <w:sz w:val="24"/>
          <w:szCs w:val="24"/>
          <w:lang w:val="uk-UA"/>
        </w:rPr>
      </w:r>
    </w:p>
    <w:p>
      <w:pPr>
        <w:pStyle w:val="Normal"/>
        <w:shd w:val="clear" w:color="auto" w:fill="FFFFFF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333333"/>
          <w:sz w:val="24"/>
          <w:szCs w:val="24"/>
          <w:lang w:val="uk-UA"/>
        </w:rPr>
      </w:r>
    </w:p>
    <w:p>
      <w:pPr>
        <w:pStyle w:val="Normal"/>
        <w:shd w:val="clear" w:color="auto" w:fill="FFFFFF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val="uk-UA"/>
        </w:rPr>
        <w:sectPr>
          <w:type w:val="nextPage"/>
          <w:pgSz w:orient="landscape" w:w="16838" w:h="11906"/>
          <w:pgMar w:left="1418" w:right="850" w:gutter="0" w:header="0" w:top="1417" w:footer="0" w:bottom="850"/>
          <w:pgNumType w:fmt="decimal"/>
          <w:formProt w:val="false"/>
          <w:textDirection w:val="lrTb"/>
          <w:docGrid w:type="default" w:linePitch="360" w:charSpace="0"/>
        </w:sectPr>
      </w:pPr>
      <w:r>
        <w:rPr>
          <w:rFonts w:eastAsia="Times New Roman" w:cs="Times New Roman" w:ascii="Times New Roman" w:hAnsi="Times New Roman"/>
          <w:b/>
          <w:bCs/>
          <w:color w:val="333333"/>
          <w:sz w:val="24"/>
          <w:szCs w:val="24"/>
          <w:lang w:val="uk-UA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val="uk-UA"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val="uk-UA" w:eastAsia="ru-RU"/>
        </w:rPr>
        <w:t>ПОЯСНЮВАЛЬНА ЗАПИСКА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val="uk-UA" w:eastAsia="ru-RU"/>
        </w:rPr>
        <w:t>до проєкту рішення міської ради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val="uk-UA"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val="uk-UA" w:eastAsia="ru-RU"/>
        </w:rPr>
        <w:t>«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val="uk-UA" w:eastAsia="ru-RU"/>
        </w:rPr>
        <w:t>Про внесення змін до Програми забезпечення житлом деяких категорій осіб, які захищали незалежність, суверенітет та територіальну цілісність України, учасників бойових дій на території інших держав, а також членів їх сімей, які мешкають на території Роздільнянської міської територіальної громади на 2025- 2029 роки</w:t>
      </w:r>
      <w:r>
        <w:rPr>
          <w:rFonts w:eastAsia="Times New Roman" w:cs="Times New Roman" w:ascii="Times New Roman" w:hAnsi="Times New Roman"/>
          <w:b/>
          <w:sz w:val="24"/>
          <w:szCs w:val="24"/>
          <w:lang w:val="uk-UA" w:eastAsia="ru-RU"/>
        </w:rPr>
        <w:t>»</w:t>
      </w:r>
    </w:p>
    <w:p>
      <w:pPr>
        <w:pStyle w:val="Normal"/>
        <w:spacing w:lineRule="auto" w:line="240" w:before="0" w:after="0"/>
        <w:ind w:firstLine="567"/>
        <w:jc w:val="center"/>
        <w:rPr>
          <w:rFonts w:ascii="Times New Roman" w:hAnsi="Times New Roman" w:eastAsia="Times New Roman" w:cs="Times New Roman"/>
          <w:b/>
          <w:sz w:val="24"/>
          <w:szCs w:val="24"/>
          <w:lang w:val="uk-UA"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val="uk-UA" w:eastAsia="ru-RU"/>
        </w:rPr>
      </w:r>
    </w:p>
    <w:p>
      <w:pPr>
        <w:pStyle w:val="Normal"/>
        <w:spacing w:lineRule="auto" w:line="276" w:before="0" w:after="0"/>
        <w:ind w:firstLine="567"/>
        <w:jc w:val="both"/>
        <w:rPr>
          <w:rFonts w:ascii="Times New Roman" w:hAnsi="Times New Roman" w:eastAsia="Times New Roman" w:cs="Times New Roman"/>
          <w:b/>
          <w:sz w:val="24"/>
          <w:szCs w:val="24"/>
          <w:lang w:val="uk-UA"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val="uk-UA" w:eastAsia="ru-RU"/>
        </w:rPr>
        <w:t>Потреба і мета прийняття рішення: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uk-UA"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val="uk-UA" w:eastAsia="ru-RU"/>
        </w:rPr>
        <w:t xml:space="preserve">Внесення змін до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val="uk-UA" w:eastAsia="ru-RU"/>
        </w:rPr>
        <w:t>Програми забезпечення житлом деяких категорій осіб, які захищали незалежність, суверенітет та територіальну цілісність України, учасників бойових дій на території інших держав, а також членів їх сімей, які мешкають на території Роздільнянської міської територіальної громади на 2025- 2029 роки</w:t>
      </w:r>
      <w:r>
        <w:rPr>
          <w:rFonts w:eastAsia="Times New Roman" w:cs="Times New Roman" w:ascii="Times New Roman" w:hAnsi="Times New Roman"/>
          <w:sz w:val="24"/>
          <w:szCs w:val="24"/>
          <w:lang w:val="uk-UA" w:eastAsia="ru-RU"/>
        </w:rPr>
        <w:t xml:space="preserve"> (далі – Програма) </w:t>
      </w:r>
      <w:r>
        <w:rPr>
          <w:rFonts w:eastAsia="Times New Roman" w:cs="Times New Roman" w:ascii="Times New Roman" w:hAnsi="Times New Roman"/>
          <w:color w:val="0F1115"/>
          <w:sz w:val="24"/>
          <w:szCs w:val="24"/>
          <w:shd w:fill="FFFFFF" w:val="clear"/>
          <w:lang w:val="uk-UA" w:eastAsia="ru-RU"/>
        </w:rPr>
        <w:t>зумовлене необхідністю приведення обсягів фінансування Програми у відповідність до фактичних асигнувань, передбачених</w:t>
      </w:r>
      <w:r>
        <w:rPr>
          <w:rFonts w:eastAsia="Times New Roman" w:cs="Times New Roman" w:ascii="Times New Roman" w:hAnsi="Times New Roman"/>
          <w:color w:val="0F1115"/>
          <w:sz w:val="24"/>
          <w:szCs w:val="24"/>
          <w:shd w:fill="FFFFFF" w:val="clear"/>
          <w:lang w:val="ru-RU" w:eastAsia="ru-RU"/>
        </w:rPr>
        <w:t> </w:t>
      </w:r>
      <w:r>
        <w:rPr>
          <w:rFonts w:eastAsia="Times New Roman" w:cs="Times New Roman" w:ascii="Times New Roman" w:hAnsi="Times New Roman"/>
          <w:b/>
          <w:bCs/>
          <w:color w:val="0F1115"/>
          <w:sz w:val="24"/>
          <w:szCs w:val="24"/>
          <w:shd w:fill="FFFFFF" w:val="clear"/>
          <w:lang w:val="uk-UA" w:eastAsia="ru-RU"/>
        </w:rPr>
        <w:t>помісячним розписом субвенції з державного бюджету на 2026 рік</w:t>
      </w:r>
      <w:r>
        <w:rPr>
          <w:rFonts w:eastAsia="Times New Roman" w:cs="Times New Roman" w:ascii="Times New Roman" w:hAnsi="Times New Roman"/>
          <w:color w:val="0F1115"/>
          <w:sz w:val="24"/>
          <w:szCs w:val="24"/>
          <w:shd w:fill="FFFFFF" w:val="clear"/>
          <w:lang w:val="uk-UA" w:eastAsia="ru-RU"/>
        </w:rPr>
        <w:t>, доведеним Департаментом фінансів Одеської обласної державної адміністрації (лист від 01.06.2026 № 1169/03/02.03-25/2-26).</w:t>
      </w:r>
    </w:p>
    <w:p>
      <w:pPr>
        <w:pStyle w:val="Normal"/>
        <w:spacing w:lineRule="auto" w:line="276" w:before="0" w:after="200"/>
        <w:jc w:val="both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val="uk-UA"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val="uk-UA" w:eastAsia="ru-RU"/>
        </w:rPr>
        <w:t xml:space="preserve">     </w:t>
      </w:r>
      <w:r>
        <w:rPr>
          <w:rFonts w:eastAsia="Times New Roman" w:cs="Times New Roman" w:ascii="Times New Roman" w:hAnsi="Times New Roman"/>
          <w:sz w:val="24"/>
          <w:szCs w:val="24"/>
          <w:lang w:val="uk-UA" w:eastAsia="ru-RU"/>
        </w:rPr>
        <w:t xml:space="preserve">Запропонований проект рішення спрямований на врегулювання питань щодо забезпечення конституційних прав на житло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val="uk-UA" w:eastAsia="ru-RU"/>
        </w:rPr>
        <w:t>деяких категорій осіб, які захищали незалежність, суверенітет та територіальну цілісність України. Зокрема рішення передбачає збільшення видатків для здійснення виплати грошової компенсації за належні для отримання жилі приміщення, а саме:</w:t>
      </w:r>
    </w:p>
    <w:p>
      <w:pPr>
        <w:pStyle w:val="Normal"/>
        <w:spacing w:lineRule="auto" w:line="276" w:before="0" w:after="200"/>
        <w:jc w:val="both"/>
        <w:rPr>
          <w:rFonts w:ascii="Times New Roman" w:hAnsi="Times New Roman" w:eastAsia="Times New Roman" w:cs="Times New Roman"/>
          <w:b/>
          <w:sz w:val="24"/>
          <w:szCs w:val="24"/>
          <w:lang w:val="uk-UA"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val="uk-UA" w:eastAsia="ru-RU"/>
        </w:rPr>
        <w:t xml:space="preserve"> </w:t>
      </w:r>
      <w:r>
        <w:rPr>
          <w:rFonts w:eastAsia="Times New Roman" w:cs="Times New Roman" w:ascii="Times New Roman" w:hAnsi="Times New Roman"/>
          <w:b/>
          <w:sz w:val="24"/>
          <w:szCs w:val="24"/>
          <w:lang w:val="uk-UA" w:eastAsia="ru-RU"/>
        </w:rPr>
        <w:t>Збільшення видатків за напрямом :</w:t>
      </w:r>
    </w:p>
    <w:p>
      <w:pPr>
        <w:pStyle w:val="Normal"/>
        <w:numPr>
          <w:ilvl w:val="0"/>
          <w:numId w:val="2"/>
        </w:numPr>
        <w:spacing w:lineRule="auto" w:line="276" w:before="0" w:after="200"/>
        <w:contextualSpacing/>
        <w:jc w:val="both"/>
        <w:rPr>
          <w:rFonts w:ascii="Times New Roman" w:hAnsi="Times New Roman" w:eastAsia="Calibri" w:cs="Times New Roman"/>
          <w:b/>
          <w:sz w:val="24"/>
          <w:szCs w:val="24"/>
          <w:lang w:val="uk-UA"/>
        </w:rPr>
      </w:pPr>
      <w:r>
        <w:rPr>
          <w:rFonts w:eastAsia="Calibri" w:cs="Times New Roman" w:ascii="Times New Roman" w:hAnsi="Times New Roman"/>
          <w:sz w:val="24"/>
          <w:szCs w:val="24"/>
          <w:lang w:val="uk-UA"/>
        </w:rPr>
        <w:t xml:space="preserve">Виплата грошової компенсації за належні для отримання жилі приміщення членам сімей осіб, визначених абзацами п’ятим – восьмим пункту 1 статті 10 Закону України “Про статус ветеранів війни, гарантії їх соціального захисту”, особам з інвалідністю </w:t>
      </w:r>
      <w:r>
        <w:rPr>
          <w:rFonts w:eastAsia="Calibri" w:cs="Times New Roman" w:ascii="Times New Roman" w:hAnsi="Times New Roman"/>
          <w:sz w:val="24"/>
          <w:szCs w:val="24"/>
          <w:lang w:val="ru-RU"/>
        </w:rPr>
        <w:t>I</w:t>
      </w:r>
      <w:r>
        <w:rPr>
          <w:rFonts w:eastAsia="Calibri" w:cs="Times New Roman" w:ascii="Times New Roman" w:hAnsi="Times New Roman"/>
          <w:sz w:val="24"/>
          <w:szCs w:val="24"/>
          <w:lang w:val="uk-UA"/>
        </w:rPr>
        <w:t>-</w:t>
      </w:r>
      <w:r>
        <w:rPr>
          <w:rFonts w:eastAsia="Calibri" w:cs="Times New Roman" w:ascii="Times New Roman" w:hAnsi="Times New Roman"/>
          <w:sz w:val="24"/>
          <w:szCs w:val="24"/>
          <w:lang w:val="ru-RU"/>
        </w:rPr>
        <w:t>II</w:t>
      </w:r>
      <w:r>
        <w:rPr>
          <w:rFonts w:eastAsia="Calibri" w:cs="Times New Roman" w:ascii="Times New Roman" w:hAnsi="Times New Roman"/>
          <w:sz w:val="24"/>
          <w:szCs w:val="24"/>
          <w:lang w:val="uk-UA"/>
        </w:rPr>
        <w:t xml:space="preserve"> групи, яка настала внаслідок поранення, контузії, каліцтва або захворювання, одержаних під час безпосередньої участі в антитерористичній операції, забезпеченні її проведення чи здійсненні заходів із забезпечення національної безпеки і оборони, відсічі і стримування збройної агресії Російської Федерації у Донецькій та Луганській областях, забезпеченні їх здійснення, визначених пунктами 11-14 частини другої статті 7 Закону України “Про статус ветеранів війни, гарантії їх соціального захисту”, та які потребують поліпшення житлових умов і перебувають на квартирному обліку </w:t>
      </w:r>
      <w:r>
        <w:rPr>
          <w:rFonts w:eastAsia="Calibri" w:cs="Times New Roman" w:ascii="Times New Roman" w:hAnsi="Times New Roman"/>
          <w:bCs/>
          <w:iCs/>
          <w:sz w:val="24"/>
          <w:szCs w:val="24"/>
          <w:lang w:val="uk-UA"/>
        </w:rPr>
        <w:t xml:space="preserve">– </w:t>
      </w:r>
      <w:r>
        <w:rPr>
          <w:rFonts w:eastAsia="Calibri" w:cs="Times New Roman" w:ascii="Times New Roman" w:hAnsi="Times New Roman"/>
          <w:b/>
          <w:bCs/>
          <w:iCs/>
          <w:sz w:val="24"/>
          <w:szCs w:val="24"/>
          <w:lang w:val="uk-UA"/>
        </w:rPr>
        <w:t>12543,693 тис. грн..</w:t>
      </w:r>
    </w:p>
    <w:p>
      <w:pPr>
        <w:pStyle w:val="Normal"/>
        <w:spacing w:lineRule="auto" w:line="276" w:before="0" w:after="200"/>
        <w:ind w:start="720"/>
        <w:contextualSpacing/>
        <w:jc w:val="both"/>
        <w:rPr>
          <w:rFonts w:ascii="Times New Roman" w:hAnsi="Times New Roman" w:eastAsia="Calibri" w:cs="Times New Roman"/>
          <w:sz w:val="24"/>
          <w:szCs w:val="24"/>
          <w:lang w:val="uk-UA"/>
        </w:rPr>
      </w:pPr>
      <w:r>
        <w:rPr>
          <w:rFonts w:eastAsia="Calibri" w:cs="Times New Roman" w:ascii="Times New Roman" w:hAnsi="Times New Roman"/>
          <w:sz w:val="24"/>
          <w:szCs w:val="24"/>
          <w:lang w:val="uk-UA"/>
        </w:rPr>
      </w:r>
    </w:p>
    <w:p>
      <w:pPr>
        <w:pStyle w:val="Normal"/>
        <w:spacing w:lineRule="auto" w:line="276" w:before="0" w:after="0"/>
        <w:ind w:firstLine="567"/>
        <w:jc w:val="both"/>
        <w:rPr>
          <w:rFonts w:ascii="Times New Roman" w:hAnsi="Times New Roman" w:eastAsia="Times New Roman" w:cs="Times New Roman"/>
          <w:b/>
          <w:sz w:val="24"/>
          <w:szCs w:val="24"/>
          <w:lang w:val="uk-UA"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val="uk-UA" w:eastAsia="ru-RU"/>
        </w:rPr>
        <w:t>Прогнозовані суспільні, економічні, фінансові наслідки прийняття рішення:</w:t>
      </w:r>
    </w:p>
    <w:p>
      <w:pPr>
        <w:pStyle w:val="Normal"/>
        <w:spacing w:lineRule="auto" w:line="276" w:before="0" w:after="0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val="uk-UA"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val="uk-UA" w:eastAsia="ru-RU"/>
        </w:rPr>
        <w:t>Внесення змін до Програми надасть можливість забезпечити реалізацію одного з найважливіших зобов’язань держави та громади перед ветеранами війни та родинами загиблих героїв.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sz w:val="24"/>
          <w:szCs w:val="24"/>
          <w:lang w:val="uk-UA"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val="uk-UA"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sz w:val="24"/>
          <w:szCs w:val="24"/>
          <w:lang w:val="uk-UA"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val="uk-UA" w:eastAsia="ru-RU"/>
        </w:rPr>
        <w:t>Начальник відділу                                                                                   Наталія ЄЛІЗАРОВА</w:t>
      </w:r>
    </w:p>
    <w:p>
      <w:pPr>
        <w:pStyle w:val="Normal"/>
        <w:shd w:val="clear" w:color="auto" w:fill="FFFFFF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val="uk-UA"/>
        </w:rPr>
      </w:pPr>
      <w:r>
        <w:rPr>
          <w:rFonts w:cs="Times New Roman" w:ascii="Times New Roman" w:hAnsi="Times New Roman"/>
          <w:sz w:val="24"/>
          <w:szCs w:val="24"/>
          <w:lang w:val="uk-UA"/>
        </w:rPr>
      </w:r>
    </w:p>
    <w:sectPr>
      <w:type w:val="nextPage"/>
      <w:pgSz w:w="11906" w:h="16838"/>
      <w:pgMar w:left="1417" w:right="850" w:gutter="0" w:header="0" w:top="850" w:footer="0" w:bottom="141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Cambria">
    <w:charset w:val="cc" w:characterSet="windows-1251"/>
    <w:family w:val="roman"/>
    <w:pitch w:val="variable"/>
  </w:font>
  <w:font w:name="Tahoma">
    <w:charset w:val="cc" w:characterSet="windows-1251"/>
    <w:family w:val="swiss"/>
    <w:pitch w:val="variable"/>
  </w:font>
  <w:font w:name="Liberation Sans">
    <w:altName w:val="Arial"/>
    <w:charset w:val="cc" w:characterSet="windows-1251"/>
    <w:family w:val="swiss"/>
    <w:pitch w:val="variable"/>
  </w:font>
  <w:font w:name="Times New Roman">
    <w:charset w:val="cc" w:characterSet="windows-1251"/>
    <w:family w:val="roman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upperRoman"/>
      <w:lvlText w:val="%1."/>
      <w:lvlJc w:val="end"/>
      <w:pPr>
        <w:tabs>
          <w:tab w:val="num" w:pos="0"/>
        </w:tabs>
        <w:ind w:start="644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">
    <w:lvl w:ilvl="0">
      <w:start w:val="2018"/>
      <w:numFmt w:val="bullet"/>
      <w:lvlText w:val="-"/>
      <w:lvlJc w:val="start"/>
      <w:pPr>
        <w:tabs>
          <w:tab w:val="num" w:pos="0"/>
        </w:tabs>
        <w:ind w:star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88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uk-U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b8602a"/>
    <w:pPr>
      <w:widowControl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d03ece"/>
    <w:pPr>
      <w:keepNext w:val="true"/>
      <w:keepLines/>
      <w:spacing w:before="40" w:after="0"/>
      <w:outlineLvl w:val="1"/>
    </w:pPr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 w:customStyle="1">
    <w:name w:val="Текст выноски Знак"/>
    <w:basedOn w:val="DefaultParagraphFont"/>
    <w:link w:val="BalloonText"/>
    <w:uiPriority w:val="99"/>
    <w:semiHidden/>
    <w:qFormat/>
    <w:rsid w:val="008f18de"/>
    <w:rPr>
      <w:rFonts w:ascii="Tahoma" w:hAnsi="Tahoma" w:cs="Tahoma"/>
      <w:sz w:val="16"/>
      <w:szCs w:val="16"/>
      <w:lang w:val="en-US"/>
    </w:rPr>
  </w:style>
  <w:style w:type="character" w:styleId="2" w:customStyle="1">
    <w:name w:val="Заголовок 2 Знак"/>
    <w:basedOn w:val="DefaultParagraphFont"/>
    <w:uiPriority w:val="9"/>
    <w:semiHidden/>
    <w:qFormat/>
    <w:rsid w:val="00d03ece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26"/>
      <w:szCs w:val="26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bf7901"/>
    <w:rPr>
      <w:color w:val="0000FF"/>
      <w:u w:val="single"/>
    </w:rPr>
  </w:style>
  <w:style w:type="character" w:styleId="hard-blue-color" w:customStyle="1">
    <w:name w:val="hard-blue-color"/>
    <w:basedOn w:val="DefaultParagraphFont"/>
    <w:qFormat/>
    <w:rsid w:val="00bf7901"/>
    <w:rPr/>
  </w:style>
  <w:style w:type="character" w:styleId="docdata" w:customStyle="1">
    <w:name w:val="docdata"/>
    <w:basedOn w:val="DefaultParagraphFont"/>
    <w:qFormat/>
    <w:rsid w:val="00546a6c"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Покажчик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Style13"/>
    <w:uiPriority w:val="99"/>
    <w:semiHidden/>
    <w:unhideWhenUsed/>
    <w:qFormat/>
    <w:rsid w:val="008f18de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8f18de"/>
    <w:pPr>
      <w:widowControl/>
      <w:bidi w:val="0"/>
      <w:spacing w:lineRule="auto" w:line="240" w:before="0" w:after="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paragraph" w:styleId="NormalWeb">
    <w:name w:val="Normal (Web)"/>
    <w:basedOn w:val="Normal"/>
    <w:uiPriority w:val="99"/>
    <w:unhideWhenUsed/>
    <w:qFormat/>
    <w:rsid w:val="00096c06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04306"/>
    <w:pPr>
      <w:spacing w:before="0" w:after="160"/>
      <w:ind w:start="720"/>
      <w:contextualSpacing/>
    </w:pPr>
    <w:rPr/>
  </w:style>
  <w:style w:type="paragraph" w:styleId="Style16">
    <w:name w:val="Вміст рамки"/>
    <w:basedOn w:val="Normal"/>
    <w:qFormat/>
    <w:pPr/>
    <w:rPr/>
  </w:style>
  <w:style w:type="numbering" w:styleId="Style17" w:default="1">
    <w:name w:val="Без маркерів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C9F323-EC0D-4C11-BFD4-5A3BB67F3D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Application>LibreOffice/26.2.4.2$Windows_x86 LibreOffice_project/0229ac93fcf0d7cbc6376066c6f35021cef002dc</Application>
  <AppVersion>15.0000</AppVersion>
  <Pages>10</Pages>
  <Words>1729</Words>
  <Characters>10611</Characters>
  <CharactersWithSpaces>13526</CharactersWithSpaces>
  <Paragraphs>398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2025-06-05T12:34:00Z</dcterms:created>
  <dc:creator>Масяня</dc:creator>
  <dc:description/>
  <dc:language>uk-UA</dc:language>
  <cp:lastModifiedBy/>
  <cp:lastPrinted>2026-06-30T12:59:00Z</cp:lastPrinted>
  <dcterms:modified xsi:type="dcterms:W3CDTF">2026-07-07T16:18:48Z</dcterms:modified>
  <cp:revision>60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