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sz w:val="24"/>
          <w:szCs w:val="24"/>
          <w:lang w:eastAsia="ru-RU"/>
        </w:rPr>
      </w:pPr>
      <w:r>
        <w:rPr>
          <w:rFonts w:eastAsia="Calibri"/>
          <w:b/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ПАСПОРТ ПРОГРАМИ</w:t>
      </w:r>
    </w:p>
    <w:p>
      <w:pPr>
        <w:pStyle w:val="Normal"/>
        <w:suppressAutoHyphens w:val="false"/>
        <w:spacing w:before="0" w:after="0"/>
        <w:ind w:start="360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Програма соціальної підтримки населення Роздільнянської міської територіальної громади на 2025-2027 роки</w:t>
      </w:r>
    </w:p>
    <w:tbl>
      <w:tblPr>
        <w:tblpPr w:vertAnchor="text" w:horzAnchor="margin" w:tblpXSpec="center" w:leftFromText="180" w:rightFromText="180" w:tblpY="250"/>
        <w:tblW w:w="1020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727"/>
        <w:gridCol w:w="3435"/>
        <w:gridCol w:w="6043"/>
      </w:tblGrid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ind w:firstLine="18" w:start="-1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Ініціатор розроблення Програми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Розпорядження міського голови від 22.11.2024 №373/од-2024 « Про розробку проєкту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Програми соціальної підтримки населення Роздільнянської міської територіальної громади на 2025-2027 роки»</w:t>
            </w:r>
          </w:p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Розробник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Відповідальний виконавець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>
          <w:trHeight w:val="621" w:hRule="atLeast"/>
        </w:trPr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Організації-співвиконавці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Відділ «Центр надання адміністративних послуг» Роздільнянської міської ради, </w:t>
            </w:r>
          </w:p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КП  «Роздільнянський міський водоканал»,            Єреміївське КП « Мрія», КП « Виноградарське»,</w:t>
            </w:r>
          </w:p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КУ «Територіальний центр соціального обслуговування(надання соціальних послуг)» Роздільнянської міської ради, Фінансове управління Роздільнянської міської ради</w:t>
            </w:r>
          </w:p>
        </w:tc>
      </w:tr>
      <w:tr>
        <w:trPr>
          <w:trHeight w:val="621" w:hRule="atLeast"/>
        </w:trPr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Мета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bCs/>
                <w:color w:val="202124"/>
                <w:sz w:val="24"/>
                <w:szCs w:val="24"/>
                <w:shd w:fill="FFFFFF" w:val="clear"/>
              </w:rPr>
              <w:t>Забезпеченні належного рівня та якості життя населення</w:t>
            </w:r>
            <w:r>
              <w:rPr>
                <w:color w:val="202124"/>
                <w:sz w:val="24"/>
                <w:szCs w:val="24"/>
                <w:shd w:fill="FFFFFF" w:val="clear"/>
              </w:rPr>
              <w:t>, шляхом надання</w:t>
            </w:r>
            <w:r>
              <w:rPr>
                <w:sz w:val="24"/>
                <w:szCs w:val="24"/>
              </w:rPr>
              <w:t xml:space="preserve"> додаткових до встановлених законодавством гарантій соціальної підтримки окремих категорій мешканців Роздільнянської міської територіальної громади.</w:t>
            </w:r>
          </w:p>
          <w:p>
            <w:pPr>
              <w:pStyle w:val="Normal"/>
              <w:suppressAutoHyphens w:val="false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621" w:hRule="atLeast"/>
        </w:trPr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3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Термін реалізації Програми</w:t>
            </w:r>
          </w:p>
        </w:tc>
        <w:tc>
          <w:tcPr>
            <w:tcW w:w="60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 етап: 2025-2027 роки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7 900,476</w:t>
            </w:r>
            <w:r>
              <w:rPr>
                <w:color w:val="000000"/>
                <w:sz w:val="24"/>
                <w:szCs w:val="24"/>
                <w:lang w:eastAsia="ru-RU"/>
              </w:rPr>
              <w:t>тис. грн.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7 900,476 </w:t>
            </w:r>
            <w:r>
              <w:rPr>
                <w:sz w:val="24"/>
                <w:szCs w:val="24"/>
                <w:lang w:eastAsia="ru-RU"/>
              </w:rPr>
              <w:t>тис. грн.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 тому числі: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державного бюджету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обласного бюджету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бюджету Роздільнянської міської ради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7 900,476 </w:t>
            </w:r>
            <w:r>
              <w:rPr>
                <w:sz w:val="24"/>
                <w:szCs w:val="24"/>
                <w:lang w:eastAsia="ru-RU"/>
              </w:rPr>
              <w:t>тис. грн.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інших джерел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Очікувані результати виконання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Зниження соціальної напруги серед пільгових категорій громадян , мешканців Роздільнянської міської територіальної громади.</w:t>
            </w:r>
          </w:p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Врегулювання питань  порядку поховання одиноких громадян.</w:t>
            </w:r>
          </w:p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Забезпечення виконання державних гарантій соціальної сфери в громаді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Ключові показники ефективності</w:t>
            </w:r>
          </w:p>
        </w:tc>
        <w:tc>
          <w:tcPr>
            <w:tcW w:w="60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Частка охоплених  окремих пільгових категорій осіб послугами  до загальної чисельності населення громади</w:t>
            </w:r>
          </w:p>
        </w:tc>
      </w:tr>
    </w:tbl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0"/>
        <w:ind w:firstLine="567"/>
        <w:jc w:val="both"/>
        <w:rPr>
          <w:b/>
          <w:bCs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rPr>
          <w:b/>
          <w:bCs/>
        </w:rPr>
      </w:r>
    </w:p>
    <w:p>
      <w:pPr>
        <w:pStyle w:val="Normal"/>
        <w:suppressAutoHyphens w:val="false"/>
        <w:jc w:val="end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Додаток 3</w:t>
      </w:r>
    </w:p>
    <w:p>
      <w:pPr>
        <w:pStyle w:val="Normal"/>
        <w:suppressAutoHyphens w:val="false"/>
        <w:ind w:firstLine="708"/>
        <w:jc w:val="end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до Програми </w:t>
      </w:r>
    </w:p>
    <w:p>
      <w:pPr>
        <w:pStyle w:val="Normal"/>
        <w:suppressAutoHyphens w:val="false"/>
        <w:ind w:firstLine="708"/>
        <w:jc w:val="both"/>
        <w:rPr>
          <w:rFonts w:ascii="TimesNewRomanPSMT" w:hAnsi="TimesNewRomanPSMT" w:eastAsia="Calibri"/>
          <w:color w:val="000000"/>
          <w:sz w:val="24"/>
          <w:szCs w:val="24"/>
          <w:lang w:eastAsia="en-US"/>
        </w:rPr>
      </w:pPr>
      <w:r>
        <w:rPr>
          <w:rFonts w:eastAsia="Calibri" w:ascii="TimesNewRomanPSMT" w:hAnsi="TimesNewRomanPSMT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ind w:firstLine="708"/>
        <w:jc w:val="both"/>
        <w:rPr>
          <w:rFonts w:ascii="TimesNewRomanPSMT" w:hAnsi="TimesNewRomanPSMT" w:eastAsia="Calibri"/>
          <w:color w:val="000000"/>
          <w:sz w:val="24"/>
          <w:szCs w:val="24"/>
          <w:lang w:eastAsia="en-US"/>
        </w:rPr>
      </w:pPr>
      <w:r>
        <w:rPr>
          <w:rFonts w:eastAsia="Calibri" w:ascii="TimesNewRomanPSMT" w:hAnsi="TimesNewRomanPSMT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ind w:firstLine="708"/>
        <w:jc w:val="both"/>
        <w:rPr>
          <w:rFonts w:ascii="TimesNewRomanPSMT" w:hAnsi="TimesNewRomanPSMT" w:eastAsia="Calibri"/>
          <w:color w:val="000000"/>
          <w:sz w:val="24"/>
          <w:szCs w:val="24"/>
          <w:lang w:eastAsia="en-US"/>
        </w:rPr>
      </w:pPr>
      <w:r>
        <w:rPr>
          <w:rFonts w:eastAsia="Calibri" w:ascii="TimesNewRomanPSMT" w:hAnsi="TimesNewRomanPSMT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ind w:firstLine="708"/>
        <w:jc w:val="center"/>
        <w:rPr>
          <w:rFonts w:ascii="TimesNewRomanPSMT" w:hAnsi="TimesNewRomanPSMT" w:eastAsia="Calibri"/>
          <w:b/>
          <w:color w:val="000000"/>
          <w:lang w:eastAsia="en-US"/>
        </w:rPr>
      </w:pPr>
      <w:r>
        <w:rPr>
          <w:rFonts w:eastAsia="Calibri" w:ascii="TimesNewRomanPSMT" w:hAnsi="TimesNewRomanPSMT"/>
          <w:b/>
          <w:color w:val="000000"/>
          <w:lang w:eastAsia="en-US"/>
        </w:rPr>
        <w:t>Ресурсне забезпечення</w:t>
      </w:r>
    </w:p>
    <w:p>
      <w:pPr>
        <w:pStyle w:val="Normal"/>
        <w:suppressAutoHyphens w:val="false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програми соціальної підтримки населення Роздільнянської міської територіальної громади на 2025-2027 роки</w:t>
      </w:r>
    </w:p>
    <w:p>
      <w:pPr>
        <w:pStyle w:val="Normal"/>
        <w:suppressAutoHyphens w:val="false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tbl>
      <w:tblPr>
        <w:tblW w:w="15055" w:type="dxa"/>
        <w:jc w:val="start"/>
        <w:tblInd w:w="-3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3289"/>
        <w:gridCol w:w="1843"/>
        <w:gridCol w:w="1559"/>
        <w:gridCol w:w="1985"/>
        <w:gridCol w:w="1701"/>
        <w:gridCol w:w="1701"/>
        <w:gridCol w:w="2977"/>
      </w:tblGrid>
      <w:tr>
        <w:trPr>
          <w:trHeight w:val="525" w:hRule="atLeast"/>
        </w:trPr>
        <w:tc>
          <w:tcPr>
            <w:tcW w:w="328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Обсяг коштів, що пропонується залучити на виконання Програми 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Етапи виконання Програми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Всього витрат на виконання Програми(тис.грн)</w:t>
            </w:r>
          </w:p>
        </w:tc>
      </w:tr>
      <w:tr>
        <w:trPr>
          <w:trHeight w:val="353" w:hRule="atLeast"/>
        </w:trPr>
        <w:tc>
          <w:tcPr>
            <w:tcW w:w="328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97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39" w:hRule="atLeast"/>
        </w:trPr>
        <w:tc>
          <w:tcPr>
            <w:tcW w:w="328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(20_- 20_ роки)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(20_- 20_ роки)</w:t>
            </w:r>
          </w:p>
        </w:tc>
        <w:tc>
          <w:tcPr>
            <w:tcW w:w="297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93" w:hRule="atLeast"/>
        </w:trPr>
        <w:tc>
          <w:tcPr>
            <w:tcW w:w="3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</w:tr>
      <w:tr>
        <w:trPr>
          <w:trHeight w:val="535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Обсяг коштів, всього, зокрема: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2419,476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3017,00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2464,00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7900,476</w:t>
            </w:r>
          </w:p>
        </w:tc>
      </w:tr>
      <w:tr>
        <w:trPr>
          <w:trHeight w:val="266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Державний бюджет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</w:tr>
      <w:tr>
        <w:trPr>
          <w:trHeight w:val="152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152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Роздільнянської міської територіальної громади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2419,476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3017,00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2464,00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7900,476</w:t>
            </w:r>
          </w:p>
        </w:tc>
      </w:tr>
      <w:tr>
        <w:trPr>
          <w:trHeight w:val="252" w:hRule="atLeast"/>
        </w:trPr>
        <w:tc>
          <w:tcPr>
            <w:tcW w:w="32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Інші джерела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>
      <w:pPr>
        <w:pStyle w:val="Normal"/>
        <w:suppressAutoHyphens w:val="false"/>
        <w:ind w:firstLine="792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5" w:leader="none"/>
        </w:tabs>
        <w:suppressAutoHyphens w:val="false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5" w:leader="none"/>
        </w:tabs>
        <w:suppressAutoHyphens w:val="false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5" w:leader="none"/>
        </w:tabs>
        <w:suppressAutoHyphens w:val="false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rPr>
          <w:bCs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 w:eastAsia="ru-RU"/>
        </w:rPr>
      </w:r>
    </w:p>
    <w:p>
      <w:pPr>
        <w:pStyle w:val="Normal"/>
        <w:suppressAutoHyphens w:val="false"/>
        <w:jc w:val="end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Додаток 2</w:t>
      </w:r>
    </w:p>
    <w:p>
      <w:pPr>
        <w:pStyle w:val="Normal"/>
        <w:suppressAutoHyphens w:val="false"/>
        <w:jc w:val="end"/>
        <w:rPr>
          <w:b/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                         </w:t>
      </w:r>
      <w:r>
        <w:rPr>
          <w:bCs/>
          <w:sz w:val="24"/>
          <w:szCs w:val="24"/>
          <w:lang w:eastAsia="ru-RU"/>
        </w:rPr>
        <w:t>до Програми</w:t>
      </w:r>
      <w:r>
        <w:rPr>
          <w:b/>
          <w:bCs/>
          <w:sz w:val="24"/>
          <w:szCs w:val="24"/>
          <w:lang w:eastAsia="ru-RU"/>
        </w:rPr>
        <w:tab/>
      </w:r>
    </w:p>
    <w:p>
      <w:pPr>
        <w:pStyle w:val="Normal"/>
        <w:suppressAutoHyphens w:val="false"/>
        <w:jc w:val="end"/>
        <w:rPr>
          <w:b/>
          <w:bCs/>
          <w:i/>
          <w:sz w:val="24"/>
          <w:szCs w:val="24"/>
          <w:lang w:eastAsia="ru-RU"/>
        </w:rPr>
      </w:pPr>
      <w:r>
        <w:rPr>
          <w:b/>
          <w:bCs/>
          <w:i/>
          <w:sz w:val="24"/>
          <w:szCs w:val="24"/>
          <w:lang w:eastAsia="ru-RU"/>
        </w:rPr>
      </w:r>
    </w:p>
    <w:p>
      <w:pPr>
        <w:pStyle w:val="Normal"/>
        <w:suppressAutoHyphens w:val="false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uppressAutoHyphens w:val="false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Показники результативності програми</w:t>
      </w:r>
    </w:p>
    <w:p>
      <w:pPr>
        <w:pStyle w:val="Normal"/>
        <w:suppressAutoHyphens w:val="false"/>
        <w:jc w:val="center"/>
        <w:rPr>
          <w:color w:val="000000"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програми соціальної підтримки населення Роздільнянської міської територіальної громади на 2025-2027 роки</w:t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tbl>
      <w:tblPr>
        <w:tblW w:w="13861" w:type="dxa"/>
        <w:jc w:val="start"/>
        <w:tblInd w:w="45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18"/>
        <w:gridCol w:w="2363"/>
        <w:gridCol w:w="1790"/>
        <w:gridCol w:w="1755"/>
        <w:gridCol w:w="1760"/>
        <w:gridCol w:w="1794"/>
        <w:gridCol w:w="1652"/>
        <w:gridCol w:w="44"/>
        <w:gridCol w:w="89"/>
        <w:gridCol w:w="859"/>
        <w:gridCol w:w="200"/>
        <w:gridCol w:w="1137"/>
      </w:tblGrid>
      <w:tr>
        <w:trPr/>
        <w:tc>
          <w:tcPr>
            <w:tcW w:w="41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6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Найменування</w:t>
            </w:r>
          </w:p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показника</w:t>
            </w:r>
          </w:p>
        </w:tc>
        <w:tc>
          <w:tcPr>
            <w:tcW w:w="179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Одиниця</w:t>
            </w:r>
          </w:p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виміру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Вихідні дані на початок дії Програми</w:t>
            </w:r>
          </w:p>
        </w:tc>
        <w:tc>
          <w:tcPr>
            <w:tcW w:w="525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І етап виконання Програми</w:t>
            </w:r>
          </w:p>
        </w:tc>
        <w:tc>
          <w:tcPr>
            <w:tcW w:w="1148" w:type="dxa"/>
            <w:gridSpan w:val="3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uppressAutoHyphens w:val="false"/>
              <w:spacing w:lineRule="auto" w:line="259" w:before="0" w:after="160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II етап (20_- 20_ роки)</w:t>
            </w:r>
          </w:p>
        </w:tc>
        <w:tc>
          <w:tcPr>
            <w:tcW w:w="11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uppressAutoHyphens w:val="false"/>
              <w:spacing w:lineRule="auto" w:line="259" w:before="0" w:after="160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III етап (20_- 20_ роки)</w:t>
            </w:r>
          </w:p>
        </w:tc>
      </w:tr>
      <w:tr>
        <w:trPr>
          <w:trHeight w:val="286" w:hRule="atLeast"/>
        </w:trPr>
        <w:tc>
          <w:tcPr>
            <w:tcW w:w="41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36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</w:tc>
      </w:tr>
      <w:tr>
        <w:trPr>
          <w:trHeight w:val="286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</w:tr>
      <w:tr>
        <w:trPr>
          <w:trHeight w:val="451" w:hRule="atLeast"/>
        </w:trPr>
        <w:tc>
          <w:tcPr>
            <w:tcW w:w="138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І. Показник затрат</w:t>
            </w:r>
          </w:p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Надання матеріальна(натуральна) допомога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3 249 000,00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1 019 000,00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1 320 000,00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1 115 000,00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Надання матеріальної допомоги на поховання осіб працездатного віку , які на момент смерті не працювали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50 000,00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50 000,00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Відшкодування на поховання померлих одиноких громадян, осіб без певного місця проживання, громадян, від поховання яких відмовилися рідні; знайдених невпізнаних трупів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84 600,00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Витрати на </w:t>
            </w:r>
            <w:r>
              <w:rPr>
                <w:sz w:val="20"/>
                <w:szCs w:val="20"/>
              </w:rPr>
              <w:t>виплати компенсації фізичним особам, які надають соціальні послуги з догляду на непрофесійній основі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3 780 000,00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1 260 000,00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1 400 000,00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1 260 000,00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818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Витрати на придбання посвідчень багатодітної сім'ї і дітей з такої сім'ї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5876,00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818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Відшкодування витрат </w:t>
            </w:r>
            <w:r>
              <w:rPr>
                <w:sz w:val="20"/>
                <w:szCs w:val="20"/>
              </w:rPr>
              <w:t>за пільгові послуги зв'язку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Загальна чисельність</w:t>
            </w:r>
          </w:p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населення громади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32101</w:t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32101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31863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31863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Загальна чисельність родин, які отримали</w:t>
            </w:r>
          </w:p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статусу багатодітної сім'ї і дітей з такої сім'ї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Загальна чисельність громадян пільгової категорії , які мають право на пільги з послуг зв’язку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ос.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місяців надання послуги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міс.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Обсяг наданої  матеріальної допомоги населенню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2 900 000,00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2 455 000,00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highlight w:val="yellow"/>
                <w:lang w:eastAsia="ru-RU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highlight w:val="yellow"/>
                <w:lang w:eastAsia="ru-RU"/>
              </w:rPr>
            </w:r>
          </w:p>
        </w:tc>
      </w:tr>
      <w:tr>
        <w:trPr/>
        <w:tc>
          <w:tcPr>
            <w:tcW w:w="138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II. Показники продукту</w:t>
            </w:r>
          </w:p>
        </w:tc>
      </w:tr>
      <w:tr>
        <w:trPr>
          <w:trHeight w:val="689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отримувачів матеріальної допомоги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413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звернень для отримання матеріальної допомоги на поховання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</w:t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413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звернень відшкодування витрат на поховання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           </w:t>
            </w: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            </w:t>
            </w: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i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звернень для отримання соціальної послуги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звернень для отримання посвідчень багатодітної родини, посвідчень дітей з багатодітної родини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Кількість отримувачів послуг  зв’язку 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Кількість надавачів соціальних послуг за програмою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од.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Соціальні послуги запроваджено в громаді через програму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од.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/>
        <w:tc>
          <w:tcPr>
            <w:tcW w:w="138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ІІІ. Показник ефективності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Затрати на 1 послугу з надання матеріальної (натуральної) допомоги 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4247,06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4 159,18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4 400,00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4 288,46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Затрати на 1 послугу з надання матеріальної допомоги на поховання 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Відшкодування витрат на одне поховання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3 333,33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11 400,00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i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Затрати на 1 компенсацію з надання соціальних послуг в місяць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2100,00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2100,00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2100,00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2100,00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Затрати на 1 посвідчення посвідчень багатодітної родини, посвідчень дітей з багатодітної родини 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85,16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Відшкодування витрат на послуги зв’язку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грн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2250,00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2250,00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138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b/>
                <w:sz w:val="20"/>
                <w:szCs w:val="20"/>
                <w:lang w:eastAsia="ru-RU"/>
              </w:rPr>
              <w:t>IV. Показники якості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Охоплення  окремих пільгових категорій осіб, які отримали матеріальну (натуральну) допомогу до загальної чисельності населення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Охоплення  окремих пільгових категорій осіб, які отримали допомогу на поховання до загальної чисельності населення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Охоплення  окремих пільгових категорій осіб(одиноких громадян, осіб без певного місця проживання, громадян, від поховання яких відмовилися рідні; знайдених невпізнаних трупів), за яких отримали відшкодування на поховання до загальної чисельності населення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Відсоток охоплення  загальної чисельності  родин, які отримали</w:t>
            </w:r>
          </w:p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статусу багатодітної сім'ї і дітей з такої сім'ї до кількості звернень за отриманням посвідчень багатодітних сімей та дітей з багатодітних сімей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18,65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26,39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i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Відсоток охоплення  загальної чисельності  звернулися за соціальною послугою до кількості осіб отримувачів соціальних послуг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%</w:t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Відсоток охоплення загальної чисельності пільгової категорії громадян які мають пільги з послуг зв’язку до кількості пільгової категорії громадян які отримують послугу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%</w:t>
            </w:r>
          </w:p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Відсоток осіб, охоплених соціальними програмами та послугами, що фінансуються з місцевого бюджету, від загальної кількості осіб, котрі їх потребують.</w:t>
            </w:r>
          </w:p>
        </w:tc>
        <w:tc>
          <w:tcPr>
            <w:tcW w:w="1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  <w:t>Додаток 1</w:t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  <w:t>до Програми</w:t>
      </w:r>
    </w:p>
    <w:p>
      <w:pPr>
        <w:pStyle w:val="Normal"/>
        <w:shd w:val="clear" w:color="auto" w:fill="FFFFFF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285" w:leader="none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ЗАВДАННЯ І ЗАХОДИ РЕАЛІЗАЦІЇ </w:t>
      </w:r>
    </w:p>
    <w:p>
      <w:pPr>
        <w:pStyle w:val="Normal"/>
        <w:rPr>
          <w:b/>
        </w:rPr>
      </w:pPr>
      <w:r>
        <w:rPr>
          <w:b/>
        </w:rPr>
        <w:t>Програми соціальної підтримки населення Роздільнянської міської територіальної громади на 2025-2027 роки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146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72"/>
        <w:gridCol w:w="48"/>
        <w:gridCol w:w="166"/>
        <w:gridCol w:w="1526"/>
        <w:gridCol w:w="9"/>
        <w:gridCol w:w="1352"/>
        <w:gridCol w:w="64"/>
        <w:gridCol w:w="851"/>
        <w:gridCol w:w="1462"/>
        <w:gridCol w:w="98"/>
        <w:gridCol w:w="1134"/>
        <w:gridCol w:w="993"/>
        <w:gridCol w:w="136"/>
        <w:gridCol w:w="5"/>
        <w:gridCol w:w="850"/>
        <w:gridCol w:w="847"/>
        <w:gridCol w:w="851"/>
        <w:gridCol w:w="850"/>
        <w:gridCol w:w="64"/>
        <w:gridCol w:w="790"/>
        <w:gridCol w:w="934"/>
        <w:gridCol w:w="31"/>
        <w:gridCol w:w="169"/>
        <w:gridCol w:w="998"/>
      </w:tblGrid>
      <w:tr>
        <w:trPr/>
        <w:tc>
          <w:tcPr>
            <w:tcW w:w="420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 </w:t>
            </w:r>
            <w:r>
              <w:rPr>
                <w:b/>
                <w:sz w:val="20"/>
                <w:szCs w:val="20"/>
              </w:rPr>
              <w:t>з/п</w:t>
            </w:r>
          </w:p>
        </w:tc>
        <w:tc>
          <w:tcPr>
            <w:tcW w:w="1692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Завдання</w:t>
            </w:r>
          </w:p>
        </w:tc>
        <w:tc>
          <w:tcPr>
            <w:tcW w:w="1361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Зміст заходів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Термін</w:t>
            </w:r>
          </w:p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виконання</w:t>
            </w:r>
          </w:p>
        </w:tc>
        <w:tc>
          <w:tcPr>
            <w:tcW w:w="1462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Виконавці</w:t>
            </w: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Джерела фінансування</w:t>
            </w:r>
          </w:p>
        </w:tc>
        <w:tc>
          <w:tcPr>
            <w:tcW w:w="632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Обсяги фінансування по рокам, тис. гривень</w:t>
            </w:r>
          </w:p>
        </w:tc>
        <w:tc>
          <w:tcPr>
            <w:tcW w:w="1198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Очікуваний результат</w:t>
            </w:r>
          </w:p>
        </w:tc>
      </w:tr>
      <w:tr>
        <w:trPr>
          <w:trHeight w:val="480" w:hRule="atLeast"/>
        </w:trPr>
        <w:tc>
          <w:tcPr>
            <w:tcW w:w="42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692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1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5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2" w:type="dxa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70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Всього</w:t>
            </w:r>
          </w:p>
        </w:tc>
        <w:tc>
          <w:tcPr>
            <w:tcW w:w="119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35" w:hRule="atLeast"/>
        </w:trPr>
        <w:tc>
          <w:tcPr>
            <w:tcW w:w="42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692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361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915" w:type="dxa"/>
            <w:gridSpan w:val="2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462" w:type="dxa"/>
            <w:vMerge w:val="continue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23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7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9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19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4600" w:type="dxa"/>
            <w:gridSpan w:val="2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rFonts w:eastAsia="Calibri"/>
                <w:b/>
              </w:rPr>
              <w:t xml:space="preserve">                                                                    </w:t>
            </w:r>
            <w:r>
              <w:rPr>
                <w:rFonts w:eastAsia="Calibri"/>
                <w:b/>
              </w:rPr>
              <w:t xml:space="preserve">1.Соціальна підтримка пільгових категорій громадян </w:t>
            </w:r>
          </w:p>
        </w:tc>
      </w:tr>
      <w:tr>
        <w:trPr>
          <w:trHeight w:val="1608" w:hRule="atLeast"/>
        </w:trPr>
        <w:tc>
          <w:tcPr>
            <w:tcW w:w="37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740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1.Надавати цільову адресну допомогу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Надання матеріальної допомоги на лікування та вирішення соціально-побутових питаньмешканців громади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72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72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592,50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2300,00</w:t>
            </w:r>
          </w:p>
        </w:tc>
        <w:tc>
          <w:tcPr>
            <w:tcW w:w="1198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зниження соціальної напруги серед пільгової категорії громадян , мешканців Роздільнянської міської територіальної громади.</w:t>
            </w:r>
          </w:p>
        </w:tc>
      </w:tr>
      <w:tr>
        <w:trPr>
          <w:trHeight w:val="1391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4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1.2.Надання матеріальної допомоги</w:t>
            </w:r>
            <w:r>
              <w:rPr>
                <w:bCs/>
                <w:iCs/>
                <w:sz w:val="20"/>
                <w:szCs w:val="20"/>
              </w:rPr>
              <w:t>,вдовам  учасників бойових дій  та інвалідів Другої Світової Війни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19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695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4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 Надання матеріальної допомоги ветеранам Афганської війни та членам сімей загиблих учасників бойових дій Афганської війни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150,00</w:t>
            </w:r>
          </w:p>
        </w:tc>
        <w:tc>
          <w:tcPr>
            <w:tcW w:w="119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410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4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Вшанування пам’ятної дати Чорнобильської катастрофи, надання матеріальної допомоги ліквідаторам ЧАЕС 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149,00</w:t>
            </w:r>
          </w:p>
        </w:tc>
        <w:tc>
          <w:tcPr>
            <w:tcW w:w="119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15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4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1.6.Надання одноразової матеріальної допомоги мешканцям громади , яким виповнилось 100 років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45,00</w:t>
            </w:r>
          </w:p>
        </w:tc>
        <w:tc>
          <w:tcPr>
            <w:tcW w:w="119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15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4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1.7.Придбання дров (паливної деревини) для подальшої безоплатної передачі населенню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ради, КП  «Роздільнянський міський водоканал»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199,99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119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6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Усього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1019,00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802,49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  <w:lang w:val="en-US"/>
              </w:rPr>
              <w:t>20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  <w:lang w:val="en-US"/>
              </w:rPr>
              <w:t>20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1115,00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  <w:r>
              <w:rPr>
                <w:b/>
                <w:sz w:val="20"/>
                <w:szCs w:val="20"/>
                <w:lang w:val="en-US"/>
              </w:rPr>
              <w:t>54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1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18" w:hRule="atLeast"/>
        </w:trPr>
        <w:tc>
          <w:tcPr>
            <w:tcW w:w="14600" w:type="dxa"/>
            <w:gridSpan w:val="2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2. Відшкодування витрат на поховання</w:t>
            </w:r>
          </w:p>
        </w:tc>
      </w:tr>
      <w:tr>
        <w:trPr>
          <w:trHeight w:val="2332" w:hRule="atLeast"/>
        </w:trPr>
        <w:tc>
          <w:tcPr>
            <w:tcW w:w="37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740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2.Врегулювати питаннящодо порядку 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поховання 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72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2.1.Відшкодування витрат на поховання померлих одиноких громадян; осіб без певного місця проживання, громадян, від поховання яких відмовилися рідні; знайдених невпізнаних трупів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72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  «Роздільнянський міський водоканал»</w:t>
            </w:r>
          </w:p>
          <w:p>
            <w:pPr>
              <w:pStyle w:val="Normal"/>
              <w:tabs>
                <w:tab w:val="clear" w:pos="708"/>
                <w:tab w:val="left" w:pos="972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344,60</w:t>
            </w:r>
          </w:p>
        </w:tc>
        <w:tc>
          <w:tcPr>
            <w:tcW w:w="11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врегулювання питань  порядку 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поховання одиноких громадян</w:t>
            </w:r>
          </w:p>
        </w:tc>
      </w:tr>
      <w:tr>
        <w:trPr>
          <w:trHeight w:val="2332" w:hRule="atLeast"/>
        </w:trPr>
        <w:tc>
          <w:tcPr>
            <w:tcW w:w="3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4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Надання матеріальної допомоги на поховання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Відділ  соціальної політики Роздільнянської міської ради.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150,00</w:t>
            </w:r>
          </w:p>
        </w:tc>
        <w:tc>
          <w:tcPr>
            <w:tcW w:w="11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зниження соціальної напруги серед пільгової категорії громадян , мешканців Роздільнянської міської територіальної громади</w:t>
            </w:r>
          </w:p>
        </w:tc>
      </w:tr>
      <w:tr>
        <w:trPr>
          <w:trHeight w:val="54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Усього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134,60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83,40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>8</w:t>
            </w: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494,60</w:t>
            </w:r>
          </w:p>
        </w:tc>
        <w:tc>
          <w:tcPr>
            <w:tcW w:w="11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49" w:hRule="atLeast"/>
        </w:trPr>
        <w:tc>
          <w:tcPr>
            <w:tcW w:w="14600" w:type="dxa"/>
            <w:gridSpan w:val="2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3. Соціальні виплати</w:t>
            </w:r>
          </w:p>
        </w:tc>
      </w:tr>
      <w:tr>
        <w:trPr>
          <w:trHeight w:val="549" w:hRule="atLeast"/>
        </w:trPr>
        <w:tc>
          <w:tcPr>
            <w:tcW w:w="58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3.Врегулювати  питання надання платних соціальних послуг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Призначення і виплати компенсації фізичним особам, які надають соціальні послуги з догляду на непрофесійній основі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2025- 2027 роки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Відділ  соціальної політики Роздільнянської міської ради , Відділ «Центр надання адміністративних послуг» 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1 260,00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1204,40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1 400,00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1 400,00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1 260,00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92</w:t>
            </w: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забезпечення виконання державних гарантій соціальної сфери в громаді</w:t>
            </w:r>
          </w:p>
        </w:tc>
      </w:tr>
      <w:tr>
        <w:trPr>
          <w:trHeight w:val="54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Усього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1 260,00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1 204,40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1 400,00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1 260,00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  <w:r>
              <w:rPr>
                <w:b/>
                <w:sz w:val="20"/>
                <w:szCs w:val="20"/>
                <w:lang w:val="en-US"/>
              </w:rPr>
              <w:t>92</w:t>
            </w: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49" w:hRule="atLeast"/>
        </w:trPr>
        <w:tc>
          <w:tcPr>
            <w:tcW w:w="14600" w:type="dxa"/>
            <w:gridSpan w:val="2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4. Виконання державної політики у сфері соціального захисту населення </w:t>
            </w:r>
          </w:p>
        </w:tc>
      </w:tr>
      <w:tr>
        <w:trPr>
          <w:trHeight w:val="549" w:hRule="atLeast"/>
        </w:trPr>
        <w:tc>
          <w:tcPr>
            <w:tcW w:w="58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4.Забезпечення реалізації державних соціальних гарантій окремим категоріям громадян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4.1Забезпечення права на отримання посвідчень родин ,які отримали статус  багатодітної сім'ї і дітей з такої сім'ї згідно із Законом України "Про охорону дитинства" та іншими законодавчих актами (субвенція до обл. бюджету)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рік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Фінансове управління Роздільнянської міської ради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5,876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5,876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13,876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зниження соціальної напруги серед пільгової категорії громадян , мешканців Роздільнянської міської територіальної громади.</w:t>
            </w:r>
          </w:p>
        </w:tc>
      </w:tr>
      <w:tr>
        <w:trPr>
          <w:trHeight w:val="549" w:hRule="atLeast"/>
        </w:trPr>
        <w:tc>
          <w:tcPr>
            <w:tcW w:w="58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4.2Відшкодування витрат операторам телекомунікацій за надані пільгові послуги зв'язку особам, які мають право на пільги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2026-2027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Відділ  соціальної політики Роздільнянської міської ради, АТ «Укртелеком»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міської ТГ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зниження соціальної напруги серед пільгової категорії населення, отримувачів пільгових послуг зв’язку</w:t>
            </w:r>
          </w:p>
        </w:tc>
      </w:tr>
      <w:tr>
        <w:trPr>
          <w:trHeight w:val="54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Усього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5,876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5,876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9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31,876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49" w:hRule="atLeast"/>
        </w:trPr>
        <w:tc>
          <w:tcPr>
            <w:tcW w:w="7082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Разом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2419,476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2096,166</w:t>
            </w:r>
          </w:p>
        </w:tc>
        <w:tc>
          <w:tcPr>
            <w:tcW w:w="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3017,00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3017,00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2464,00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7900,476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fals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spacing w:before="0" w:after="0"/>
        <w:ind w:firstLine="709"/>
        <w:rPr>
          <w:b/>
          <w:bCs/>
          <w:sz w:val="24"/>
          <w:szCs w:val="24"/>
          <w:lang w:eastAsia="ru-RU"/>
        </w:rPr>
        <w:sectPr>
          <w:type w:val="nextPage"/>
          <w:pgSz w:orient="landscape" w:w="16838" w:h="11906"/>
          <w:pgMar w:left="1134" w:right="1134" w:gutter="0" w:header="0" w:top="1134" w:footer="0" w:bottom="850"/>
          <w:pgNumType w:fmt="decimal"/>
          <w:formProt w:val="false"/>
          <w:textDirection w:val="lrTb"/>
          <w:docGrid w:type="default" w:linePitch="381" w:charSpace="0"/>
        </w:sectPr>
      </w:pPr>
      <w:r>
        <w:rPr>
          <w:b/>
          <w:bCs/>
          <w:sz w:val="24"/>
          <w:szCs w:val="24"/>
          <w:lang w:eastAsia="ru-RU"/>
        </w:rPr>
      </w:r>
    </w:p>
    <w:p>
      <w:pPr>
        <w:pStyle w:val="Normal"/>
        <w:suppressAutoHyphens w:val="false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ПОЯСНЮВАЛЬНА ЗАПИСКА</w:t>
      </w:r>
    </w:p>
    <w:p>
      <w:pPr>
        <w:pStyle w:val="Normal"/>
        <w:suppressAutoHyphens w:val="false"/>
        <w:jc w:val="center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eastAsia="en-US"/>
        </w:rPr>
        <w:t>до проєкту рішення міської ради</w:t>
      </w:r>
    </w:p>
    <w:p>
      <w:pPr>
        <w:pStyle w:val="Normal"/>
        <w:suppressAutoHyphens w:val="false"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« Про внесення змін до Програми соціальної підтримки населення Роздільнянської міської територіальної громади на 2025-2027 роки»</w:t>
      </w:r>
    </w:p>
    <w:p>
      <w:pPr>
        <w:pStyle w:val="Normal"/>
        <w:suppressAutoHyphens w:val="false"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76"/>
        <w:ind w:firstLine="567"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Потреба і мета прийняття рішення:</w:t>
      </w:r>
    </w:p>
    <w:p>
      <w:pPr>
        <w:pStyle w:val="Normal"/>
        <w:shd w:val="clear" w:color="auto" w:fill="FFFFFF"/>
        <w:suppressAutoHyphens w:val="false"/>
        <w:spacing w:before="240" w:after="240"/>
        <w:jc w:val="both"/>
        <w:rPr>
          <w:color w:val="0F1115"/>
          <w:sz w:val="24"/>
          <w:szCs w:val="24"/>
          <w:lang w:eastAsia="en-US"/>
        </w:rPr>
      </w:pPr>
      <w:r>
        <w:rPr>
          <w:color w:val="0F1115"/>
          <w:sz w:val="24"/>
          <w:szCs w:val="24"/>
          <w:lang w:eastAsia="en-US"/>
        </w:rPr>
        <w:t>Внесення змін до Програми соціальної підтримки населення Роздільнянської міської територіальної громади на 2025–2027 роки (далі – Програма) зумовлене необхідністю приведення програмних документів у відповідність до фактичних видатків та потребою збільшення фінансування окремих напрямів соціальної підтримки у зв’язку зі зростанням потреби.</w:t>
      </w:r>
    </w:p>
    <w:p>
      <w:pPr>
        <w:pStyle w:val="Normal"/>
        <w:shd w:val="clear" w:color="auto" w:fill="FFFFFF"/>
        <w:suppressAutoHyphens w:val="false"/>
        <w:spacing w:before="240" w:after="240"/>
        <w:jc w:val="both"/>
        <w:rPr>
          <w:color w:val="0F1115"/>
          <w:sz w:val="24"/>
          <w:szCs w:val="24"/>
          <w:lang w:eastAsia="en-US"/>
        </w:rPr>
      </w:pPr>
      <w:r>
        <w:rPr>
          <w:color w:val="0F1115"/>
          <w:sz w:val="24"/>
          <w:szCs w:val="24"/>
          <w:lang w:eastAsia="en-US"/>
        </w:rPr>
        <w:t>З початку 2026 року на поховання </w:t>
      </w:r>
      <w:r>
        <w:rPr>
          <w:b/>
          <w:bCs/>
          <w:color w:val="0F1115"/>
          <w:sz w:val="24"/>
          <w:szCs w:val="24"/>
          <w:lang w:eastAsia="en-US"/>
        </w:rPr>
        <w:t>12 одиноких громадян</w:t>
      </w:r>
      <w:r>
        <w:rPr>
          <w:color w:val="0F1115"/>
          <w:sz w:val="24"/>
          <w:szCs w:val="24"/>
          <w:lang w:eastAsia="en-US"/>
        </w:rPr>
        <w:t>, осіб без певного місця проживання та громадян, від поховання яких відмовилися рідні, було витрачено </w:t>
      </w:r>
      <w:r>
        <w:rPr>
          <w:b/>
          <w:bCs/>
          <w:color w:val="0F1115"/>
          <w:sz w:val="24"/>
          <w:szCs w:val="24"/>
          <w:lang w:eastAsia="en-US"/>
        </w:rPr>
        <w:t>127,80 тис. грн</w:t>
      </w:r>
      <w:r>
        <w:rPr>
          <w:color w:val="0F1115"/>
          <w:sz w:val="24"/>
          <w:szCs w:val="24"/>
          <w:lang w:eastAsia="en-US"/>
        </w:rPr>
        <w:t>. Залишок коштів на момент підготовки проєкту становив </w:t>
      </w:r>
      <w:r>
        <w:rPr>
          <w:b/>
          <w:bCs/>
          <w:color w:val="0F1115"/>
          <w:sz w:val="24"/>
          <w:szCs w:val="24"/>
          <w:lang w:eastAsia="en-US"/>
        </w:rPr>
        <w:t>2,20 тис. грн</w:t>
      </w:r>
      <w:r>
        <w:rPr>
          <w:color w:val="0F1115"/>
          <w:sz w:val="24"/>
          <w:szCs w:val="24"/>
          <w:lang w:eastAsia="en-US"/>
        </w:rPr>
        <w:t>. Вказані особи не мали родичів, здатних взяти на себе організацію та фінансування поховання, у зв’язку з чим виникла потреба у збільшенні обсягу фінансування за цим напрямком.</w:t>
      </w:r>
    </w:p>
    <w:p>
      <w:pPr>
        <w:pStyle w:val="Normal"/>
        <w:shd w:val="clear" w:color="auto" w:fill="FFFFFF"/>
        <w:suppressAutoHyphens w:val="false"/>
        <w:spacing w:before="240" w:after="240"/>
        <w:jc w:val="both"/>
        <w:rPr>
          <w:color w:val="0F1115"/>
          <w:sz w:val="24"/>
          <w:szCs w:val="24"/>
          <w:lang w:eastAsia="en-US"/>
        </w:rPr>
      </w:pPr>
      <w:r>
        <w:rPr>
          <w:b/>
          <w:bCs/>
          <w:color w:val="0F1115"/>
          <w:sz w:val="24"/>
          <w:szCs w:val="24"/>
          <w:lang w:eastAsia="en-US"/>
        </w:rPr>
        <w:t>Збільшення видатків за напрямками на суму 100,00 тис. грн.:</w:t>
      </w:r>
    </w:p>
    <w:p>
      <w:pPr>
        <w:pStyle w:val="Normal"/>
        <w:numPr>
          <w:ilvl w:val="0"/>
          <w:numId w:val="2"/>
        </w:numPr>
        <w:shd w:val="clear" w:color="auto" w:fill="FFFFFF"/>
        <w:suppressAutoHyphens w:val="false"/>
        <w:spacing w:lineRule="auto" w:line="276" w:beforeAutospacing="1" w:after="200"/>
        <w:ind w:firstLine="284" w:start="0"/>
        <w:jc w:val="both"/>
        <w:rPr>
          <w:color w:val="0F1115"/>
          <w:sz w:val="24"/>
          <w:szCs w:val="24"/>
          <w:lang w:eastAsia="en-US"/>
        </w:rPr>
      </w:pPr>
      <w:r>
        <w:rPr>
          <w:color w:val="0F1115"/>
          <w:sz w:val="24"/>
          <w:szCs w:val="24"/>
          <w:lang w:eastAsia="en-US"/>
        </w:rPr>
        <w:t>Відшкодування витрат на поховання померлих одиноких громадян; осіб без певного місця проживання, громадян, від поховання яких відмовилися рідні; знайдених невпізнаних трупів — </w:t>
      </w:r>
      <w:r>
        <w:rPr>
          <w:b/>
          <w:bCs/>
          <w:color w:val="0F1115"/>
          <w:sz w:val="24"/>
          <w:szCs w:val="24"/>
          <w:lang w:eastAsia="en-US"/>
        </w:rPr>
        <w:t>100,00 тис. грн.</w:t>
      </w:r>
    </w:p>
    <w:p>
      <w:pPr>
        <w:pStyle w:val="Normal"/>
        <w:shd w:val="clear" w:color="auto" w:fill="FFFFFF"/>
        <w:suppressAutoHyphens w:val="false"/>
        <w:spacing w:before="240" w:after="240"/>
        <w:rPr>
          <w:color w:val="0F1115"/>
          <w:sz w:val="24"/>
          <w:szCs w:val="24"/>
          <w:lang w:eastAsia="en-US"/>
        </w:rPr>
      </w:pPr>
      <w:r>
        <w:rPr>
          <w:b/>
          <w:bCs/>
          <w:color w:val="0F1115"/>
          <w:sz w:val="24"/>
          <w:szCs w:val="24"/>
          <w:lang w:eastAsia="en-US"/>
        </w:rPr>
        <w:t xml:space="preserve">Додатково </w:t>
      </w:r>
      <w:r>
        <w:rPr>
          <w:color w:val="0F1115"/>
          <w:sz w:val="24"/>
          <w:szCs w:val="24"/>
          <w:lang w:eastAsia="en-US"/>
        </w:rPr>
        <w:t>у </w:t>
      </w:r>
      <w:r>
        <w:rPr>
          <w:b/>
          <w:bCs/>
          <w:color w:val="0F1115"/>
          <w:sz w:val="24"/>
          <w:szCs w:val="24"/>
          <w:lang w:eastAsia="en-US"/>
        </w:rPr>
        <w:t>Додатку 2</w:t>
      </w:r>
      <w:r>
        <w:rPr>
          <w:color w:val="0F1115"/>
          <w:sz w:val="24"/>
          <w:szCs w:val="24"/>
          <w:lang w:eastAsia="en-US"/>
        </w:rPr>
        <w:t> до Програми у рядку </w:t>
      </w:r>
      <w:r>
        <w:rPr>
          <w:b/>
          <w:bCs/>
          <w:color w:val="0F1115"/>
          <w:sz w:val="24"/>
          <w:szCs w:val="24"/>
          <w:lang w:eastAsia="en-US"/>
        </w:rPr>
        <w:t>«Разом за 2027 рік»</w:t>
      </w:r>
      <w:r>
        <w:rPr>
          <w:color w:val="0F1115"/>
          <w:sz w:val="24"/>
          <w:szCs w:val="24"/>
          <w:lang w:eastAsia="en-US"/>
        </w:rPr>
        <w:t> виявлено арифметичну помилку:</w:t>
      </w:r>
    </w:p>
    <w:p>
      <w:pPr>
        <w:pStyle w:val="Normal"/>
        <w:numPr>
          <w:ilvl w:val="0"/>
          <w:numId w:val="3"/>
        </w:numPr>
        <w:shd w:val="clear" w:color="auto" w:fill="FFFFFF"/>
        <w:suppressAutoHyphens w:val="false"/>
        <w:spacing w:lineRule="auto" w:line="276" w:before="100" w:after="200"/>
        <w:ind w:firstLine="426" w:start="0"/>
        <w:rPr>
          <w:color w:val="0F1115"/>
          <w:sz w:val="24"/>
          <w:szCs w:val="24"/>
          <w:lang w:eastAsia="en-US"/>
        </w:rPr>
      </w:pPr>
      <w:r>
        <w:rPr>
          <w:color w:val="0F1115"/>
          <w:sz w:val="24"/>
          <w:szCs w:val="24"/>
          <w:lang w:eastAsia="en-US"/>
        </w:rPr>
        <w:t>зазначено суму </w:t>
      </w:r>
      <w:r>
        <w:rPr>
          <w:b/>
          <w:bCs/>
          <w:color w:val="0F1115"/>
          <w:sz w:val="24"/>
          <w:szCs w:val="24"/>
          <w:lang w:eastAsia="en-US"/>
        </w:rPr>
        <w:t>2455,00 тис. грн</w:t>
      </w:r>
      <w:r>
        <w:rPr>
          <w:color w:val="0F1115"/>
          <w:sz w:val="24"/>
          <w:szCs w:val="24"/>
          <w:lang w:eastAsia="en-US"/>
        </w:rPr>
        <w:t>;</w:t>
      </w:r>
    </w:p>
    <w:p>
      <w:pPr>
        <w:pStyle w:val="Normal"/>
        <w:numPr>
          <w:ilvl w:val="0"/>
          <w:numId w:val="3"/>
        </w:numPr>
        <w:shd w:val="clear" w:color="auto" w:fill="FFFFFF"/>
        <w:suppressAutoHyphens w:val="false"/>
        <w:spacing w:lineRule="auto" w:line="276" w:before="100" w:after="200"/>
        <w:ind w:firstLine="426" w:start="0"/>
        <w:rPr>
          <w:color w:val="0F1115"/>
          <w:sz w:val="24"/>
          <w:szCs w:val="24"/>
          <w:lang w:eastAsia="en-US"/>
        </w:rPr>
      </w:pPr>
      <w:r>
        <w:rPr>
          <w:color w:val="0F1115"/>
          <w:sz w:val="24"/>
          <w:szCs w:val="24"/>
          <w:lang w:eastAsia="en-US"/>
        </w:rPr>
        <w:t>правильна сума становить </w:t>
      </w:r>
      <w:r>
        <w:rPr>
          <w:b/>
          <w:bCs/>
          <w:color w:val="0F1115"/>
          <w:sz w:val="24"/>
          <w:szCs w:val="24"/>
          <w:lang w:eastAsia="en-US"/>
        </w:rPr>
        <w:t>2464,00 тис. грн</w:t>
      </w:r>
      <w:r>
        <w:rPr>
          <w:color w:val="0F1115"/>
          <w:sz w:val="24"/>
          <w:szCs w:val="24"/>
          <w:lang w:eastAsia="en-US"/>
        </w:rPr>
        <w:t>.</w:t>
      </w:r>
    </w:p>
    <w:p>
      <w:pPr>
        <w:pStyle w:val="Normal"/>
        <w:shd w:val="clear" w:color="auto" w:fill="FFFFFF"/>
        <w:suppressAutoHyphens w:val="false"/>
        <w:spacing w:before="240" w:after="240"/>
        <w:rPr>
          <w:color w:val="0F1115"/>
          <w:sz w:val="24"/>
          <w:szCs w:val="24"/>
          <w:lang w:eastAsia="en-US"/>
        </w:rPr>
      </w:pPr>
      <w:r>
        <w:rPr>
          <w:b/>
          <w:bCs/>
          <w:color w:val="0F1115"/>
          <w:sz w:val="24"/>
          <w:szCs w:val="24"/>
          <w:lang w:eastAsia="en-US"/>
        </w:rPr>
        <w:t>Запропоновано виправити:</w:t>
      </w:r>
      <w:r>
        <w:rPr>
          <w:color w:val="0F1115"/>
          <w:sz w:val="24"/>
          <w:szCs w:val="24"/>
          <w:lang w:eastAsia="en-US"/>
        </w:rPr>
        <w:t> замінити «2455,00 тис. грн» на «2464,00 тис. грн».</w:t>
      </w:r>
    </w:p>
    <w:p>
      <w:pPr>
        <w:pStyle w:val="Normal"/>
        <w:shd w:val="clear" w:color="auto" w:fill="FFFFFF"/>
        <w:suppressAutoHyphens w:val="false"/>
        <w:spacing w:before="240" w:after="240"/>
        <w:jc w:val="both"/>
        <w:rPr>
          <w:color w:val="0F1115"/>
          <w:sz w:val="24"/>
          <w:szCs w:val="24"/>
          <w:lang w:eastAsia="en-US"/>
        </w:rPr>
      </w:pPr>
      <w:r>
        <w:rPr>
          <w:b/>
          <w:bCs/>
          <w:color w:val="0F1115"/>
          <w:sz w:val="24"/>
          <w:szCs w:val="24"/>
          <w:lang w:eastAsia="en-US"/>
        </w:rPr>
        <w:t>Прогнозовані суспільні, економічні, фінансові наслідки прийняття</w:t>
        <w:br/>
        <w:t>рішення:</w:t>
      </w:r>
    </w:p>
    <w:p>
      <w:pPr>
        <w:pStyle w:val="Normal"/>
        <w:shd w:val="clear" w:color="auto" w:fill="FFFFFF"/>
        <w:suppressAutoHyphens w:val="false"/>
        <w:spacing w:before="240" w:after="240"/>
        <w:jc w:val="both"/>
        <w:rPr>
          <w:color w:val="0F1115"/>
          <w:sz w:val="24"/>
          <w:szCs w:val="24"/>
          <w:lang w:eastAsia="en-US"/>
        </w:rPr>
      </w:pPr>
      <w:r>
        <w:rPr>
          <w:color w:val="0F1115"/>
          <w:sz w:val="24"/>
          <w:szCs w:val="24"/>
          <w:lang w:eastAsia="en-US"/>
        </w:rPr>
        <w:t>Внесення змін до Програми надасть можливість:</w:t>
      </w:r>
    </w:p>
    <w:p>
      <w:pPr>
        <w:pStyle w:val="Normal"/>
        <w:numPr>
          <w:ilvl w:val="0"/>
          <w:numId w:val="4"/>
        </w:numPr>
        <w:shd w:val="clear" w:color="auto" w:fill="FFFFFF"/>
        <w:suppressAutoHyphens w:val="false"/>
        <w:spacing w:lineRule="auto" w:line="276" w:before="240" w:after="240"/>
        <w:jc w:val="both"/>
        <w:rPr>
          <w:color w:val="0F1115"/>
          <w:sz w:val="24"/>
          <w:szCs w:val="24"/>
          <w:lang w:eastAsia="en-US"/>
        </w:rPr>
      </w:pPr>
      <w:r>
        <w:rPr>
          <w:color w:val="0F1115"/>
          <w:sz w:val="24"/>
          <w:szCs w:val="24"/>
          <w:lang w:eastAsia="en-US"/>
        </w:rPr>
        <w:t>забезпечити гідне поховання соціально вразливих категорій громадян;</w:t>
      </w:r>
    </w:p>
    <w:p>
      <w:pPr>
        <w:pStyle w:val="Normal"/>
        <w:numPr>
          <w:ilvl w:val="0"/>
          <w:numId w:val="4"/>
        </w:numPr>
        <w:shd w:val="clear" w:color="auto" w:fill="FFFFFF"/>
        <w:suppressAutoHyphens w:val="false"/>
        <w:spacing w:lineRule="auto" w:line="276" w:before="240" w:after="240"/>
        <w:jc w:val="both"/>
        <w:rPr>
          <w:color w:val="0F1115"/>
          <w:sz w:val="24"/>
          <w:szCs w:val="24"/>
          <w:lang w:eastAsia="en-US"/>
        </w:rPr>
      </w:pPr>
      <w:r>
        <w:rPr>
          <w:color w:val="0F1115"/>
          <w:sz w:val="24"/>
          <w:szCs w:val="24"/>
          <w:lang w:eastAsia="en-US"/>
        </w:rPr>
        <w:t>виконати гарантії держави та громади щодо соціальної підтримки населення;</w:t>
      </w:r>
    </w:p>
    <w:p>
      <w:pPr>
        <w:pStyle w:val="Normal"/>
        <w:shd w:val="clear" w:color="auto" w:fill="FFFFFF"/>
        <w:suppressAutoHyphens w:val="false"/>
        <w:spacing w:before="240" w:after="240"/>
        <w:ind w:start="720"/>
        <w:jc w:val="both"/>
        <w:rPr>
          <w:color w:val="0F1115"/>
          <w:sz w:val="24"/>
          <w:szCs w:val="24"/>
          <w:lang w:val="ru-RU" w:eastAsia="en-US"/>
        </w:rPr>
      </w:pPr>
      <w:r>
        <w:rPr>
          <w:color w:val="0F1115"/>
          <w:sz w:val="24"/>
          <w:szCs w:val="24"/>
          <w:lang w:val="ru-RU" w:eastAsia="en-US"/>
        </w:rPr>
      </w:r>
    </w:p>
    <w:p>
      <w:pPr>
        <w:pStyle w:val="Normal"/>
        <w:shd w:val="clear" w:color="auto" w:fill="FFFFFF"/>
        <w:suppressAutoHyphens w:val="false"/>
        <w:spacing w:before="240" w:after="240"/>
        <w:jc w:val="both"/>
        <w:rPr>
          <w:color w:val="0F1115"/>
          <w:sz w:val="24"/>
          <w:szCs w:val="24"/>
          <w:lang w:val="ru-RU" w:eastAsia="en-US"/>
        </w:rPr>
      </w:pPr>
      <w:r>
        <w:rPr>
          <w:color w:val="0F1115"/>
          <w:sz w:val="24"/>
          <w:szCs w:val="24"/>
          <w:lang w:val="ru-RU" w:eastAsia="en-US"/>
        </w:rPr>
      </w:r>
    </w:p>
    <w:p>
      <w:pPr>
        <w:pStyle w:val="Normal"/>
        <w:shd w:val="clear" w:color="auto" w:fill="FFFFFF"/>
        <w:suppressAutoHyphens w:val="false"/>
        <w:spacing w:before="240" w:afterAutospacing="1"/>
        <w:rPr>
          <w:color w:val="0F1115"/>
          <w:sz w:val="24"/>
          <w:szCs w:val="24"/>
          <w:lang w:eastAsia="en-US"/>
        </w:rPr>
      </w:pPr>
      <w:r>
        <w:rPr>
          <w:b/>
          <w:bCs/>
          <w:color w:val="0F1115"/>
          <w:sz w:val="24"/>
          <w:szCs w:val="24"/>
          <w:lang w:eastAsia="en-US"/>
        </w:rPr>
        <w:t>Начальник Відділу соціальної політики</w:t>
      </w:r>
      <w:r>
        <w:rPr>
          <w:color w:val="0F1115"/>
          <w:sz w:val="24"/>
          <w:szCs w:val="24"/>
          <w:lang w:eastAsia="en-US"/>
        </w:rPr>
        <w:br/>
      </w:r>
      <w:r>
        <w:rPr>
          <w:b/>
          <w:bCs/>
          <w:color w:val="0F1115"/>
          <w:sz w:val="24"/>
          <w:szCs w:val="24"/>
          <w:lang w:eastAsia="en-US"/>
        </w:rPr>
        <w:t>Роздільнянської міської ради</w:t>
      </w:r>
      <w:r>
        <w:rPr>
          <w:color w:val="0F1115"/>
          <w:sz w:val="24"/>
          <w:szCs w:val="24"/>
          <w:lang w:eastAsia="en-US"/>
        </w:rPr>
        <w:t xml:space="preserve">                                                   _____________ </w:t>
      </w:r>
      <w:r>
        <w:rPr>
          <w:b/>
          <w:color w:val="0F1115"/>
          <w:sz w:val="24"/>
          <w:szCs w:val="24"/>
          <w:lang w:eastAsia="en-US"/>
        </w:rPr>
        <w:t>Н. ЄЛІЗАРОВА</w:t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NewRomanPSMT">
    <w:charset w:val="cc" w:characterSet="windows-125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1df0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5864e6"/>
    <w:rPr>
      <w:rFonts w:ascii="Times New Roman" w:hAnsi="Times New Roman" w:eastAsia="Times New Roman" w:cs="Times New Roman"/>
      <w:sz w:val="28"/>
      <w:szCs w:val="28"/>
      <w:lang w:val="uk-UA" w:eastAsia="zh-CN"/>
    </w:rPr>
  </w:style>
  <w:style w:type="character" w:styleId="22222" w:customStyle="1">
    <w:name w:val="22222 Знак"/>
    <w:basedOn w:val="DefaultParagraphFont"/>
    <w:link w:val="222221"/>
    <w:qFormat/>
    <w:rsid w:val="005864e6"/>
    <w:rPr>
      <w:rFonts w:ascii="Times New Roman" w:hAnsi="Times New Roman" w:eastAsia="Times New Roman" w:cs="Times New Roman"/>
      <w:sz w:val="28"/>
      <w:szCs w:val="28"/>
      <w:lang w:val="uk-UA" w:eastAsia="uk-UA"/>
    </w:rPr>
  </w:style>
  <w:style w:type="character" w:styleId="Emphasis">
    <w:name w:val="Emphasis"/>
    <w:basedOn w:val="DefaultParagraphFont"/>
    <w:uiPriority w:val="20"/>
    <w:qFormat/>
    <w:rsid w:val="005864e6"/>
    <w:rPr>
      <w:i/>
      <w:iCs/>
    </w:rPr>
  </w:style>
  <w:style w:type="character" w:styleId="docdata" w:customStyle="1">
    <w:name w:val="docdata"/>
    <w:basedOn w:val="DefaultParagraphFont"/>
    <w:qFormat/>
    <w:rsid w:val="00b34577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330bb"/>
    <w:rPr>
      <w:rFonts w:ascii="Segoe UI" w:hAnsi="Segoe UI" w:eastAsia="Times New Roman" w:cs="Segoe UI"/>
      <w:sz w:val="18"/>
      <w:szCs w:val="18"/>
      <w:lang w:val="uk-UA" w:eastAsia="zh-CN"/>
    </w:rPr>
  </w:style>
  <w:style w:type="character" w:styleId="Strong">
    <w:name w:val="Strong"/>
    <w:basedOn w:val="DefaultParagraphFont"/>
    <w:uiPriority w:val="22"/>
    <w:qFormat/>
    <w:rsid w:val="00c42f5d"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rsid w:val="005864e6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rsid w:val="005864e6"/>
    <w:pPr>
      <w:spacing w:before="280" w:after="280"/>
    </w:pPr>
    <w:rPr>
      <w:sz w:val="24"/>
      <w:szCs w:val="24"/>
    </w:rPr>
  </w:style>
  <w:style w:type="paragraph" w:styleId="222221" w:customStyle="1">
    <w:name w:val="22222"/>
    <w:basedOn w:val="Normal"/>
    <w:link w:val="22222"/>
    <w:qFormat/>
    <w:rsid w:val="005864e6"/>
    <w:pPr>
      <w:widowControl w:val="false"/>
      <w:ind w:firstLine="737" w:end="282"/>
      <w:jc w:val="both"/>
    </w:pPr>
    <w:rPr>
      <w:lang w:eastAsia="uk-UA"/>
    </w:rPr>
  </w:style>
  <w:style w:type="paragraph" w:styleId="ListParagraph">
    <w:name w:val="List Paragraph"/>
    <w:basedOn w:val="Normal"/>
    <w:uiPriority w:val="34"/>
    <w:qFormat/>
    <w:rsid w:val="00ee7171"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330bb"/>
    <w:pPr/>
    <w:rPr>
      <w:rFonts w:ascii="Segoe UI" w:hAnsi="Segoe UI" w:cs="Segoe UI"/>
      <w:sz w:val="18"/>
      <w:szCs w:val="18"/>
    </w:rPr>
  </w:style>
  <w:style w:type="paragraph" w:styleId="ds-markdown-paragraph" w:customStyle="1">
    <w:name w:val="ds-markdown-paragraph"/>
    <w:basedOn w:val="Normal"/>
    <w:qFormat/>
    <w:rsid w:val="00c42f5d"/>
    <w:pPr>
      <w:suppressAutoHyphens w:val="false"/>
      <w:spacing w:beforeAutospacing="1" w:afterAutospacing="1"/>
    </w:pPr>
    <w:rPr>
      <w:sz w:val="24"/>
      <w:szCs w:val="24"/>
      <w:lang w:val="en-US" w:eastAsia="en-US"/>
    </w:rPr>
  </w:style>
  <w:style w:type="paragraph" w:styleId="Style18">
    <w:name w:val="Вміст рамки"/>
    <w:basedOn w:val="Normal"/>
    <w:qFormat/>
    <w:pPr/>
    <w:rPr/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49734-F59B-438C-A756-5785CC93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4062</TotalTime>
  <Application>LibreOffice/26.2.4.2$Windows_x86 LibreOffice_project/0229ac93fcf0d7cbc6376066c6f35021cef002dc</Application>
  <AppVersion>15.0000</AppVersion>
  <Pages>15</Pages>
  <Words>1860</Words>
  <Characters>11311</Characters>
  <CharactersWithSpaces>12763</CharactersWithSpaces>
  <Paragraphs>640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2026-03-09T15:00:00Z</dcterms:created>
  <dc:creator>Алекс</dc:creator>
  <dc:description/>
  <dc:language>uk-UA</dc:language>
  <cp:lastModifiedBy/>
  <cp:lastPrinted>2026-07-01T05:49:00Z</cp:lastPrinted>
  <dcterms:modified xsi:type="dcterms:W3CDTF">2026-07-08T08:28:05Z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