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start="3544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uk-UA"/>
        </w:rPr>
      </w:pPr>
      <w:bookmarkStart w:id="0" w:name="_GoBack"/>
      <w:bookmarkEnd w:id="0"/>
      <w:r>
        <w:rPr>
          <w:rFonts w:eastAsia="Times New Roman" w:cs="Times New Roman" w:ascii="Times New Roman" w:hAnsi="Times New Roman"/>
          <w:b/>
          <w:sz w:val="24"/>
          <w:szCs w:val="24"/>
          <w:lang w:eastAsia="uk-UA"/>
        </w:rPr>
        <w:t xml:space="preserve"> 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uk-UA"/>
        </w:rPr>
        <w:t>ЗАТВЕРДЖЕНО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>Рішення Роздільнянської міської ради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Одеської області </w:t>
      </w:r>
    </w:p>
    <w:p>
      <w:pPr>
        <w:pStyle w:val="Normal"/>
        <w:tabs>
          <w:tab w:val="clear" w:pos="708"/>
          <w:tab w:val="left" w:pos="5775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>26 серпня 2026 року №</w:t>
      </w:r>
      <w:hyperlink r:id="rId2">
        <w:r>
          <w:rPr>
            <w:rStyle w:val="Hyperlink"/>
            <w:rFonts w:cs="Times New Roman" w:ascii="Times New Roman" w:hAnsi="Times New Roman"/>
            <w:sz w:val="24"/>
            <w:szCs w:val="24"/>
          </w:rPr>
          <w:t>5407-VIIІ</w:t>
        </w:r>
      </w:hyperlink>
    </w:p>
    <w:p>
      <w:pPr>
        <w:pStyle w:val="Normal"/>
        <w:tabs>
          <w:tab w:val="clear" w:pos="708"/>
          <w:tab w:val="left" w:pos="577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</w:r>
    </w:p>
    <w:p>
      <w:pPr>
        <w:pStyle w:val="Normal"/>
        <w:tabs>
          <w:tab w:val="clear" w:pos="708"/>
          <w:tab w:val="left" w:pos="577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uk-UA"/>
        </w:rPr>
        <w:t>ПОЛОЖЕННЯ</w:t>
      </w:r>
    </w:p>
    <w:p>
      <w:pPr>
        <w:pStyle w:val="Normal"/>
        <w:spacing w:lineRule="auto" w:line="240" w:beforeAutospacing="1" w:afterAutospacing="1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ru-RU"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 xml:space="preserve">про порядок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ru-RU" w:eastAsia="uk-U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 xml:space="preserve">відшкодування витрат, пов'язаних з участю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ru-RU" w:eastAsia="uk-U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творчих колективів, гуртків, вихованців та педагогічних працівників Комунального закладу</w:t>
      </w:r>
    </w:p>
    <w:p>
      <w:pPr>
        <w:pStyle w:val="Normal"/>
        <w:spacing w:lineRule="auto" w:line="240" w:beforeAutospacing="1" w:afterAutospacing="1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ru-RU"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«Центр творчості дітей та учнівської молоді»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ru-RU" w:eastAsia="uk-U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Роздільнянської міської ради у конкурсах, фестивалях, виставках та інших творчих заходах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b/>
          <w:bCs/>
          <w:sz w:val="24"/>
          <w:szCs w:val="36"/>
          <w:lang w:val="ru-RU"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36"/>
          <w:lang w:val="ru-RU" w:eastAsia="uk-UA"/>
        </w:rPr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b/>
          <w:bCs/>
          <w:sz w:val="28"/>
          <w:szCs w:val="36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36"/>
          <w:lang w:eastAsia="uk-UA"/>
        </w:rPr>
        <w:t>І. Загальні положення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1.1.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Це Положення визначає механізм та умови відшкодування витрат, пов'язаних з участю творчих колективів, гуртків, вихованців та педагогічних працівників Комунального закладу «Центр творчості дітей та учнівської молоді» Роздільнянської міської ради (далі – ЦТДУМ) у конкурсах, фестивалях, виставках, творчих проєктах, культурно-мистецьких, освітніх та інших заходах.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1.2.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Положення розроблено відповідно до:</w:t>
      </w:r>
    </w:p>
    <w:p>
      <w:pPr>
        <w:pStyle w:val="Normal"/>
        <w:numPr>
          <w:ilvl w:val="0"/>
          <w:numId w:val="1"/>
        </w:numPr>
        <w:spacing w:lineRule="auto" w:line="240" w:beforeAutospacing="1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Конституції України; 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Закону України «Про місцеве самоврядування в Україні»; 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Бюджетного кодексу України; 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Закону України «Про освіту»; 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Закону України «Про позашкільну освіту»; </w:t>
      </w:r>
    </w:p>
    <w:p>
      <w:pPr>
        <w:pStyle w:val="Normal"/>
        <w:numPr>
          <w:ilvl w:val="0"/>
          <w:numId w:val="1"/>
        </w:numPr>
        <w:spacing w:lineRule="auto" w:line="240" w:before="0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інших нормативно-правових актів України. 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1.3.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Дія цього Положення поширюється на:</w:t>
      </w:r>
    </w:p>
    <w:p>
      <w:pPr>
        <w:pStyle w:val="Normal"/>
        <w:numPr>
          <w:ilvl w:val="0"/>
          <w:numId w:val="2"/>
        </w:numPr>
        <w:spacing w:lineRule="auto" w:line="240" w:beforeAutospacing="1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вихованців ЦТДУМ; 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творчі колективи; 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гуртки; 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педагогічних працівників; 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керівників гуртків; </w:t>
      </w:r>
    </w:p>
    <w:p>
      <w:pPr>
        <w:pStyle w:val="Normal"/>
        <w:numPr>
          <w:ilvl w:val="0"/>
          <w:numId w:val="2"/>
        </w:numPr>
        <w:spacing w:lineRule="auto" w:line="240" w:before="0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осіб, які супроводжують групи дітей відповідно до наказу директора. </w:t>
      </w:r>
    </w:p>
    <w:p>
      <w:pPr>
        <w:pStyle w:val="Normal"/>
        <w:spacing w:lineRule="auto" w:line="240" w:beforeAutospacing="1" w:afterAutospacing="1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1.4.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Відшкодування витрат здійснюється виключно за рахунок коштів бюджету Роздільнянської міської територіальної громади, передбачених на відповідний бюджетний період, у межах бюджетних призначень.</w:t>
      </w:r>
    </w:p>
    <w:p>
      <w:pPr>
        <w:pStyle w:val="Normal"/>
        <w:spacing w:lineRule="auto" w:line="240" w:beforeAutospacing="1" w:afterAutospacing="1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1.5.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Це Положення застосовується до заходів, що проводяться на території України та за її межами.</w:t>
      </w:r>
    </w:p>
    <w:p>
      <w:pPr>
        <w:pStyle w:val="Normal"/>
        <w:spacing w:lineRule="auto" w:line="240" w:beforeAutospacing="1" w:afterAutospacing="1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1.6.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Відшкодування здійснюється виключно за наявності підтвердних документів та відповідно до вимог цього Положення.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sz w:val="28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sz w:val="28"/>
          <w:szCs w:val="24"/>
          <w:lang w:eastAsia="uk-UA"/>
        </w:rPr>
        <w:t>ІІ. Визначення осіб, які мають право на відшкодування витрат</w:t>
      </w:r>
    </w:p>
    <w:p>
      <w:pPr>
        <w:pStyle w:val="NormalWeb"/>
        <w:spacing w:before="280" w:after="280"/>
        <w:jc w:val="both"/>
        <w:rPr/>
      </w:pPr>
      <w:r>
        <w:rPr>
          <w:rStyle w:val="Strong"/>
        </w:rPr>
        <w:t>2.1.</w:t>
      </w:r>
      <w:r>
        <w:rPr/>
        <w:t xml:space="preserve"> Право на відшкодування витрат відповідно до цього Положення мають:</w:t>
      </w:r>
    </w:p>
    <w:p>
      <w:pPr>
        <w:pStyle w:val="NormalWeb"/>
        <w:spacing w:before="280" w:after="280"/>
        <w:jc w:val="both"/>
        <w:rPr/>
      </w:pPr>
      <w:r>
        <w:rPr/>
        <w:t>2.1.1. Вихованці Комунального закладу «Центр творчості дітей та учнівської молоді» Роздільнянської міської ради;</w:t>
      </w:r>
    </w:p>
    <w:p>
      <w:pPr>
        <w:pStyle w:val="NormalWeb"/>
        <w:spacing w:before="280" w:after="280"/>
        <w:jc w:val="both"/>
        <w:rPr/>
      </w:pPr>
      <w:r>
        <w:rPr/>
        <w:t>2.1.2. творчі колективи ЦТДУМ;</w:t>
      </w:r>
    </w:p>
    <w:p>
      <w:pPr>
        <w:pStyle w:val="NormalWeb"/>
        <w:spacing w:before="280" w:after="280"/>
        <w:jc w:val="both"/>
        <w:rPr/>
      </w:pPr>
      <w:r>
        <w:rPr/>
        <w:t>2.1.3. педагогічні працівники, які здійснюють підготовку та супровід вихованців;</w:t>
      </w:r>
    </w:p>
    <w:p>
      <w:pPr>
        <w:pStyle w:val="NormalWeb"/>
        <w:spacing w:before="280" w:after="280"/>
        <w:jc w:val="both"/>
        <w:rPr/>
      </w:pPr>
      <w:r>
        <w:rPr/>
        <w:t>2.1.4. особи, призначені наказом директора ЦТДУМ відповідальними за супровід дітей під час участі у творчому заході.</w:t>
      </w:r>
    </w:p>
    <w:p>
      <w:pPr>
        <w:pStyle w:val="NormalWeb"/>
        <w:spacing w:before="280" w:after="280"/>
        <w:jc w:val="both"/>
        <w:rPr/>
      </w:pPr>
      <w:r>
        <w:rPr>
          <w:rStyle w:val="Strong"/>
        </w:rPr>
        <w:t>2.2.</w:t>
      </w:r>
      <w:r>
        <w:rPr/>
        <w:t xml:space="preserve"> Відшкодуванню підлягають витрати, понесені учасниками або особами, які оплатили участь у заході, за умови подання документів, що підтверджують такі витрати.</w:t>
      </w:r>
    </w:p>
    <w:p>
      <w:pPr>
        <w:pStyle w:val="NormalWeb"/>
        <w:spacing w:before="280" w:after="280"/>
        <w:jc w:val="both"/>
        <w:rPr/>
      </w:pPr>
      <w:r>
        <w:rPr>
          <w:rStyle w:val="Strong"/>
        </w:rPr>
        <w:t>2.3.</w:t>
      </w:r>
      <w:r>
        <w:rPr/>
        <w:t xml:space="preserve"> Відшкодування здійснюється незалежно від місця проведення заходу за умови, що участь у ньому погоджена у встановленому порядку.</w:t>
      </w:r>
    </w:p>
    <w:p>
      <w:pPr>
        <w:pStyle w:val="NormalWeb"/>
        <w:spacing w:before="280" w:after="280"/>
        <w:jc w:val="both"/>
        <w:rPr/>
      </w:pPr>
      <w:r>
        <w:rPr>
          <w:rStyle w:val="Strong"/>
        </w:rPr>
        <w:t>2.4.</w:t>
      </w:r>
      <w:r>
        <w:rPr/>
        <w:t xml:space="preserve"> Перевага у відшкодуванні може надаватися творчим колективам та вихованцям, які представляють Роздільнянську міську територіальну громаду на міжнародних, всеукраїнських та обласних заходах.</w:t>
      </w:r>
    </w:p>
    <w:p>
      <w:pPr>
        <w:pStyle w:val="Normal"/>
        <w:jc w:val="both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ІІІ. Види заходів та витрат, що підлягають відшкодуванню</w:t>
      </w:r>
    </w:p>
    <w:p>
      <w:pPr>
        <w:pStyle w:val="Heading2"/>
        <w:spacing w:before="280" w:after="280"/>
        <w:jc w:val="both"/>
        <w:rPr>
          <w:b w:val="false"/>
          <w:sz w:val="24"/>
        </w:rPr>
      </w:pPr>
      <w:r>
        <w:rPr>
          <w:sz w:val="24"/>
        </w:rPr>
        <w:t>3.1.</w:t>
      </w:r>
      <w:r>
        <w:rPr>
          <w:b w:val="false"/>
          <w:sz w:val="24"/>
        </w:rPr>
        <w:t xml:space="preserve"> Відшкодування може здійснюватися у разі участі у:</w:t>
      </w:r>
    </w:p>
    <w:p>
      <w:pPr>
        <w:pStyle w:val="Normal"/>
        <w:numPr>
          <w:ilvl w:val="0"/>
          <w:numId w:val="3"/>
        </w:numPr>
        <w:spacing w:lineRule="auto" w:line="240" w:beforeAutospacing="1" w:after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міжнародних конкурсах; 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міжнародних фестивалях; 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всеукраїнських конкурсах; 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всеукраїнських фестивалях; 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обласних конкурсах; 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обласних фестивалях; 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міжрегіональних конкурсах; 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районних та міжмуніципальних заходах; 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конкурсах територіальних громад; 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виставках; 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пленерах; 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творчих проєктах; 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культурно-мистецьких заходах; </w:t>
      </w:r>
    </w:p>
    <w:p>
      <w:pPr>
        <w:pStyle w:val="Normal"/>
        <w:numPr>
          <w:ilvl w:val="0"/>
          <w:numId w:val="3"/>
        </w:numPr>
        <w:spacing w:lineRule="auto" w:line="240" w:before="0" w:afterAutospacing="1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інших офіційних заходах творчого спрямування. </w:t>
      </w:r>
    </w:p>
    <w:p>
      <w:pPr>
        <w:pStyle w:val="Heading2"/>
        <w:spacing w:before="280" w:after="280"/>
        <w:jc w:val="both"/>
        <w:rPr>
          <w:b w:val="false"/>
          <w:sz w:val="24"/>
        </w:rPr>
      </w:pPr>
      <w:r>
        <w:rPr>
          <w:sz w:val="24"/>
        </w:rPr>
        <w:t>3.2.</w:t>
      </w:r>
      <w:r>
        <w:rPr>
          <w:b w:val="false"/>
          <w:sz w:val="24"/>
        </w:rPr>
        <w:t xml:space="preserve"> Відшкодуванню можуть підлягати:</w:t>
      </w:r>
    </w:p>
    <w:p>
      <w:pPr>
        <w:pStyle w:val="Heading3"/>
        <w:jc w:val="both"/>
        <w:rPr>
          <w:rFonts w:ascii="Times New Roman" w:hAnsi="Times New Roman" w:cs="Times New Roman"/>
          <w:b w:val="false"/>
          <w:color w:val="auto"/>
          <w:sz w:val="24"/>
        </w:rPr>
      </w:pPr>
      <w:r>
        <w:rPr>
          <w:rFonts w:cs="Times New Roman" w:ascii="Times New Roman" w:hAnsi="Times New Roman"/>
          <w:b w:val="false"/>
          <w:color w:val="auto"/>
          <w:sz w:val="24"/>
        </w:rPr>
        <w:t>3.2.1. витрати на проїзд до місця проведення заходу та у зворотному напрямку;</w:t>
      </w:r>
    </w:p>
    <w:p>
      <w:pPr>
        <w:pStyle w:val="Heading3"/>
        <w:jc w:val="both"/>
        <w:rPr>
          <w:rFonts w:ascii="Times New Roman" w:hAnsi="Times New Roman" w:cs="Times New Roman"/>
          <w:b w:val="false"/>
          <w:color w:val="auto"/>
          <w:sz w:val="24"/>
        </w:rPr>
      </w:pPr>
      <w:r>
        <w:rPr>
          <w:rFonts w:cs="Times New Roman" w:ascii="Times New Roman" w:hAnsi="Times New Roman"/>
          <w:b w:val="false"/>
          <w:color w:val="auto"/>
          <w:sz w:val="24"/>
        </w:rPr>
        <w:t>3.2.2. витрати на оренду транспортного засобу;</w:t>
      </w:r>
    </w:p>
    <w:p>
      <w:pPr>
        <w:pStyle w:val="Heading3"/>
        <w:jc w:val="both"/>
        <w:rPr>
          <w:rFonts w:ascii="Times New Roman" w:hAnsi="Times New Roman" w:cs="Times New Roman"/>
          <w:b w:val="false"/>
          <w:color w:val="auto"/>
          <w:sz w:val="24"/>
        </w:rPr>
      </w:pPr>
      <w:r>
        <w:rPr>
          <w:rFonts w:cs="Times New Roman" w:ascii="Times New Roman" w:hAnsi="Times New Roman"/>
          <w:b w:val="false"/>
          <w:color w:val="auto"/>
          <w:sz w:val="24"/>
        </w:rPr>
        <w:t>3.2.3. витрати на проживання;</w:t>
      </w:r>
    </w:p>
    <w:p>
      <w:pPr>
        <w:pStyle w:val="Heading3"/>
        <w:jc w:val="both"/>
        <w:rPr>
          <w:rFonts w:ascii="Times New Roman" w:hAnsi="Times New Roman" w:cs="Times New Roman"/>
          <w:b w:val="false"/>
          <w:color w:val="auto"/>
          <w:sz w:val="24"/>
        </w:rPr>
      </w:pPr>
      <w:r>
        <w:rPr>
          <w:rFonts w:cs="Times New Roman" w:ascii="Times New Roman" w:hAnsi="Times New Roman"/>
          <w:b w:val="false"/>
          <w:color w:val="auto"/>
          <w:sz w:val="24"/>
        </w:rPr>
        <w:t xml:space="preserve">3.2.4. </w:t>
      </w:r>
      <w:r>
        <w:rPr>
          <w:rFonts w:cs="Times New Roman" w:ascii="Times New Roman" w:hAnsi="Times New Roman"/>
          <w:b w:val="false"/>
          <w:color w:val="auto"/>
          <w:sz w:val="24"/>
          <w:szCs w:val="24"/>
        </w:rPr>
        <w:t>витрати на перевезення сценічних костюмів, реквізиту, декорацій, музичних інструментів та іншого обладнання;</w:t>
      </w:r>
    </w:p>
    <w:p>
      <w:pPr>
        <w:pStyle w:val="Heading3"/>
        <w:jc w:val="both"/>
        <w:rPr>
          <w:rFonts w:ascii="Times New Roman" w:hAnsi="Times New Roman" w:cs="Times New Roman"/>
          <w:b w:val="false"/>
          <w:color w:val="auto"/>
          <w:sz w:val="24"/>
          <w:szCs w:val="24"/>
        </w:rPr>
      </w:pPr>
      <w:r>
        <w:rPr>
          <w:rFonts w:cs="Times New Roman" w:ascii="Times New Roman" w:hAnsi="Times New Roman"/>
          <w:b w:val="false"/>
          <w:color w:val="auto"/>
          <w:sz w:val="24"/>
          <w:szCs w:val="24"/>
        </w:rPr>
        <w:t>3.2.5. інші документально підтверджені витрати, безпосередньо пов'язані з участю у заході, якщо їх відшкодування погоджене комісією.</w:t>
      </w:r>
    </w:p>
    <w:p>
      <w:pPr>
        <w:pStyle w:val="Heading2"/>
        <w:spacing w:before="280" w:after="280"/>
        <w:jc w:val="both"/>
        <w:rPr>
          <w:sz w:val="24"/>
        </w:rPr>
      </w:pPr>
      <w:r>
        <w:rPr>
          <w:sz w:val="24"/>
        </w:rPr>
        <w:t xml:space="preserve">3.3. </w:t>
      </w:r>
      <w:r>
        <w:rPr>
          <w:b w:val="false"/>
          <w:sz w:val="24"/>
        </w:rPr>
        <w:t>Не підлягають відшкодуванню:</w:t>
      </w:r>
    </w:p>
    <w:p>
      <w:pPr>
        <w:pStyle w:val="Normal"/>
        <w:numPr>
          <w:ilvl w:val="0"/>
          <w:numId w:val="4"/>
        </w:numPr>
        <w:spacing w:lineRule="auto" w:line="240" w:beforeAutospacing="1" w:after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витрати, не підтверджені документами; 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штрафи; 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пеня; 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витрати, не пов'язані безпосередньо з участю у заході; </w:t>
      </w:r>
    </w:p>
    <w:p>
      <w:pPr>
        <w:pStyle w:val="Normal"/>
        <w:numPr>
          <w:ilvl w:val="0"/>
          <w:numId w:val="4"/>
        </w:numPr>
        <w:spacing w:lineRule="auto" w:line="240" w:before="0" w:afterAutospacing="1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особисті витрати учасників. </w:t>
      </w:r>
    </w:p>
    <w:p>
      <w:pPr>
        <w:pStyle w:val="Heading1"/>
        <w:spacing w:before="280" w:after="280"/>
        <w:jc w:val="both"/>
        <w:rPr>
          <w:sz w:val="28"/>
        </w:rPr>
      </w:pPr>
      <w:r>
        <w:rPr>
          <w:sz w:val="28"/>
          <w:lang w:val="en-US"/>
        </w:rPr>
        <w:t>IV</w:t>
      </w:r>
      <w:r>
        <w:rPr>
          <w:sz w:val="28"/>
        </w:rPr>
        <w:t>. Порядок організації участі у заходах, витрати на участь у яких підлягають відшкодуванню</w:t>
      </w:r>
    </w:p>
    <w:p>
      <w:pPr>
        <w:pStyle w:val="NormalWeb"/>
        <w:spacing w:before="280" w:after="280"/>
        <w:jc w:val="both"/>
        <w:rPr/>
      </w:pPr>
      <w:r>
        <w:rPr>
          <w:rStyle w:val="Strong"/>
        </w:rPr>
        <w:t>4.1.</w:t>
      </w:r>
      <w:r>
        <w:rPr/>
        <w:t xml:space="preserve"> Підставою для розгляду питання щодо відшкодування витрат є звернення директора ЦТДУМ до Відділу освіти Роздільнянської міської ради.</w:t>
      </w:r>
    </w:p>
    <w:p>
      <w:pPr>
        <w:pStyle w:val="NormalWeb"/>
        <w:spacing w:before="280" w:after="280"/>
        <w:jc w:val="both"/>
        <w:rPr/>
      </w:pPr>
      <w:r>
        <w:rPr>
          <w:rStyle w:val="Strong"/>
        </w:rPr>
        <w:t>4.2.</w:t>
      </w:r>
      <w:r>
        <w:rPr/>
        <w:t xml:space="preserve"> До звернення додаються:</w:t>
      </w:r>
    </w:p>
    <w:p>
      <w:pPr>
        <w:pStyle w:val="Normal"/>
        <w:numPr>
          <w:ilvl w:val="0"/>
          <w:numId w:val="5"/>
        </w:numPr>
        <w:spacing w:lineRule="auto" w:line="24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інформація про захід; 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положення або офіційне запрошення; 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список учасників; 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попередній кошторис витрат; </w:t>
      </w:r>
    </w:p>
    <w:p>
      <w:pPr>
        <w:pStyle w:val="Normal"/>
        <w:numPr>
          <w:ilvl w:val="0"/>
          <w:numId w:val="5"/>
        </w:numPr>
        <w:spacing w:lineRule="auto" w:line="240" w:before="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інформація про джерела фінансування (за наявності). </w:t>
      </w:r>
    </w:p>
    <w:p>
      <w:pPr>
        <w:pStyle w:val="NormalWeb"/>
        <w:spacing w:before="280" w:after="280"/>
        <w:jc w:val="both"/>
        <w:rPr/>
      </w:pPr>
      <w:r>
        <w:rPr>
          <w:rStyle w:val="Strong"/>
        </w:rPr>
        <w:t>4.3.</w:t>
      </w:r>
      <w:r>
        <w:rPr/>
        <w:t xml:space="preserve"> Участь у заході погоджується Відділом освіти Роздільнянської міської ради.</w:t>
      </w:r>
    </w:p>
    <w:p>
      <w:pPr>
        <w:pStyle w:val="NormalWeb"/>
        <w:spacing w:before="280" w:after="280"/>
        <w:jc w:val="both"/>
        <w:rPr/>
      </w:pPr>
      <w:r>
        <w:rPr>
          <w:rStyle w:val="Strong"/>
        </w:rPr>
        <w:t>4.4.</w:t>
      </w:r>
      <w:r>
        <w:rPr/>
        <w:t xml:space="preserve"> Після погодження директор ЦТДУМ видає наказ про участь творчого колективу (гуртка, вихованців) у заході.</w:t>
      </w:r>
    </w:p>
    <w:p>
      <w:pPr>
        <w:pStyle w:val="NormalWeb"/>
        <w:spacing w:before="280" w:after="280"/>
        <w:jc w:val="both"/>
        <w:rPr/>
      </w:pPr>
      <w:r>
        <w:rPr>
          <w:rStyle w:val="Strong"/>
        </w:rPr>
        <w:t>4.5.</w:t>
      </w:r>
      <w:r>
        <w:rPr/>
        <w:t xml:space="preserve"> Директор ЦТДУМ подає до Відділу освіти клопотання щодо відшкодування витрат.</w:t>
      </w:r>
    </w:p>
    <w:p>
      <w:pPr>
        <w:pStyle w:val="NormalWeb"/>
        <w:spacing w:before="280" w:after="280"/>
        <w:jc w:val="both"/>
        <w:rPr/>
      </w:pPr>
      <w:r>
        <w:rPr>
          <w:rStyle w:val="Strong"/>
        </w:rPr>
        <w:t>4.6.</w:t>
      </w:r>
      <w:r>
        <w:rPr/>
        <w:t xml:space="preserve"> У разі потреби Відділ освіти має право запросити додаткові документи або уточнення щодо запланованих витрат.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0"/>
        <w:rPr>
          <w:rFonts w:ascii="Times New Roman" w:hAnsi="Times New Roman" w:eastAsia="Times New Roman" w:cs="Times New Roman"/>
          <w:b/>
          <w:bCs/>
          <w:kern w:val="2"/>
          <w:sz w:val="28"/>
          <w:szCs w:val="48"/>
          <w:lang w:eastAsia="uk-UA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48"/>
          <w:lang w:eastAsia="uk-UA"/>
        </w:rPr>
        <w:t>V. Порядок відшкодування витрат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5.1.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Відшкодування витрат здійснюється за рахунок коштів бюджету Роздільнянської міської територіальної громади, передбачених у місцевому бюджеті на відповідний бюджетний період за бюджетною програмою, головним розпорядником коштів якої є  КУ «Роздільнянський центр освіти» Роздільнянської міської ради.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5.2.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Відшкодування витрат здійснюється виключно в межах бюджетних призначень та асигнувань, затверджених рішенням Роздільнянської міської ради про місцевий бюджет на відповідний рік.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5.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ru-RU" w:eastAsia="uk-UA"/>
        </w:rPr>
        <w:t>3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У разі недостатності бюджетних призначень рішення про відшкодування приймається з урахуванням:</w:t>
      </w:r>
    </w:p>
    <w:p>
      <w:pPr>
        <w:pStyle w:val="Normal"/>
        <w:numPr>
          <w:ilvl w:val="0"/>
          <w:numId w:val="6"/>
        </w:numPr>
        <w:spacing w:lineRule="auto" w:line="240" w:beforeAutospacing="1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рівня заходу; </w:t>
      </w:r>
    </w:p>
    <w:p>
      <w:pPr>
        <w:pStyle w:val="Normal"/>
        <w:numPr>
          <w:ilvl w:val="0"/>
          <w:numId w:val="6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значущості участі для громади; </w:t>
      </w:r>
    </w:p>
    <w:p>
      <w:pPr>
        <w:pStyle w:val="Normal"/>
        <w:numPr>
          <w:ilvl w:val="0"/>
          <w:numId w:val="6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кількості учасників; </w:t>
      </w:r>
    </w:p>
    <w:p>
      <w:pPr>
        <w:pStyle w:val="Normal"/>
        <w:numPr>
          <w:ilvl w:val="0"/>
          <w:numId w:val="6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розміру витрат; </w:t>
      </w:r>
    </w:p>
    <w:p>
      <w:pPr>
        <w:pStyle w:val="Normal"/>
        <w:numPr>
          <w:ilvl w:val="0"/>
          <w:numId w:val="6"/>
        </w:numPr>
        <w:spacing w:lineRule="auto" w:line="240" w:before="0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фінансових можливостей бюджету. 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5.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ru-RU" w:eastAsia="uk-UA"/>
        </w:rPr>
        <w:t>4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Відшкодування може здійснюватися як у повному, так і в частковому розмірі.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val="ru-RU"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5.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ru-RU" w:eastAsia="uk-UA"/>
        </w:rPr>
        <w:t>5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Розмір часткового відшкодування витрат визначається  Відділ</w:t>
      </w:r>
      <w:r>
        <w:rPr>
          <w:rFonts w:eastAsia="Times New Roman" w:cs="Times New Roman" w:ascii="Times New Roman" w:hAnsi="Times New Roman"/>
          <w:sz w:val="24"/>
          <w:szCs w:val="24"/>
          <w:lang w:val="ru-RU" w:eastAsia="uk-UA"/>
        </w:rPr>
        <w:t>ом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освіти в межах наявних бюджетних призначень та з урахуванням фактичного обсягу фінансування.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0"/>
        <w:rPr>
          <w:rFonts w:ascii="Times New Roman" w:hAnsi="Times New Roman" w:eastAsia="Times New Roman" w:cs="Times New Roman"/>
          <w:b/>
          <w:bCs/>
          <w:kern w:val="2"/>
          <w:sz w:val="28"/>
          <w:szCs w:val="48"/>
          <w:lang w:eastAsia="uk-UA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48"/>
          <w:lang w:eastAsia="uk-UA"/>
        </w:rPr>
        <w:t>VI. Перелік документів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ru-RU" w:eastAsia="uk-UA"/>
        </w:rPr>
        <w:t>6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.1.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Для відшкодування витрат до Відділу освіти подаються:</w:t>
      </w:r>
    </w:p>
    <w:p>
      <w:pPr>
        <w:pStyle w:val="Normal"/>
        <w:numPr>
          <w:ilvl w:val="0"/>
          <w:numId w:val="7"/>
        </w:numPr>
        <w:spacing w:lineRule="auto" w:line="240" w:beforeAutospacing="1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заява; </w:t>
      </w:r>
    </w:p>
    <w:p>
      <w:pPr>
        <w:pStyle w:val="Normal"/>
        <w:numPr>
          <w:ilvl w:val="0"/>
          <w:numId w:val="7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клопотання директора ЦТДУМ; </w:t>
      </w:r>
    </w:p>
    <w:p>
      <w:pPr>
        <w:pStyle w:val="Normal"/>
        <w:numPr>
          <w:ilvl w:val="0"/>
          <w:numId w:val="7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копія наказу про участь у заході; </w:t>
      </w:r>
    </w:p>
    <w:p>
      <w:pPr>
        <w:pStyle w:val="Normal"/>
        <w:numPr>
          <w:ilvl w:val="0"/>
          <w:numId w:val="7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положення або офіційне запрошення; </w:t>
      </w:r>
    </w:p>
    <w:p>
      <w:pPr>
        <w:pStyle w:val="Normal"/>
        <w:numPr>
          <w:ilvl w:val="0"/>
          <w:numId w:val="7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кошторис витрат (за потреби); </w:t>
      </w:r>
    </w:p>
    <w:p>
      <w:pPr>
        <w:pStyle w:val="Normal"/>
        <w:numPr>
          <w:ilvl w:val="0"/>
          <w:numId w:val="7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документи, що підтверджують участь у заході (диплом, сертифікат, грамота або інший документ); </w:t>
      </w:r>
    </w:p>
    <w:p>
      <w:pPr>
        <w:pStyle w:val="Normal"/>
        <w:numPr>
          <w:ilvl w:val="0"/>
          <w:numId w:val="7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документи, що підтверджують оплату витрат; </w:t>
      </w:r>
    </w:p>
    <w:p>
      <w:pPr>
        <w:pStyle w:val="Normal"/>
        <w:numPr>
          <w:ilvl w:val="0"/>
          <w:numId w:val="7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проїзні документи; </w:t>
      </w:r>
    </w:p>
    <w:p>
      <w:pPr>
        <w:pStyle w:val="Normal"/>
        <w:numPr>
          <w:ilvl w:val="0"/>
          <w:numId w:val="7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рахунки; </w:t>
      </w:r>
    </w:p>
    <w:p>
      <w:pPr>
        <w:pStyle w:val="Normal"/>
        <w:numPr>
          <w:ilvl w:val="0"/>
          <w:numId w:val="7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квитанції; </w:t>
      </w:r>
    </w:p>
    <w:p>
      <w:pPr>
        <w:pStyle w:val="Normal"/>
        <w:numPr>
          <w:ilvl w:val="0"/>
          <w:numId w:val="7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фіскальні чеки; </w:t>
      </w:r>
    </w:p>
    <w:p>
      <w:pPr>
        <w:pStyle w:val="Normal"/>
        <w:numPr>
          <w:ilvl w:val="0"/>
          <w:numId w:val="7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акти виконаних робіт (за потреби); </w:t>
      </w:r>
    </w:p>
    <w:p>
      <w:pPr>
        <w:pStyle w:val="Normal"/>
        <w:numPr>
          <w:ilvl w:val="0"/>
          <w:numId w:val="7"/>
        </w:numPr>
        <w:spacing w:lineRule="auto" w:line="240" w:before="0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інші документи, що підтверджують понесені витрати. 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ru-RU" w:eastAsia="uk-UA"/>
        </w:rPr>
        <w:t>6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.2.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Документи подаються протягом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15 робочих днів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після завершення заходу.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ru-RU" w:eastAsia="uk-UA"/>
        </w:rPr>
        <w:t>6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.3.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У разі необхідності Відділ освіти має право вимагати додаткові документи або пояснення.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0"/>
        <w:rPr>
          <w:rFonts w:ascii="Times New Roman" w:hAnsi="Times New Roman" w:eastAsia="Times New Roman" w:cs="Times New Roman"/>
          <w:b/>
          <w:bCs/>
          <w:kern w:val="2"/>
          <w:sz w:val="28"/>
          <w:szCs w:val="48"/>
          <w:lang w:eastAsia="uk-UA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48"/>
          <w:lang w:eastAsia="uk-UA"/>
        </w:rPr>
        <w:t>VII. Підстави для відмови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ru-RU" w:eastAsia="uk-UA"/>
        </w:rPr>
        <w:t>7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.1.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У відшкодуванні витрат може бути відмовлено у разі:</w:t>
      </w:r>
    </w:p>
    <w:p>
      <w:pPr>
        <w:pStyle w:val="Normal"/>
        <w:numPr>
          <w:ilvl w:val="0"/>
          <w:numId w:val="8"/>
        </w:numPr>
        <w:spacing w:lineRule="auto" w:line="240" w:beforeAutospacing="1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подання неповного пакета документів; </w:t>
      </w:r>
    </w:p>
    <w:p>
      <w:pPr>
        <w:pStyle w:val="Normal"/>
        <w:numPr>
          <w:ilvl w:val="0"/>
          <w:numId w:val="8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подання недостовірних документів; </w:t>
      </w:r>
    </w:p>
    <w:p>
      <w:pPr>
        <w:pStyle w:val="Normal"/>
        <w:numPr>
          <w:ilvl w:val="0"/>
          <w:numId w:val="8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відсутності підтвердних документів; </w:t>
      </w:r>
    </w:p>
    <w:p>
      <w:pPr>
        <w:pStyle w:val="Normal"/>
        <w:numPr>
          <w:ilvl w:val="0"/>
          <w:numId w:val="8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якщо захід не був погоджений у встановленому порядку; </w:t>
      </w:r>
    </w:p>
    <w:p>
      <w:pPr>
        <w:pStyle w:val="Normal"/>
        <w:numPr>
          <w:ilvl w:val="0"/>
          <w:numId w:val="8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якщо витрати не відповідають вимогам цього Положення; </w:t>
      </w:r>
    </w:p>
    <w:p>
      <w:pPr>
        <w:pStyle w:val="Normal"/>
        <w:numPr>
          <w:ilvl w:val="0"/>
          <w:numId w:val="8"/>
        </w:numPr>
        <w:spacing w:lineRule="auto" w:line="240" w:before="0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відсутності бюджетних призначень. 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ru-RU" w:eastAsia="uk-UA"/>
        </w:rPr>
        <w:t>7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.2.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Рішення про відмову оформлюється письмово із зазначенням підстав.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0"/>
        <w:rPr>
          <w:rFonts w:ascii="Times New Roman" w:hAnsi="Times New Roman" w:eastAsia="Times New Roman" w:cs="Times New Roman"/>
          <w:b/>
          <w:bCs/>
          <w:kern w:val="2"/>
          <w:sz w:val="28"/>
          <w:szCs w:val="48"/>
          <w:lang w:eastAsia="uk-UA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48"/>
          <w:lang w:eastAsia="uk-UA"/>
        </w:rPr>
        <w:t>VIIІ. Контроль та відповідальність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8.1.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Контроль за правильністю використання бюджетних коштів здійснює Відділ освіти Роздільнянської міської ради.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8.2.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Особи, які подали недостовірні документи або отримали кошти без законних підстав, несуть відповідальність відповідно до законодавства України.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8.3.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У разі встановлення факту безпідставного отримання коштів вони підлягають поверненню до бюджету в порядку, визначеному законодавством.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0"/>
        <w:rPr>
          <w:rFonts w:ascii="Times New Roman" w:hAnsi="Times New Roman" w:eastAsia="Times New Roman" w:cs="Times New Roman"/>
          <w:b/>
          <w:bCs/>
          <w:kern w:val="2"/>
          <w:sz w:val="28"/>
          <w:szCs w:val="48"/>
          <w:lang w:eastAsia="uk-UA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48"/>
          <w:lang w:eastAsia="uk-UA"/>
        </w:rPr>
        <w:t>IX. Прикінцеві положення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9.1.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Це Положення набирає чинності з дня набрання чинності рішенням Роздільнянської міської ради про його затвердження.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9.2.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Відшкодування витрат здійснюється в межах бюджетних призначень, передбачених у бюджеті Роздільнянської міської територіальної громади на відповідний бюджетний період.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9.3.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У разі недостатності бюджетних призначень Відділ освіти Роздільнянської міської ради має право:</w:t>
      </w:r>
    </w:p>
    <w:p>
      <w:pPr>
        <w:pStyle w:val="Normal"/>
        <w:numPr>
          <w:ilvl w:val="0"/>
          <w:numId w:val="9"/>
        </w:numPr>
        <w:spacing w:lineRule="auto" w:line="240" w:beforeAutospacing="1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здійснювати часткове відшкодування витрат; </w:t>
      </w:r>
    </w:p>
    <w:p>
      <w:pPr>
        <w:pStyle w:val="Normal"/>
        <w:numPr>
          <w:ilvl w:val="0"/>
          <w:numId w:val="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визначати черговість розгляду звернень; </w:t>
      </w:r>
    </w:p>
    <w:p>
      <w:pPr>
        <w:pStyle w:val="Normal"/>
        <w:numPr>
          <w:ilvl w:val="0"/>
          <w:numId w:val="9"/>
        </w:numPr>
        <w:spacing w:lineRule="auto" w:line="240" w:before="0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перенести розгляд заяви до моменту виділення додаткового фінансування. 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9.4.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Питання, не врегульовані цим Положенням, вирішуються відповідно до чинного законодавства України.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uk-UA"/>
        </w:rPr>
        <w:t>9.5.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Контроль за дотриманням цього Положення покладається на Відділ освіти Роздільнянської міської ради.</w:t>
      </w:r>
    </w:p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10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Heading1">
    <w:name w:val="heading 1"/>
    <w:basedOn w:val="Normal"/>
    <w:link w:val="1"/>
    <w:uiPriority w:val="9"/>
    <w:qFormat/>
    <w:rsid w:val="0003445b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uk-UA"/>
    </w:rPr>
  </w:style>
  <w:style w:type="paragraph" w:styleId="Heading2">
    <w:name w:val="heading 2"/>
    <w:basedOn w:val="Normal"/>
    <w:link w:val="2"/>
    <w:uiPriority w:val="9"/>
    <w:qFormat/>
    <w:rsid w:val="0003445b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uk-UA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03445b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03445b"/>
    <w:rPr>
      <w:rFonts w:ascii="Times New Roman" w:hAnsi="Times New Roman" w:eastAsia="Times New Roman" w:cs="Times New Roman"/>
      <w:b/>
      <w:bCs/>
      <w:kern w:val="2"/>
      <w:sz w:val="48"/>
      <w:szCs w:val="48"/>
      <w:lang w:eastAsia="uk-UA"/>
    </w:rPr>
  </w:style>
  <w:style w:type="character" w:styleId="2" w:customStyle="1">
    <w:name w:val="Заголовок 2 Знак"/>
    <w:basedOn w:val="DefaultParagraphFont"/>
    <w:uiPriority w:val="9"/>
    <w:qFormat/>
    <w:rsid w:val="0003445b"/>
    <w:rPr>
      <w:rFonts w:ascii="Times New Roman" w:hAnsi="Times New Roman" w:eastAsia="Times New Roman" w:cs="Times New Roman"/>
      <w:b/>
      <w:bCs/>
      <w:sz w:val="36"/>
      <w:szCs w:val="36"/>
      <w:lang w:eastAsia="uk-UA"/>
    </w:rPr>
  </w:style>
  <w:style w:type="character" w:styleId="Strong">
    <w:name w:val="Strong"/>
    <w:basedOn w:val="DefaultParagraphFont"/>
    <w:uiPriority w:val="22"/>
    <w:qFormat/>
    <w:rsid w:val="0003445b"/>
    <w:rPr>
      <w:b/>
      <w:bCs/>
    </w:rPr>
  </w:style>
  <w:style w:type="character" w:styleId="3" w:customStyle="1">
    <w:name w:val="Заголовок 3 Знак"/>
    <w:basedOn w:val="DefaultParagraphFont"/>
    <w:uiPriority w:val="9"/>
    <w:qFormat/>
    <w:rsid w:val="0003445b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Style11" w:customStyle="1">
    <w:name w:val="Основной текст Знак"/>
    <w:basedOn w:val="DefaultParagraphFont"/>
    <w:qFormat/>
    <w:rsid w:val="00fb6879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21" w:customStyle="1">
    <w:name w:val="Основной текст 2 Знак"/>
    <w:basedOn w:val="DefaultParagraphFont"/>
    <w:link w:val="BodyText2"/>
    <w:qFormat/>
    <w:rsid w:val="00fb6879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qFormat/>
    <w:rsid w:val="008b0d88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1"/>
    <w:rsid w:val="00fb6879"/>
    <w:p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03445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BodyText2">
    <w:name w:val="Body Text 2"/>
    <w:basedOn w:val="Normal"/>
    <w:link w:val="21"/>
    <w:qFormat/>
    <w:rsid w:val="00fb6879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8b0d8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175c"/>
    <w:pPr>
      <w:spacing w:before="0" w:after="200"/>
      <w:ind w:start="720"/>
      <w:contextualSpacing/>
    </w:pPr>
    <w:rPr/>
  </w:style>
  <w:style w:type="numbering" w:styleId="Style15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inyurl.com/mvd2jwac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LibreOffice/26.2.5.2$Windows_x86 LibreOffice_project/cd7284b4cbbfeb507e630c1aac019f4157393acb</Application>
  <AppVersion>15.0000</AppVersion>
  <Pages>5</Pages>
  <Words>1008</Words>
  <Characters>6851</Characters>
  <CharactersWithSpaces>7897</CharactersWithSpaces>
  <Paragraphs>125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2026-08-27T11:40:00Z</dcterms:created>
  <dc:creator>Користувач</dc:creator>
  <dc:description/>
  <dc:language>uk-UA</dc:language>
  <cp:lastModifiedBy/>
  <cp:lastPrinted>2026-08-27T11:44:00Z</cp:lastPrinted>
  <dcterms:modified xsi:type="dcterms:W3CDTF">2026-09-16T13:46:17Z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