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hd w:val="clear" w:color="auto" w:fill="FFFFFF"/>
        <w:jc w:val="end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val="ru-RU" w:eastAsia="uk-UA"/>
        </w:rPr>
        <w:t xml:space="preserve">           </w:t>
      </w:r>
      <w:r>
        <w:rPr>
          <w:bCs/>
          <w:color w:val="000000"/>
          <w:sz w:val="24"/>
          <w:szCs w:val="24"/>
          <w:lang w:val="ru-RU" w:eastAsia="uk-UA"/>
        </w:rPr>
        <w:t>д</w:t>
      </w:r>
      <w:r>
        <w:rPr>
          <w:bCs/>
          <w:color w:val="000000"/>
          <w:sz w:val="24"/>
          <w:szCs w:val="24"/>
          <w:lang w:eastAsia="uk-UA"/>
        </w:rPr>
        <w:t>одаток 1</w:t>
      </w:r>
    </w:p>
    <w:p>
      <w:pPr>
        <w:pStyle w:val="Normal"/>
        <w:widowControl/>
        <w:shd w:val="clear" w:color="auto" w:fill="FFFFFF"/>
        <w:jc w:val="end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  <w:t>до Програми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color w:val="000000"/>
          <w:sz w:val="24"/>
          <w:szCs w:val="24"/>
          <w:lang w:val="ru-RU" w:eastAsia="uk-UA"/>
        </w:rPr>
      </w:pPr>
      <w:r>
        <w:rPr>
          <w:b/>
          <w:bCs/>
          <w:color w:val="000000"/>
          <w:sz w:val="24"/>
          <w:szCs w:val="24"/>
          <w:lang w:val="ru-RU" w:eastAsia="uk-UA"/>
        </w:rPr>
        <w:t>ПАСПОРТ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color w:val="000000"/>
          <w:sz w:val="24"/>
          <w:szCs w:val="24"/>
          <w:lang w:eastAsia="uk-UA"/>
        </w:rPr>
      </w:pPr>
      <w:r>
        <w:rPr>
          <w:b/>
          <w:bCs/>
          <w:color w:val="000000"/>
          <w:sz w:val="24"/>
          <w:szCs w:val="24"/>
          <w:lang w:eastAsia="uk-UA"/>
        </w:rPr>
        <w:t>ПРОГРАМИ РОЗВИТКУ ОХОРОНИ ЗДОРОВ'Я </w:t>
      </w:r>
    </w:p>
    <w:p>
      <w:pPr>
        <w:pStyle w:val="Normal"/>
        <w:widowControl/>
        <w:shd w:val="clear" w:color="auto" w:fill="FFFFFF"/>
        <w:jc w:val="center"/>
        <w:textAlignment w:val="baseline"/>
        <w:rPr>
          <w:color w:val="000000"/>
          <w:sz w:val="24"/>
          <w:szCs w:val="24"/>
          <w:lang w:val="ru-RU" w:eastAsia="uk-UA"/>
        </w:rPr>
      </w:pPr>
      <w:r>
        <w:rPr>
          <w:b/>
          <w:bCs/>
          <w:color w:val="000000"/>
          <w:sz w:val="24"/>
          <w:szCs w:val="24"/>
          <w:lang w:eastAsia="uk-UA"/>
        </w:rPr>
        <w:t>РОЗДІЛЬНЯНСЬКОЇ МІСЬКОЇ ТЕРИТОРІАЛЬНОЇ ГРОМАДИ</w:t>
      </w:r>
      <w:r>
        <w:rPr>
          <w:b/>
          <w:bCs/>
          <w:color w:val="000000"/>
          <w:sz w:val="24"/>
          <w:szCs w:val="24"/>
          <w:lang w:val="ru-RU" w:eastAsia="uk-UA"/>
        </w:rPr>
        <w:t xml:space="preserve"> на 2024-2028 роки</w:t>
      </w:r>
    </w:p>
    <w:tbl>
      <w:tblPr>
        <w:tblpPr w:vertAnchor="text" w:horzAnchor="margin" w:tblpXSpec="center" w:leftFromText="180" w:rightFromText="180" w:tblpY="250"/>
        <w:tblW w:w="99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74"/>
        <w:gridCol w:w="3290"/>
        <w:gridCol w:w="5987"/>
      </w:tblGrid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firstLine="18" w:start="-1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Назва Програми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Програма  розвитку охорони здоров’я Роздільнянської міської територіальної громади  на  2024-2028 роки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firstLine="18" w:start="-18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Підстави для розробки</w:t>
            </w:r>
            <w:r>
              <w:rPr>
                <w:sz w:val="24"/>
                <w:szCs w:val="24"/>
                <w:lang w:eastAsia="ru-RU"/>
              </w:rPr>
              <w:t xml:space="preserve"> /Дата,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Закон України «Про місцеве самоврядування в Україні», Закон України від 01.01.2019 №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color w:val="000000"/>
                <w:sz w:val="24"/>
                <w:szCs w:val="24"/>
                <w:lang w:eastAsia="ru-RU"/>
              </w:rPr>
              <w:t>2801-ХІІ «Основи законодавства України про охорону здоров’я», Закон України від 19.10.2017 № 2168-VIII «Про державні фінансові гарантії медичного обслуговування населення» (зі змінами), Бюджетний кодекс України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Спів розробники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Відділ  соціальної політики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Організації-співвиконавці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КНП «РМЦПМСД» Роздільнянської міської ради,</w:t>
            </w:r>
          </w:p>
          <w:p>
            <w:pPr>
              <w:pStyle w:val="Normal"/>
              <w:widowControl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КНП «Роздільнянська БПЛ» Роздільнянської міської ради, Фінансове управління Роздільнянської міської ради</w:t>
            </w:r>
          </w:p>
        </w:tc>
      </w:tr>
      <w:tr>
        <w:trPr>
          <w:trHeight w:val="62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Мета 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Реалізація державної політики реформування галузі охорони здоров’я з подальшим удосконаленням первинної, амбулаторно-поліклінічної  та вторинної  медичної допомоги</w:t>
            </w:r>
          </w:p>
        </w:tc>
      </w:tr>
      <w:tr>
        <w:trPr>
          <w:trHeight w:val="62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98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2024-2028 роки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</w:rPr>
              <w:t xml:space="preserve">56 774,495 </w:t>
            </w:r>
            <w:r>
              <w:rPr>
                <w:color w:val="000000"/>
                <w:sz w:val="24"/>
                <w:szCs w:val="24"/>
                <w:lang w:eastAsia="ru-RU"/>
              </w:rPr>
              <w:t>тис.грн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56 774,495 тис.грн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 тому числі: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державного бюджету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місцевого бюджету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55 274,495 </w:t>
            </w:r>
            <w:r>
              <w:rPr>
                <w:color w:val="000000"/>
                <w:sz w:val="24"/>
                <w:szCs w:val="24"/>
                <w:lang w:eastAsia="ru-RU"/>
              </w:rPr>
              <w:t>тис.грн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кошти інших місцевих бюджетів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1 500,00 тис.грн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кошти обласного бюджету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Очікувані результати виконання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Поліпшити якість надання  медичних послуг первинної та вторинної ланки для населенню Роздільнянської міської територіальної громади;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Поліпшення матеріально-технічної бази та необхідністю створення сприятливих умов для здійснення модернізації галузі охорони здоров’я в Роздільнянській міській територіальній громаді.</w:t>
            </w:r>
          </w:p>
          <w:p>
            <w:pPr>
              <w:pStyle w:val="Normal"/>
              <w:widowControl/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Забезпечити досягнення цільових значень ключових індикативних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показників Стратегії розвитку громади в сфері охорони здоров'я, що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сприятиме підвищенню якості життя мешканців та сталому розвитку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громади.</w:t>
            </w:r>
          </w:p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Контроль за виконанням (орган, уповноважений здійснювати контроль за виконанням)</w:t>
            </w:r>
          </w:p>
        </w:tc>
        <w:tc>
          <w:tcPr>
            <w:tcW w:w="5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Постійна комісія з питань соціального захисту населення, молодіжної політики, охорони здоров’я, освіти, підтримки  культури та спорту.</w:t>
            </w:r>
          </w:p>
        </w:tc>
      </w:tr>
    </w:tbl>
    <w:p>
      <w:pPr>
        <w:pStyle w:val="Normal"/>
        <w:widowControl/>
        <w:shd w:val="clear" w:color="auto" w:fill="FFFFFF"/>
        <w:spacing w:lineRule="auto" w:line="276" w:before="0" w:after="200"/>
        <w:ind w:start="720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437"/>
        <w:rPr/>
      </w:pPr>
      <w:r>
        <w:rPr/>
      </w:r>
    </w:p>
    <w:p>
      <w:pPr>
        <w:pStyle w:val="Normal"/>
        <w:spacing w:lineRule="auto" w:line="437" w:before="0" w:after="0"/>
        <w:rPr/>
        <w:sectPr>
          <w:type w:val="nextPage"/>
          <w:pgSz w:w="11906" w:h="16838"/>
          <w:pgMar w:left="1701" w:right="567" w:gutter="0" w:header="0" w:top="1134" w:footer="0" w:bottom="851"/>
          <w:pgNumType w:fmt="decimal"/>
          <w:formProt w:val="false"/>
          <w:textDirection w:val="lrTb"/>
          <w:docGrid w:type="default" w:linePitch="100" w:charSpace="0"/>
        </w:sectPr>
      </w:pPr>
      <w:r>
        <w:rPr/>
      </w:r>
    </w:p>
    <w:p>
      <w:pPr>
        <w:pStyle w:val="Normal"/>
        <w:ind w:end="321"/>
        <w:jc w:val="end"/>
        <w:rPr/>
      </w:pPr>
      <w:r>
        <w:rPr/>
        <w:t xml:space="preserve">додаток 3 </w:t>
      </w:r>
    </w:p>
    <w:p>
      <w:pPr>
        <w:pStyle w:val="Normal"/>
        <w:jc w:val="end"/>
        <w:rPr/>
      </w:pPr>
      <w:r>
        <w:rPr/>
        <w:t>до Програми</w:t>
      </w:r>
    </w:p>
    <w:p>
      <w:pPr>
        <w:pStyle w:val="Normal"/>
        <w:jc w:val="end"/>
        <w:rPr>
          <w:szCs w:val="24"/>
        </w:rPr>
      </w:pPr>
      <w:r>
        <w:rPr>
          <w:szCs w:val="24"/>
        </w:rPr>
      </w:r>
    </w:p>
    <w:p>
      <w:pPr>
        <w:pStyle w:val="Normal"/>
        <w:numPr>
          <w:ilvl w:val="0"/>
          <w:numId w:val="0"/>
        </w:numPr>
        <w:ind w:start="779" w:end="57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Ресурсне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</w:rPr>
        <w:t>забезпечення</w:t>
      </w:r>
    </w:p>
    <w:p>
      <w:pPr>
        <w:pStyle w:val="Normal"/>
        <w:ind w:start="779" w:end="582"/>
        <w:jc w:val="center"/>
        <w:rPr>
          <w:b/>
          <w:sz w:val="24"/>
        </w:rPr>
      </w:pPr>
      <w:r>
        <w:rPr>
          <w:b/>
          <w:sz w:val="24"/>
        </w:rPr>
        <w:t>ПРОГРАМИРОЗВИТКУОХОРОНИЗДОРОВ'ЯРОЗДІЛЬНЯНСЬКОЇМІСЬКОЇТЕРИТОРІАЛЬНОЇГРОМАДИна2024 – 2028роки</w:t>
      </w:r>
    </w:p>
    <w:p>
      <w:pPr>
        <w:pStyle w:val="Normal"/>
        <w:spacing w:before="4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1" w:after="0"/>
        <w:ind w:end="649"/>
        <w:jc w:val="end"/>
        <w:rPr>
          <w:b/>
        </w:rPr>
      </w:pPr>
      <w:r>
        <w:rPr>
          <w:b/>
        </w:rPr>
        <w:t>тис.грн</w:t>
      </w:r>
    </w:p>
    <w:tbl>
      <w:tblPr>
        <w:tblW w:w="10214" w:type="dxa"/>
        <w:jc w:val="start"/>
        <w:tblInd w:w="39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827"/>
        <w:gridCol w:w="1051"/>
        <w:gridCol w:w="933"/>
        <w:gridCol w:w="992"/>
        <w:gridCol w:w="851"/>
        <w:gridCol w:w="851"/>
        <w:gridCol w:w="1709"/>
      </w:tblGrid>
      <w:tr>
        <w:trPr>
          <w:trHeight w:val="195" w:hRule="atLeast"/>
        </w:trPr>
        <w:tc>
          <w:tcPr>
            <w:tcW w:w="382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26" w:after="0"/>
              <w:ind w:hanging="5" w:start="150" w:end="133"/>
              <w:jc w:val="center"/>
              <w:rPr>
                <w:b/>
              </w:rPr>
            </w:pPr>
            <w:r>
              <w:rPr>
                <w:b/>
              </w:rPr>
              <w:t>Обсяг коштів, які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spacing w:val="-3"/>
              </w:rPr>
              <w:t>пропонується</w:t>
            </w:r>
            <w:r>
              <w:rPr>
                <w:b/>
                <w:spacing w:val="-3"/>
                <w:lang w:val="ru-RU"/>
              </w:rPr>
              <w:t xml:space="preserve"> </w:t>
            </w:r>
            <w:r>
              <w:rPr>
                <w:b/>
                <w:spacing w:val="-2"/>
              </w:rPr>
              <w:t>залучити</w:t>
            </w:r>
            <w:r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  <w:spacing w:val="-2"/>
              </w:rPr>
              <w:t>для</w:t>
            </w:r>
            <w:r>
              <w:rPr>
                <w:b/>
                <w:spacing w:val="-2"/>
                <w:lang w:val="ru-RU"/>
              </w:rPr>
              <w:t xml:space="preserve"> </w:t>
            </w:r>
            <w:r>
              <w:rPr>
                <w:b/>
              </w:rPr>
              <w:t>виконання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програми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Термін виконання </w:t>
            </w:r>
            <w:r>
              <w:rPr>
                <w:b/>
                <w:bCs/>
              </w:rPr>
              <w:t>програми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Усього витрат на виконання програм</w:t>
            </w:r>
          </w:p>
        </w:tc>
      </w:tr>
      <w:tr>
        <w:trPr>
          <w:trHeight w:val="354" w:hRule="atLeast"/>
        </w:trPr>
        <w:tc>
          <w:tcPr>
            <w:tcW w:w="382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26" w:after="0"/>
              <w:ind w:hanging="5" w:start="150" w:end="133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  <w:tc>
          <w:tcPr>
            <w:tcW w:w="17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626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ind w:start="110"/>
              <w:rPr/>
            </w:pPr>
            <w:r>
              <w:rPr/>
              <w:t>Бюджет міської</w:t>
            </w:r>
            <w:r>
              <w:rPr>
                <w:lang w:val="ru-RU"/>
              </w:rPr>
              <w:t xml:space="preserve"> </w:t>
            </w:r>
            <w:r>
              <w:rPr>
                <w:spacing w:val="-1"/>
              </w:rPr>
              <w:t>територіальної</w:t>
            </w:r>
            <w:r>
              <w:rPr>
                <w:spacing w:val="-1"/>
                <w:lang w:val="ru-RU"/>
              </w:rPr>
              <w:t xml:space="preserve"> </w:t>
            </w:r>
            <w:r>
              <w:rPr/>
              <w:t>громади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ru-RU"/>
              </w:rPr>
              <w:t>0</w:t>
            </w:r>
            <w:r>
              <w:rPr>
                <w:b/>
                <w:sz w:val="18"/>
                <w:szCs w:val="18"/>
              </w:rPr>
              <w:t>436,236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9755,759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19982,50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2250,00</w:t>
            </w:r>
          </w:p>
        </w:tc>
        <w:tc>
          <w:tcPr>
            <w:tcW w:w="1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18"/>
                <w:szCs w:val="18"/>
              </w:rPr>
              <w:t>55 274,495</w:t>
            </w:r>
          </w:p>
        </w:tc>
      </w:tr>
      <w:tr>
        <w:trPr>
          <w:trHeight w:val="257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60"/>
              <w:ind w:start="110"/>
              <w:rPr/>
            </w:pPr>
            <w:r>
              <w:rPr/>
              <w:t>Інші</w:t>
            </w:r>
            <w:r>
              <w:rPr>
                <w:lang w:val="ru-RU"/>
              </w:rPr>
              <w:t xml:space="preserve"> </w:t>
            </w:r>
            <w:r>
              <w:rPr/>
              <w:t>місцеві</w:t>
            </w:r>
            <w:r>
              <w:rPr>
                <w:lang w:val="ru-RU"/>
              </w:rPr>
              <w:t xml:space="preserve"> </w:t>
            </w:r>
            <w:r>
              <w:rPr/>
              <w:t>бюджети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1 000,00</w:t>
            </w:r>
          </w:p>
        </w:tc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1 500,00</w:t>
            </w:r>
          </w:p>
        </w:tc>
      </w:tr>
      <w:tr>
        <w:trPr>
          <w:trHeight w:val="316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72"/>
              <w:ind w:start="110"/>
              <w:rPr/>
            </w:pPr>
            <w:r>
              <w:rPr/>
              <w:t>Державний</w:t>
            </w:r>
            <w:r>
              <w:rPr>
                <w:lang w:val="ru-RU"/>
              </w:rPr>
              <w:t xml:space="preserve"> </w:t>
            </w:r>
            <w:r>
              <w:rPr/>
              <w:t>бюджет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72"/>
              <w:ind w:start="13"/>
              <w:jc w:val="center"/>
              <w:rPr/>
            </w:pPr>
            <w:r>
              <w:rPr/>
              <w:t>-</w:t>
            </w:r>
          </w:p>
        </w:tc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>
          <w:trHeight w:val="316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72"/>
              <w:ind w:start="110"/>
              <w:rPr/>
            </w:pPr>
            <w:r>
              <w:rPr/>
              <w:t>Інші джерела</w:t>
            </w:r>
            <w:r>
              <w:rPr>
                <w:lang w:val="ru-RU"/>
              </w:rPr>
              <w:t xml:space="preserve"> </w:t>
            </w:r>
            <w:r>
              <w:rPr/>
              <w:t>фінансування, не</w:t>
            </w:r>
            <w:r>
              <w:rPr>
                <w:spacing w:val="-1"/>
              </w:rPr>
              <w:t xml:space="preserve">заборонені </w:t>
            </w:r>
            <w:r>
              <w:rPr/>
              <w:t>законодавством</w:t>
            </w:r>
            <w:r>
              <w:rPr>
                <w:lang w:val="ru-RU"/>
              </w:rPr>
              <w:t xml:space="preserve"> </w:t>
            </w:r>
            <w:r>
              <w:rPr/>
              <w:t>України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>
          <w:trHeight w:val="317" w:hRule="atLeast"/>
        </w:trPr>
        <w:tc>
          <w:tcPr>
            <w:tcW w:w="3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6" w:after="0"/>
              <w:ind w:end="1112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>РАЗОМ: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ru-RU"/>
              </w:rPr>
              <w:t>1</w:t>
            </w:r>
            <w:r>
              <w:rPr>
                <w:b/>
                <w:sz w:val="18"/>
                <w:szCs w:val="18"/>
              </w:rPr>
              <w:t>436,236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10 255,759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19982,50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2850,00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2250,00</w:t>
            </w:r>
          </w:p>
        </w:tc>
        <w:tc>
          <w:tcPr>
            <w:tcW w:w="1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56 774,495</w:t>
            </w:r>
          </w:p>
        </w:tc>
      </w:tr>
    </w:tbl>
    <w:p>
      <w:pPr>
        <w:pStyle w:val="Normal"/>
        <w:widowControl/>
        <w:shd w:val="clear" w:color="auto" w:fill="FFFFFF"/>
        <w:jc w:val="center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ind w:start="8334"/>
        <w:textAlignment w:val="baseline"/>
        <w:rPr>
          <w:bCs/>
          <w:color w:val="000000"/>
          <w:sz w:val="24"/>
          <w:szCs w:val="24"/>
          <w:lang w:eastAsia="uk-UA"/>
        </w:r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widowControl/>
        <w:shd w:val="clear" w:color="auto" w:fill="FFFFFF"/>
        <w:spacing w:before="0" w:after="0"/>
        <w:ind w:start="8334"/>
        <w:textAlignment w:val="baseline"/>
        <w:rPr>
          <w:bCs/>
          <w:color w:val="000000"/>
          <w:sz w:val="24"/>
          <w:szCs w:val="24"/>
          <w:lang w:eastAsia="uk-UA"/>
        </w:rPr>
        <w:sectPr>
          <w:type w:val="nextPage"/>
          <w:pgSz w:w="11906" w:h="16838"/>
          <w:pgMar w:left="1080" w:right="440" w:gutter="0" w:header="0" w:top="7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Cs/>
          <w:color w:val="000000"/>
          <w:sz w:val="24"/>
          <w:szCs w:val="24"/>
          <w:lang w:eastAsia="uk-UA"/>
        </w:rPr>
      </w:r>
    </w:p>
    <w:p>
      <w:pPr>
        <w:pStyle w:val="Normal"/>
        <w:ind w:end="475"/>
        <w:jc w:val="end"/>
        <w:rPr>
          <w:spacing w:val="5"/>
          <w:sz w:val="24"/>
          <w:szCs w:val="24"/>
        </w:rPr>
      </w:pPr>
      <w:bookmarkStart w:id="0" w:name="Лист1"/>
      <w:bookmarkEnd w:id="0"/>
      <w:r>
        <w:rPr>
          <w:sz w:val="24"/>
          <w:szCs w:val="24"/>
        </w:rPr>
        <w:t>додаток 2</w:t>
      </w:r>
    </w:p>
    <w:p>
      <w:pPr>
        <w:pStyle w:val="Normal"/>
        <w:ind w:end="169"/>
        <w:jc w:val="en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5"/>
          <w:sz w:val="24"/>
          <w:szCs w:val="24"/>
        </w:rPr>
        <w:t xml:space="preserve"> П</w:t>
      </w:r>
      <w:r>
        <w:rPr>
          <w:sz w:val="24"/>
          <w:szCs w:val="24"/>
        </w:rPr>
        <w:t>рограми</w:t>
      </w:r>
    </w:p>
    <w:p>
      <w:pPr>
        <w:pStyle w:val="Normal"/>
        <w:spacing w:before="57" w:after="0"/>
        <w:ind w:start="734"/>
        <w:rPr>
          <w:b/>
          <w:sz w:val="19"/>
        </w:rPr>
      </w:pPr>
      <w:r>
        <w:rPr>
          <w:b/>
          <w:sz w:val="19"/>
        </w:rPr>
        <w:t>НАПРЯМИ ДІЯЛЬНОСТІ ТА ЗАХОДИ ПРОГРАМИ РОЗВИТКУ ОХОРОНИ ЗДОРОВ'Я РОЗДІЛЬНЯНСЬКОЇ МІСЬКОЇ ТЕРИТОРІАЛЬНОЇ ГРОМАДИ на 2024-2028 роки</w:t>
      </w:r>
    </w:p>
    <w:tbl>
      <w:tblPr>
        <w:tblW w:w="16147" w:type="dxa"/>
        <w:jc w:val="start"/>
        <w:tblInd w:w="140" w:type="dxa"/>
        <w:tblLayout w:type="fixed"/>
        <w:tblCellMar>
          <w:top w:w="0" w:type="dxa"/>
          <w:start w:w="15" w:type="dxa"/>
          <w:bottom w:w="0" w:type="dxa"/>
          <w:end w:w="7" w:type="dxa"/>
        </w:tblCellMar>
        <w:tblLook w:val="01e0" w:firstRow="1" w:noVBand="0" w:lastRow="1" w:firstColumn="1" w:lastColumn="1" w:noHBand="0"/>
      </w:tblPr>
      <w:tblGrid>
        <w:gridCol w:w="313"/>
        <w:gridCol w:w="1450"/>
        <w:gridCol w:w="4485"/>
        <w:gridCol w:w="554"/>
        <w:gridCol w:w="2006"/>
        <w:gridCol w:w="1132"/>
        <w:gridCol w:w="85"/>
        <w:gridCol w:w="782"/>
        <w:gridCol w:w="896"/>
        <w:gridCol w:w="930"/>
        <w:gridCol w:w="849"/>
        <w:gridCol w:w="685"/>
        <w:gridCol w:w="607"/>
        <w:gridCol w:w="1373"/>
      </w:tblGrid>
      <w:tr>
        <w:trPr>
          <w:trHeight w:val="374" w:hRule="atLeast"/>
        </w:trPr>
        <w:tc>
          <w:tcPr>
            <w:tcW w:w="313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before="2" w:after="0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bookmarkStart w:id="1" w:name="OLE_LINK2"/>
            <w:bookmarkStart w:id="2" w:name="OLE_LINK1"/>
          </w:p>
          <w:p>
            <w:pPr>
              <w:pStyle w:val="Normal"/>
              <w:spacing w:lineRule="auto" w:line="233"/>
              <w:ind w:firstLine="34" w:start="50" w:end="11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t>п/п</w:t>
            </w:r>
          </w:p>
        </w:tc>
        <w:tc>
          <w:tcPr>
            <w:tcW w:w="1450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Пріоритетні завдання</w:t>
            </w:r>
          </w:p>
        </w:tc>
        <w:tc>
          <w:tcPr>
            <w:tcW w:w="4485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Перелік заходів програм</w:t>
            </w:r>
          </w:p>
        </w:tc>
        <w:tc>
          <w:tcPr>
            <w:tcW w:w="554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textDirection w:val="btLr"/>
          </w:tcPr>
          <w:p>
            <w:pPr>
              <w:pStyle w:val="Normal"/>
              <w:spacing w:lineRule="exact" w:line="178" w:before="28" w:after="0"/>
              <w:ind w:start="129" w:end="1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Строквиконання</w:t>
            </w:r>
            <w:r>
              <w:rPr>
                <w:b/>
                <w:spacing w:val="-1"/>
                <w:sz w:val="16"/>
              </w:rPr>
              <w:t>заходу,</w:t>
            </w:r>
            <w:r>
              <w:rPr>
                <w:b/>
                <w:sz w:val="16"/>
              </w:rPr>
              <w:t>роки</w:t>
            </w:r>
          </w:p>
        </w:tc>
        <w:tc>
          <w:tcPr>
            <w:tcW w:w="2006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before="6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Normal"/>
              <w:ind w:start="460"/>
              <w:rPr>
                <w:b/>
                <w:sz w:val="16"/>
              </w:rPr>
            </w:pPr>
            <w:r>
              <w:rPr>
                <w:b/>
                <w:sz w:val="16"/>
              </w:rPr>
              <w:t>Виконавці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before="6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Normal"/>
              <w:ind w:start="75"/>
              <w:rPr>
                <w:b/>
                <w:sz w:val="16"/>
              </w:rPr>
            </w:pPr>
            <w:r>
              <w:rPr>
                <w:b/>
                <w:sz w:val="16"/>
              </w:rPr>
              <w:t>Джерелафінансування</w:t>
            </w:r>
          </w:p>
        </w:tc>
        <w:tc>
          <w:tcPr>
            <w:tcW w:w="4749" w:type="dxa"/>
            <w:gridSpan w:val="6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spacing w:lineRule="exact" w:line="178"/>
              <w:ind w:hanging="1221" w:start="1397" w:end="129"/>
              <w:rPr>
                <w:b/>
                <w:sz w:val="16"/>
              </w:rPr>
            </w:pPr>
            <w:r>
              <w:rPr>
                <w:b/>
                <w:sz w:val="16"/>
              </w:rPr>
              <w:t>Орієнтовні обсяги фінансування (тис.,грн.)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shd w:color="auto" w:fill="FFFFD6" w:val="clear"/>
          </w:tcPr>
          <w:p>
            <w:pPr>
              <w:pStyle w:val="Normal"/>
              <w:spacing w:before="6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Normal"/>
              <w:ind w:start="321"/>
              <w:rPr>
                <w:b/>
                <w:sz w:val="16"/>
              </w:rPr>
            </w:pPr>
            <w:r>
              <w:rPr>
                <w:b/>
                <w:sz w:val="16"/>
              </w:rPr>
              <w:t>Очікуваний результат</w:t>
            </w:r>
          </w:p>
        </w:tc>
      </w:tr>
      <w:tr>
        <w:trPr>
          <w:trHeight w:val="32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85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Всього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D6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2028</w:t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12" w:space="0" w:color="000000"/>
            </w:tcBorders>
            <w:shd w:color="auto" w:fill="FFFFD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0" w:hRule="atLeast"/>
        </w:trPr>
        <w:tc>
          <w:tcPr>
            <w:tcW w:w="16147" w:type="dxa"/>
            <w:gridSpan w:val="14"/>
            <w:tcBorders>
              <w:start w:val="single" w:sz="12" w:space="0" w:color="000000"/>
              <w:bottom w:val="single" w:sz="6" w:space="0" w:color="000000"/>
              <w:end w:val="single" w:sz="12" w:space="0" w:color="000000"/>
            </w:tcBorders>
            <w:shd w:color="auto" w:fill="FFFFD6" w:val="clea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333333"/>
                <w:sz w:val="18"/>
                <w:szCs w:val="18"/>
                <w:shd w:fill="EEEEEE" w:val="clear"/>
              </w:rPr>
              <w:t>1.Надання населенню  медичних послуг понад обсяг, передбачений програмою державних гарантій медичного обслуговування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1.1.Поліпшення медичної допомоги населенню у </w:t>
            </w:r>
            <w:r>
              <w:rPr>
                <w:spacing w:val="-1"/>
                <w:sz w:val="16"/>
                <w:szCs w:val="16"/>
              </w:rPr>
              <w:t xml:space="preserve">сільській </w:t>
            </w:r>
            <w:r>
              <w:rPr>
                <w:sz w:val="16"/>
                <w:szCs w:val="16"/>
              </w:rPr>
              <w:t>місцевості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1.1.1 Виїзди мобільних бригад лікарів - спеціалістів по громаді відповідно до графіків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181" w:before="17" w:after="0"/>
              <w:ind w:start="144" w:end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Роздільнянської 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міськоїради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 ,іншіджерела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413,543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146,043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125,00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142,50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6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Підвищення рівня обсягупроведення диспансеризаціїнаселення,медичнихоглядів.</w:t>
            </w:r>
          </w:p>
        </w:tc>
      </w:tr>
      <w:tr>
        <w:trPr>
          <w:trHeight w:val="728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Зниження захворюваності на серцево-судинні хвороби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1.2.1Вимірювання артеріального тиску на вулиці міста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</w:t>
            </w:r>
          </w:p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Роздільнянськоїміськоїради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pacing w:val="1"/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Коштів не потребує</w:t>
            </w:r>
          </w:p>
          <w:p>
            <w:pPr>
              <w:pStyle w:val="Normal"/>
              <w:spacing w:before="17" w:after="0"/>
              <w:ind w:start="89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Інформування та профілактикагіпертонічної хворобинаселення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38" w:end="109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1.3 Психіатричні захворювання(особам з інвалідністю 1 та 2групою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1.3.1Забезпечення психотропними протиепілептичними препаратами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1426,897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298,789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228,108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безоплатного іпільгового відпуску лікарськихзасобів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63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 xml:space="preserve">1.4 Стан після </w:t>
            </w:r>
            <w:r>
              <w:rPr>
                <w:color w:val="333333"/>
                <w:spacing w:val="-1"/>
                <w:sz w:val="16"/>
                <w:szCs w:val="16"/>
              </w:rPr>
              <w:t xml:space="preserve">пересадки </w:t>
            </w:r>
            <w:r>
              <w:rPr>
                <w:color w:val="333333"/>
                <w:sz w:val="16"/>
                <w:szCs w:val="16"/>
              </w:rPr>
              <w:t>органів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2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1.4.1Забезпечення імуносупресивними засобами хворих, які перенесли трансплантацію органів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«РМЦПМСД»</w:t>
            </w:r>
          </w:p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Роздільнянської </w:t>
            </w:r>
          </w:p>
          <w:p>
            <w:pPr>
              <w:pStyle w:val="Normal"/>
              <w:spacing w:lineRule="auto" w:line="233" w:before="2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міської 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6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645,005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45,005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безоплатного іпільгового відпуску лікарськихзасобів</w:t>
            </w:r>
          </w:p>
        </w:tc>
      </w:tr>
      <w:tr>
        <w:trPr>
          <w:trHeight w:val="919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1.5.Боротьба із захворюванням на цукровий діабет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4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1.5.1. Забезпечення хворих на цукровий діабет 2 типу цукрознижувальними лікарськими засобами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2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>
            <w:pPr>
              <w:pStyle w:val="Normal"/>
              <w:spacing w:before="17" w:after="0"/>
              <w:ind w:end="1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41" w:end="5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Полегшення стану тазабезпечення хворих нацукровий діабетцукрознижувальнимилікарськимизасобами</w:t>
            </w:r>
          </w:p>
        </w:tc>
      </w:tr>
      <w:tr>
        <w:trPr>
          <w:trHeight w:val="566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1.6 Забезпечити медикаментами та харчуванням  пільгові категорії населення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1.6.1 Забезпечення ліками, засобами особистої гігієни пільгової категорії населення 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Роздільнянськоїміськоїради,</w:t>
            </w:r>
          </w:p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КНП «Роздільнянська БПЛ»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9" w:after="0"/>
              <w:ind w:start="73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end="16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8 014,61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1972,61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2 223,00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2619,00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34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хворихсироватками та вакцинамитваринзі сказу</w:t>
            </w:r>
          </w:p>
        </w:tc>
      </w:tr>
      <w:tr>
        <w:trPr>
          <w:trHeight w:val="531" w:hRule="atLeast"/>
        </w:trPr>
        <w:tc>
          <w:tcPr>
            <w:tcW w:w="313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1.6.2 Придбання харчових продуктів  для спеціального  дієтичного  споживання</w:t>
            </w:r>
          </w:p>
        </w:tc>
        <w:tc>
          <w:tcPr>
            <w:tcW w:w="554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74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1 442,182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481,182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      </w:t>
            </w:r>
            <w:r>
              <w:rPr>
                <w:sz w:val="16"/>
                <w:szCs w:val="16"/>
              </w:rPr>
              <w:t>261,00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firstLine="39" w:start="41" w:end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Створення необхідних умов перебування хворих у стаціонарі та придбання лікарських засобів</w:t>
            </w:r>
          </w:p>
        </w:tc>
      </w:tr>
      <w:tr>
        <w:trPr>
          <w:trHeight w:val="531" w:hRule="atLeast"/>
        </w:trPr>
        <w:tc>
          <w:tcPr>
            <w:tcW w:w="313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1.6.3 Забезпечення лікарськими засобами та препаратами , медичними засобами</w:t>
            </w:r>
          </w:p>
        </w:tc>
        <w:tc>
          <w:tcPr>
            <w:tcW w:w="554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38" w:start="624" w:end="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74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2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ind w:start="131" w:end="10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7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firstLine="39" w:start="41" w:end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321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15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1.7Спеціалізована</w:t>
            </w:r>
            <w:r>
              <w:rPr>
                <w:spacing w:val="-1"/>
                <w:sz w:val="16"/>
                <w:szCs w:val="16"/>
              </w:rPr>
              <w:t xml:space="preserve">медична </w:t>
            </w:r>
            <w:r>
              <w:rPr>
                <w:sz w:val="16"/>
                <w:szCs w:val="16"/>
              </w:rPr>
              <w:t>допомога на першому етапі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39" w:end="4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1.7.1. Забезпечення виявлення осіб, хворих на туберкульоз, методом профілактичної флюорографії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7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74" w:end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17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22" w:after="0"/>
              <w:ind w:start="41" w:end="1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Діагностика туберкульозу наранніхстадіях</w:t>
            </w:r>
          </w:p>
        </w:tc>
      </w:tr>
      <w:tr>
        <w:trPr>
          <w:trHeight w:val="325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9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 Забезпечення</w:t>
            </w:r>
          </w:p>
          <w:p>
            <w:pPr>
              <w:pStyle w:val="Normal"/>
              <w:spacing w:lineRule="auto" w:line="233" w:before="1" w:after="0"/>
              <w:ind w:start="39" w:end="6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доступу до безперервного лікування на ТБ та ТБ/ВІЛ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7"/>
              <w:ind w:start="38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1.8.1.Забезпеченнядоступудорослихідітей,хворихнатуберкульоздобезперервноїтерапіїпротитуберкульознимипрепаратами;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41" w:end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exact" w:line="136"/>
              <w:ind w:start="41" w:end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</w:t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БПЛ»,</w:t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</w:t>
            </w:r>
          </w:p>
          <w:p>
            <w:pPr>
              <w:pStyle w:val="Normal"/>
              <w:spacing w:lineRule="exact" w:line="178"/>
              <w:ind w:start="144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«РМЦПМСД»</w:t>
            </w:r>
          </w:p>
          <w:p>
            <w:pPr>
              <w:pStyle w:val="Normal"/>
              <w:spacing w:lineRule="auto" w:line="233" w:before="1" w:after="0"/>
              <w:ind w:start="145" w:end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Роздільнянськоїміськоїради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58" w:end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бюджетміськоїТГ,інші</w:t>
            </w:r>
          </w:p>
          <w:p>
            <w:pPr>
              <w:pStyle w:val="Normal"/>
              <w:spacing w:lineRule="auto" w:line="233" w:before="1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139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36"/>
              <w:ind w:start="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Максимальнеохоплення</w:t>
            </w:r>
          </w:p>
          <w:p>
            <w:pPr>
              <w:pStyle w:val="Normal"/>
              <w:spacing w:lineRule="auto" w:line="233" w:before="1" w:after="0"/>
              <w:ind w:start="41" w:end="4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лікуванням хворих МРТБ;максимальне забезпеченняпрепаратами для лікуванняпобічних реакцій хворих на ТБта ТБ/ВІЛ</w:t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1.8.2.ЗабезпеченняпрепаратамидлялікуванняпобічнихреакційсередхворихнаТБтаТБ/ВІЛ;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145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1.8.3.ЗабезпечитидоступдопаліативноїдопомогихворихнаТБтаТБ/ВІЛ;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93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562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1.8.4. Забезпечення лікування за рішенням суду хворих на ТБ, що ухиляються відлікування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2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 Здійснення заходів із профілактики на захворювання туберкульозом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5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1.9.1. Забезпечення контрольованої хіміопрофілактики дітям із груп ризику;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«РоздільнянськаБПЛ»,</w:t>
            </w:r>
          </w:p>
          <w:p>
            <w:pPr>
              <w:pStyle w:val="Normal"/>
              <w:spacing w:lineRule="auto" w:line="233"/>
              <w:ind w:start="145" w:end="1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КНП «РМЦМПСД» Роздільнянськоїміськоїради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Максимальне охоплення дітейіз груп ризику профілактичнимлікуванням,туберкулінодіагностикою,вакцинацієюБЦЖ</w:t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2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1.9.2. Забезпечення регулярних рентген обстежень дітей та дорослих з груп ризику (із тубоосередку);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2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 w:before="6" w:after="0"/>
              <w:ind w:start="38" w:end="4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1.9.3. Повне охоплення туберкулінодіагностикою дітей відповідних вікових груп;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64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1.9.4.ПовнеохопленнявакцинацієюБЦЖ дітейвідповіднихвіковихгруп</w:t>
            </w:r>
          </w:p>
        </w:tc>
        <w:tc>
          <w:tcPr>
            <w:tcW w:w="554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17" w:type="dxa"/>
            <w:gridSpan w:val="2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49" w:type="dxa"/>
            <w:gridSpan w:val="6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73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235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1.10 Запобігання виникненню та розповсюдження коронавірусної інфекції, ГРВІ та інших вірусних інфекцій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1.10.1.Повне охоплення відповідних вікових груп ризику вакцинуванням.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81" w:before="13" w:after="0"/>
              <w:ind w:star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spacing w:lineRule="exact" w:line="181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1" w:start="205" w:end="1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</w:t>
            </w:r>
          </w:p>
          <w:p>
            <w:pPr>
              <w:pStyle w:val="Normal"/>
              <w:spacing w:lineRule="exact" w:line="177"/>
              <w:ind w:start="41" w:end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«РМЦМПСД» Роздільнянської міської 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4749" w:type="dxa"/>
            <w:gridSpan w:val="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НСЗУ (державний бюджет)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Охоплення  населення вакцинуванням для запобігання розповсюдження коронавірусної інфекції, ГРВІ таіншихвіруснихінфекцій</w:t>
            </w:r>
          </w:p>
        </w:tc>
      </w:tr>
      <w:tr>
        <w:trPr>
          <w:trHeight w:val="12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1.11 Безкоштовні молочні суміші для годування дітей до одного року житті від ВІЛ-інфікованих матерів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1.11.1 Забезпечення дітей до одного року життя молочними сумішами від ВІЛ-інфікованих матерів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«РоздільнянськаБПЛ», КНП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«РМЦМПСД» Роздільнянськоїміськоїради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молочними сумішами</w:t>
            </w:r>
          </w:p>
        </w:tc>
      </w:tr>
      <w:tr>
        <w:trPr>
          <w:trHeight w:val="12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1.12  Субвенція до облбюджету (для закладів охорони здоров'я Одеської області, що надають психіатричну допомогу мешканцям Роздільнянської  міської територіальної громади)</w:t>
            </w:r>
          </w:p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color w:val="333333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1.12.1 Забезпечення доступу дорослих мешканців громади до безперервної </w:t>
            </w:r>
            <w:r>
              <w:rPr>
                <w:sz w:val="16"/>
                <w:szCs w:val="16"/>
                <w:shd w:fill="FFFFFF" w:val="clear"/>
              </w:rPr>
              <w:t>допомоги у сфері </w:t>
            </w:r>
            <w:r>
              <w:rPr>
                <w:bCs/>
                <w:i/>
                <w:iCs/>
                <w:sz w:val="16"/>
                <w:szCs w:val="16"/>
                <w:shd w:fill="FFFFFF" w:val="clear"/>
              </w:rPr>
              <w:t>психічного</w:t>
            </w:r>
            <w:r>
              <w:rPr>
                <w:sz w:val="16"/>
                <w:szCs w:val="16"/>
                <w:shd w:fill="FFFFFF" w:val="clear"/>
              </w:rPr>
              <w:t> здоров'я.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Фінансове управління Роздільнянської міської ради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 місцеві бюджети, державний бюджет, інші джерела не заборонені чинним законодавством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1022,372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322,372</w:t>
            </w:r>
          </w:p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7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2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хворих на психічні розлади безперервним лікуванням в закладах, які надають психіатричну допомогу</w:t>
            </w:r>
          </w:p>
        </w:tc>
      </w:tr>
      <w:tr>
        <w:trPr>
          <w:trHeight w:val="404" w:hRule="atLeast"/>
        </w:trPr>
        <w:tc>
          <w:tcPr>
            <w:tcW w:w="10025" w:type="dxa"/>
            <w:gridSpan w:val="7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jc w:val="end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Усього</w:t>
            </w:r>
          </w:p>
        </w:tc>
        <w:tc>
          <w:tcPr>
            <w:tcW w:w="7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13 100,609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end="12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>3 266,001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3 137,108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3 797,50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1450,00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1450,00</w:t>
            </w:r>
          </w:p>
        </w:tc>
        <w:tc>
          <w:tcPr>
            <w:tcW w:w="137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41" w:end="4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54" w:hRule="atLeast"/>
        </w:trPr>
        <w:tc>
          <w:tcPr>
            <w:tcW w:w="16147" w:type="dxa"/>
            <w:gridSpan w:val="14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33" w:before="17" w:after="0"/>
              <w:ind w:hanging="360" w:start="927" w:end="43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Фінансова </w:t>
            </w:r>
            <w:r>
              <w:rPr>
                <w:b/>
                <w:color w:val="303030"/>
                <w:sz w:val="18"/>
                <w:szCs w:val="18"/>
                <w:shd w:fill="FFFFFF" w:val="clear"/>
              </w:rPr>
              <w:t xml:space="preserve"> підтримки комунальних некомерційних підприємств для  розвитку та покращання матеріально-технічної бази</w:t>
            </w:r>
          </w:p>
        </w:tc>
      </w:tr>
      <w:tr>
        <w:trPr>
          <w:trHeight w:val="825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 xml:space="preserve">2.1 Створити умов для надання безперервної медичної допомоги </w:t>
            </w:r>
          </w:p>
          <w:p>
            <w:pPr>
              <w:pStyle w:val="Normal"/>
              <w:spacing w:lineRule="exact" w:line="178"/>
              <w:ind w:start="38" w:end="68"/>
              <w:rPr>
                <w:b/>
                <w:color w:val="333333"/>
                <w:sz w:val="16"/>
                <w:szCs w:val="16"/>
              </w:rPr>
            </w:pPr>
            <w:r>
              <w:rPr>
                <w:b/>
                <w:color w:val="333333"/>
                <w:sz w:val="16"/>
                <w:szCs w:val="16"/>
              </w:rPr>
            </w:r>
          </w:p>
          <w:p>
            <w:pPr>
              <w:pStyle w:val="Normal"/>
              <w:spacing w:lineRule="exact" w:line="178"/>
              <w:ind w:start="38" w:end="68"/>
              <w:rPr>
                <w:b/>
                <w:color w:val="333333"/>
                <w:sz w:val="16"/>
                <w:szCs w:val="16"/>
              </w:rPr>
            </w:pPr>
            <w:r>
              <w:rPr>
                <w:b/>
                <w:color w:val="333333"/>
                <w:sz w:val="16"/>
                <w:szCs w:val="16"/>
              </w:rPr>
            </w:r>
          </w:p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 Матеріально – технічне забезпечення закладів охорони здоров'я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/>
              <w:ind w:start="145" w:end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«РоздільнянськаБПЛ»,</w:t>
            </w:r>
          </w:p>
          <w:p>
            <w:pPr>
              <w:pStyle w:val="Normal"/>
              <w:spacing w:lineRule="auto" w:line="233"/>
              <w:ind w:start="145" w:end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3"/>
              <w:ind w:start="145" w:end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КНП«РМЦМПСД» Роздільнянськоїміськоїради</w:t>
            </w:r>
          </w:p>
        </w:tc>
        <w:tc>
          <w:tcPr>
            <w:tcW w:w="1132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 іншімісцеві бюджети,державний бюджет, іншіджерела не забороненічиннимзаконодавством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1 350,00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1 050,00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50,00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  лікарень необхідним обладнанням та проведення ремонтних робіт у відділеннях для комфортних умов перебування пацієнтів ,забезпечення доступності осіб з інвалідністю та інших мало мобільних груп населення до вхідної групи нежитлової будівлі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2.1.2 Капітальні  та  поточні ремонти приміщень закладів охорони здоров’я Роздільнянської міської територіальної громади.</w:t>
            </w:r>
          </w:p>
        </w:tc>
        <w:tc>
          <w:tcPr>
            <w:tcW w:w="55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06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1 212,817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612,817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3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2.1.3 Капітальний ремонт частини приміщень хірургічного відділення головного корпусу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6 502,77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6 502,77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2.1.4 Капітальний ремонт приміщень головного корпусу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 під реабілітаційне відділення, благоустрій території  (співфінансування)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16 614,606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end="1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2 614,606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13200,00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2.1.5 Капітальний ремонт частини приміщень 1-го поверху головного корпусу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1, під поліклінічне відділення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9 786,67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7986,67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1 800,00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2.1.6 Виготовлення ПКД по об’єкту "Капітальний ремонт приміщень 1-го поверху головного корпусу 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 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362,594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362,594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2.1.7 Виготовлення ПКД по об’єкту "Капітальний ремонт приміщень відділення переливання крові та другої частини приміщень хірургічного відділення головного корпусу  Комунального некомерційного підприємства "Роздільнянська багатопрофільна лікарня" Роздільнянської міської ради за адресою : Одеська обл., Роздільнянський р-н , м. Роздільна, вул. Європейська, 1 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49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2.1.8 Поточний ремонт 5-го поверху КНП "Роздільнянська БПЛ" Роздільнянської міської ради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1 450,712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1 450,712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54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2.1.9 Поточний ремонт 3-го поверху КНП "Роздільнянська БПЛ" Роздільнянської міської ради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646,922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646,922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38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2.1.10 Поточний ремонт амбулаторій ,пунктів здоров’я , виготовлення технічних паспортів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КНП"РМЦПМСД"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 міської ради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2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2.1.11 </w:t>
            </w:r>
            <w:r>
              <w:rPr>
                <w:color w:val="000000"/>
                <w:sz w:val="16"/>
                <w:szCs w:val="16"/>
              </w:rPr>
              <w:t>Технічне обслуговування та ремонт трансформаторної підстанції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13" w:type="dxa"/>
            <w:vMerge w:val="continue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2.1.12Послуги з обслуговування кондиціонерів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top w:val="single" w:sz="6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13" w:type="dxa"/>
            <w:vMerge w:val="restart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2.1.13 Капітальний ремонт пасажирського ліфта в будівлі КНП «Роздільнянський міський центр первинної медико-санітарної допомоги» Роздільнянської міської ради за адресою: Одеська область, Роздільнянський район, м. Роздільна, вул. Привокзальна, 17 з модернізацією та пусконалагоджувальними роботами 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КНП«РМЦПМСД» Роздільнянської міської ради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Забезпечення безперебійної роботи закладу охорони здоров’я</w:t>
            </w:r>
          </w:p>
        </w:tc>
      </w:tr>
      <w:tr>
        <w:trPr>
          <w:trHeight w:val="506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2.1.14 Капітальний ремонт благоустрою частини територій КНП "Роздільнянська багатопрофільна лікарня" Роздільнянської міської ради за адресою: Одеська область, Роздільнянський район, м. Роздільна, вул. Європейська, 1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2 426, 045  </w:t>
            </w:r>
          </w:p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2 426, 045  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85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2.1.15 Капітальний ремонт приміщень підвалу інфекційного корпусу, літера Б КНП «Роздільнянська багатопрофільна лікарня» Роздільнянської міської ради за адресою Одеська обл., м. Роздільна, вул. Європейська,1 з влаштуванням найпростішого укриття 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200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2.1.16 Капітальний ремонт приміщень відділення переливання крові та другої частини приміщень хірургічного відділення головного корпусу Комунального некомерційного підприємства "Роздільнянська багатопрофільна лікарня" Роздільнянської міської ради за адресою: Одеська обл., Роздільнянський р-н, м. Роздільна, вул. Європейська, 1</w:t>
            </w:r>
          </w:p>
          <w:p>
            <w:pPr>
              <w:pStyle w:val="Normal"/>
              <w:spacing w:lineRule="auto" w:line="233" w:before="17" w:after="0"/>
              <w:ind w:start="39" w:end="101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КНП«РоздільнянськаБПЛ»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2.1.17</w:t>
            </w:r>
            <w:r>
              <w:rPr>
                <w:rFonts w:cs="Segoe UI" w:ascii="Segoe UI" w:hAnsi="Segoe UI"/>
                <w:color w:val="0F1115"/>
                <w:sz w:val="23"/>
                <w:szCs w:val="23"/>
                <w:shd w:fill="FFFFFF" w:val="clear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Підключення когенераційної установки до електромережі Комунального некомерційного підприємства "Роздільнянська багатопрофільна лікарня" Роздільнянської міської ради з метою організації резервного електроживлення ( придбання матеріалів)</w:t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КНП"Роздільнянська БПЛ",</w:t>
            </w:r>
            <w:r>
              <w:rPr>
                <w:rFonts w:cs="Segoe UI" w:ascii="Segoe UI" w:hAnsi="Segoe UI"/>
                <w:color w:val="0F1115"/>
                <w:sz w:val="23"/>
                <w:szCs w:val="23"/>
                <w:shd w:fill="FFFFFF" w:val="clear"/>
              </w:rPr>
              <w:t xml:space="preserve"> </w:t>
            </w:r>
            <w:r>
              <w:rPr>
                <w:sz w:val="16"/>
                <w:szCs w:val="16"/>
              </w:rPr>
              <w:t>КП «Роздільнатеплокомуненерго»</w:t>
            </w:r>
          </w:p>
        </w:tc>
        <w:tc>
          <w:tcPr>
            <w:tcW w:w="1132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00" w:hRule="atLeast"/>
        </w:trPr>
        <w:tc>
          <w:tcPr>
            <w:tcW w:w="313" w:type="dxa"/>
            <w:vMerge w:val="continue"/>
            <w:tcBorders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50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exact" w:line="178"/>
              <w:ind w:start="38" w:end="68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</w:r>
          </w:p>
        </w:tc>
        <w:tc>
          <w:tcPr>
            <w:tcW w:w="448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2.1.18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Капітальний ремонт системи опалення (заміна котла із супутніми роботами) в приміщенні Виноградарської АЗПСМ</w:t>
            </w:r>
            <w:r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КНП «РМЦПМСД» Роздільнянської міської ради за адресою:</w:t>
            </w:r>
            <w:r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Одеська обл., Роздільнянський р-н, с. Виноградар,</w:t>
            </w:r>
            <w:r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вул. Центральна, 198-А.</w:t>
            </w:r>
          </w:p>
        </w:tc>
        <w:tc>
          <w:tcPr>
            <w:tcW w:w="55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1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КНП"РМЦПМСД"</w:t>
            </w:r>
          </w:p>
          <w:p>
            <w:pPr>
              <w:pStyle w:val="Normal"/>
              <w:spacing w:lineRule="auto" w:line="233" w:before="17" w:after="0"/>
              <w:ind w:hanging="558" w:start="645" w:end="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Роздільнянської міської ради</w:t>
            </w:r>
          </w:p>
        </w:tc>
        <w:tc>
          <w:tcPr>
            <w:tcW w:w="1132" w:type="dxa"/>
            <w:vMerge w:val="continue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33" w:before="17" w:after="0"/>
              <w:ind w:start="58" w:end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89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61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</w:t>
            </w:r>
          </w:p>
        </w:tc>
        <w:tc>
          <w:tcPr>
            <w:tcW w:w="145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 Соціальний захист молодих спеціалістів у галузі охорони здоров’я</w:t>
            </w:r>
          </w:p>
        </w:tc>
        <w:tc>
          <w:tcPr>
            <w:tcW w:w="44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 Забезпечення інших виплат з метою покриття витрат на житлово- комунальні послуги лікарям – молодим спеціалістам та лікарям-інтернам</w:t>
            </w:r>
          </w:p>
        </w:tc>
        <w:tc>
          <w:tcPr>
            <w:tcW w:w="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2024-2028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"Роздільнянська БПЛ"</w:t>
            </w:r>
          </w:p>
        </w:tc>
        <w:tc>
          <w:tcPr>
            <w:tcW w:w="11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ТГ,інші місцеві бюджети, державний бюджет,інші джерела не заборонені чинним законодавством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3аохочення лікарів до роботи на території громади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264" w:hRule="atLeast"/>
        </w:trPr>
        <w:tc>
          <w:tcPr>
            <w:tcW w:w="313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12" w:after="0"/>
              <w:ind w:star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14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2.3 Забезпечити транспортування хворих на процедуру гемодіалізу та роботу закладів охорони здоров'я в опалювальний сезон</w:t>
            </w:r>
          </w:p>
        </w:tc>
        <w:tc>
          <w:tcPr>
            <w:tcW w:w="4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2.3.1  Придбання паливо - мастильних матеріалів</w:t>
            </w:r>
          </w:p>
        </w:tc>
        <w:tc>
          <w:tcPr>
            <w:tcW w:w="55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200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КНП "РМЦПМСД" Роздільнянської міської ради, КНП "Роздільнянська БПЛ"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міської ТГ,інші місцеві бюджети, державний бюджет,інші джерела не заборонені чинним законодавством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182,75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182,75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Забезпечення безперервного транспортування  хворих Роздільнянської громади до гемодіалізного центру, забезпечення  закладів охорони здоров'я ПММ  для безперервної роботи в опалювальний сезон (заправка генераторів)</w:t>
            </w:r>
          </w:p>
        </w:tc>
      </w:tr>
      <w:tr>
        <w:trPr>
          <w:trHeight w:val="376" w:hRule="atLeast"/>
        </w:trPr>
        <w:tc>
          <w:tcPr>
            <w:tcW w:w="9940" w:type="dxa"/>
            <w:gridSpan w:val="6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Усього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43 673,886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18170,235</w:t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7118,651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16 185,00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1400,00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25" w:hRule="atLeast"/>
        </w:trPr>
        <w:tc>
          <w:tcPr>
            <w:tcW w:w="9940" w:type="dxa"/>
            <w:gridSpan w:val="6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Усього за Програмі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56 774,495</w:t>
            </w:r>
          </w:p>
        </w:tc>
        <w:tc>
          <w:tcPr>
            <w:tcW w:w="8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21 436,236</w:t>
            </w:r>
          </w:p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10 255,759</w:t>
            </w:r>
          </w:p>
        </w:tc>
        <w:tc>
          <w:tcPr>
            <w:tcW w:w="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19 982,50</w:t>
            </w:r>
          </w:p>
        </w:tc>
        <w:tc>
          <w:tcPr>
            <w:tcW w:w="68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2850,00</w:t>
            </w:r>
          </w:p>
        </w:tc>
        <w:tc>
          <w:tcPr>
            <w:tcW w:w="60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2250,00</w:t>
            </w:r>
          </w:p>
        </w:tc>
        <w:tc>
          <w:tcPr>
            <w:tcW w:w="1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sz w:val="14"/>
        </w:rPr>
      </w:pPr>
      <w:r>
        <w:rPr>
          <w:sz w:val="14"/>
        </w:rPr>
      </w:r>
      <w:bookmarkEnd w:id="1"/>
      <w:bookmarkEnd w:id="2"/>
    </w:p>
    <w:p>
      <w:pPr>
        <w:pStyle w:val="Normal"/>
        <w:tabs>
          <w:tab w:val="clear" w:pos="720"/>
          <w:tab w:val="left" w:pos="10425" w:leader="none"/>
        </w:tabs>
        <w:rPr>
          <w:sz w:val="14"/>
        </w:rPr>
      </w:pPr>
      <w:r>
        <w:rPr>
          <w:sz w:val="14"/>
        </w:rPr>
        <w:tab/>
      </w:r>
    </w:p>
    <w:p>
      <w:pPr>
        <w:pStyle w:val="Normal"/>
        <w:tabs>
          <w:tab w:val="clear" w:pos="720"/>
          <w:tab w:val="left" w:pos="11835" w:leader="none"/>
        </w:tabs>
        <w:rPr>
          <w:sz w:val="14"/>
        </w:rPr>
        <w:sectPr>
          <w:type w:val="nextPage"/>
          <w:pgSz w:orient="landscape" w:w="16838" w:h="11906"/>
          <w:pgMar w:left="238" w:right="249" w:gutter="0" w:header="0" w:top="1134" w:footer="0" w:bottom="278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14"/>
        </w:rPr>
        <w:tab/>
      </w:r>
    </w:p>
    <w:p>
      <w:pPr>
        <w:pStyle w:val="Normal"/>
        <w:ind w:end="848"/>
        <w:jc w:val="end"/>
        <w:rPr>
          <w:sz w:val="24"/>
          <w:szCs w:val="24"/>
        </w:rPr>
      </w:pPr>
      <w:r>
        <w:rPr>
          <w:sz w:val="24"/>
          <w:szCs w:val="24"/>
        </w:rPr>
        <w:t>додаток 4</w:t>
      </w:r>
    </w:p>
    <w:p>
      <w:pPr>
        <w:pStyle w:val="Normal"/>
        <w:ind w:end="565"/>
        <w:jc w:val="end"/>
        <w:rPr>
          <w:sz w:val="24"/>
          <w:szCs w:val="24"/>
        </w:rPr>
      </w:pPr>
      <w:r>
        <w:rPr>
          <w:sz w:val="24"/>
          <w:szCs w:val="24"/>
        </w:rPr>
        <w:t>до Програми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Очікувані кінцеві результати виконання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ПРОГРАМИ РОЗВИТКУ ОХОРОНИ ЗДОРОВ'Я РОЗДІЛЬНЯНСЬКОЇ МІСЬКОЇ ТЕРИТОРІАЛЬНОЇ ГРОМАДИ на 2024 – 2028 роки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1541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2509"/>
        <w:gridCol w:w="3389"/>
        <w:gridCol w:w="1042"/>
        <w:gridCol w:w="1531"/>
        <w:gridCol w:w="1417"/>
        <w:gridCol w:w="1418"/>
        <w:gridCol w:w="1275"/>
        <w:gridCol w:w="1419"/>
        <w:gridCol w:w="1417"/>
      </w:tblGrid>
      <w:tr>
        <w:trPr/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Найменування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завдання</w:t>
            </w:r>
          </w:p>
        </w:tc>
        <w:tc>
          <w:tcPr>
            <w:tcW w:w="338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Найменування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показника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Одиниця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виміру</w:t>
            </w:r>
          </w:p>
        </w:tc>
        <w:tc>
          <w:tcPr>
            <w:tcW w:w="84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Значення показника</w:t>
            </w:r>
          </w:p>
        </w:tc>
      </w:tr>
      <w:tr>
        <w:trPr/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Усього</w:t>
            </w:r>
          </w:p>
        </w:tc>
        <w:tc>
          <w:tcPr>
            <w:tcW w:w="694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 тому числі за роками, грн</w:t>
            </w:r>
            <w:bookmarkStart w:id="3" w:name="_GoBack"/>
            <w:bookmarkEnd w:id="3"/>
          </w:p>
        </w:tc>
      </w:tr>
      <w:tr>
        <w:trPr/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2028</w:t>
            </w:r>
          </w:p>
        </w:tc>
      </w:tr>
      <w:tr>
        <w:trPr>
          <w:trHeight w:val="280" w:hRule="atLeast"/>
        </w:trPr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Завдання 1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Надання населенню  медичних послуг понад обсяг, передбачений програмою державних гарантій медичного обслуговування</w:t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витрат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>
          <w:trHeight w:val="63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Витрати на забезпечення пільговими ліками, медичними виробами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ind w:start="56" w:end="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13 100 609,00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3 266 001,00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ind w:start="157" w:end="127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3 137108,00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3 797 500,00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1450000,00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1450000,00</w:t>
            </w:r>
          </w:p>
        </w:tc>
      </w:tr>
      <w:tr>
        <w:trPr>
          <w:trHeight w:val="432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чисельність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населення громади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31911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32101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31863</w:t>
            </w:r>
          </w:p>
        </w:tc>
      </w:tr>
      <w:tr>
        <w:trPr>
          <w:trHeight w:val="432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чисельність осіб , які стоять на  «Д» обліку та потребують пільгові ліки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14 410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2 926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</w:tr>
      <w:tr>
        <w:trPr>
          <w:trHeight w:val="11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продукту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звернень до лікаря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14 410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2 926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2917</w:t>
            </w:r>
          </w:p>
        </w:tc>
      </w:tr>
      <w:tr>
        <w:trPr>
          <w:trHeight w:val="28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 профілактичних та реабілітаційних послуг, що  надаються жителям громади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</w:tr>
      <w:tr>
        <w:trPr>
          <w:trHeight w:val="206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ефективності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2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Витрати на одне звернення за пільговими лікарськими засобами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highlight w:val="yellow"/>
                <w:lang w:val="ru-RU"/>
              </w:rPr>
              <w:t>911,72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1191,10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1 075,46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1 297,85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497,09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497,09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якості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Відсоток охопленого населення  пільгових категорій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Частка населення , охопленого профілактичними оглядами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0,31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0,50</w:t>
            </w:r>
          </w:p>
        </w:tc>
      </w:tr>
      <w:tr>
        <w:trPr>
          <w:trHeight w:val="197" w:hRule="atLeast"/>
        </w:trPr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Завдання 2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Фінансова </w:t>
            </w:r>
            <w:r>
              <w:rPr>
                <w:color w:val="303030"/>
                <w:sz w:val="16"/>
                <w:szCs w:val="16"/>
                <w:shd w:fill="FFFFFF" w:val="clear"/>
              </w:rPr>
              <w:t xml:space="preserve"> підтримки комунальних некомерційних підприємств для  розвитку та покращання матеріально-технічної бази</w:t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витрат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Видатки на капітальні та поточні ремонти в закладах охорони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40 983 136,00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17 942 485,00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6 840 651,00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  <w:highlight w:val="yellow"/>
              </w:rPr>
              <w:t>14 400 000,00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1 100 000,00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700000,00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Видатки на </w:t>
            </w:r>
            <w:r>
              <w:rPr>
                <w:color w:val="303030"/>
                <w:sz w:val="16"/>
                <w:szCs w:val="16"/>
                <w:shd w:fill="FFFFFF" w:val="clear"/>
              </w:rPr>
              <w:t>розвиток та покращання матеріально-технічної бази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1 629 000</w:t>
            </w:r>
            <w:r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45 000,00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99000</w:t>
            </w:r>
            <w:r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>1 185 000,00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r>
              <w:rPr>
                <w:b/>
                <w:sz w:val="16"/>
                <w:szCs w:val="16"/>
              </w:rPr>
              <w:t>250 000,00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12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</w:t>
            </w:r>
            <w:r>
              <w:rPr>
                <w:b/>
                <w:sz w:val="16"/>
                <w:szCs w:val="16"/>
              </w:rPr>
              <w:t>50 000,00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Видатки на придбання  паливо - мастильних матеріалів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182 750,00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182750,00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     </w:t>
            </w: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        </w:t>
            </w: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      </w:t>
            </w:r>
            <w:r>
              <w:rPr>
                <w:b/>
                <w:sz w:val="16"/>
                <w:szCs w:val="16"/>
              </w:rPr>
              <w:t>0,00</w:t>
            </w:r>
          </w:p>
        </w:tc>
      </w:tr>
      <w:tr>
        <w:trPr>
          <w:trHeight w:val="31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Видатки на  капітальний та поточний ремонт амбулаторій, пунктів здоров’я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7</w:t>
            </w:r>
            <w:r>
              <w:rPr>
                <w:b/>
                <w:sz w:val="16"/>
                <w:szCs w:val="16"/>
              </w:rPr>
              <w:t>79 000,00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ru-RU"/>
              </w:rPr>
              <w:t>1</w:t>
            </w:r>
            <w:r>
              <w:rPr>
                <w:b/>
                <w:sz w:val="16"/>
                <w:szCs w:val="16"/>
              </w:rPr>
              <w:t>79 000,00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600 000,00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закладів охорони здоров’я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кількість пунктів здоров’я, які  потребують ремонту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квадратура будівель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кв.м.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13456,7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13456,7</w:t>
            </w:r>
          </w:p>
        </w:tc>
      </w:tr>
      <w:tr>
        <w:trPr>
          <w:trHeight w:val="288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кількість осіб , які мають гостру та хронічну ниркову недостатність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12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продукту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 площа приміщень де проводяться ремонтні роботи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кв.м.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5 474,3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1005,3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1 479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162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103</w:t>
            </w:r>
          </w:p>
        </w:tc>
      </w:tr>
      <w:tr>
        <w:trPr>
          <w:trHeight w:val="272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амбулаторій, пунктів здоров’я де проводиться  ремонт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придбаного обладнання (ремонту обладнання )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осіб, які мають право на підвіз до гемодіалізного центру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224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ефективності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9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Середня вартість ремонтних робіт на  один кв. метр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7 342,27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6584,40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6 804,59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9 736,31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6 790,12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6 796,12</w:t>
            </w:r>
          </w:p>
        </w:tc>
      </w:tr>
      <w:tr>
        <w:trPr>
          <w:trHeight w:val="34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Середня вартість придбаного обладнання (проведених ремонтних робіт)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83995,00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45000,00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2 475</w:t>
            </w:r>
            <w:r>
              <w:rPr>
                <w:sz w:val="16"/>
                <w:szCs w:val="16"/>
                <w:lang w:val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125 000,00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50 000,00</w:t>
            </w:r>
          </w:p>
        </w:tc>
      </w:tr>
      <w:tr>
        <w:trPr>
          <w:trHeight w:val="247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Середня вартість транспортної послуги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45687,50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45687,50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 </w:t>
            </w: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28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Середня вартість ремонтних робіт амбулаторій, пунктів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194 750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8</w:t>
            </w:r>
            <w:r>
              <w:rPr>
                <w:sz w:val="16"/>
                <w:szCs w:val="16"/>
              </w:rPr>
              <w:t>9 500,00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300 000,00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196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якості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2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Відсоток охоплення  площі приміщень закладів охорони здоров’я  де проводяться ремонтні роботи до загальної площі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40,68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20,25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10,99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0,77</w:t>
            </w:r>
          </w:p>
        </w:tc>
      </w:tr>
      <w:tr>
        <w:trPr>
          <w:trHeight w:val="425" w:hRule="atLeast"/>
        </w:trPr>
        <w:tc>
          <w:tcPr>
            <w:tcW w:w="25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Відсоток охоплення  приміщень пунктів здоров’я до загальної кількості пунктів здоров’я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40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Рівень оновлення матеріально - технічною базою закладів охорони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>
        <w:trPr>
          <w:trHeight w:val="423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Відсоток охоплення осіб, які мають право на підвіз до гемодіалізного центру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57,14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57,14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>
        <w:trPr>
          <w:trHeight w:val="264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витрат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7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Видатки на житлово- комунальні послуги лікарям – молодим спеціалістам та лікарям-інтернам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50000,00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50000,00</w:t>
            </w:r>
          </w:p>
        </w:tc>
      </w:tr>
      <w:tr>
        <w:trPr>
          <w:trHeight w:val="55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Загальна кількість лікарів – молодих спеціалістів та лікарів-інтернів в закладах охорони здоров’я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>
        <w:trPr>
          <w:trHeight w:val="271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продукту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2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Кількість </w:t>
            </w:r>
            <w:r>
              <w:rPr>
                <w:sz w:val="16"/>
                <w:szCs w:val="16"/>
              </w:rPr>
              <w:t>лікарів – молодих спеціалістів та лікарів-інтернів, які отримають відшкодування на житлово- комунальні послуги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>
        <w:trPr>
          <w:trHeight w:val="19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ефективності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Середня вартість на відшкодування одному лікарю на </w:t>
            </w:r>
            <w:r>
              <w:rPr>
                <w:sz w:val="16"/>
                <w:szCs w:val="16"/>
              </w:rPr>
              <w:t>житлово- комунальні послуги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грн.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7142,86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7 142,86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7 142,86</w:t>
            </w:r>
          </w:p>
        </w:tc>
      </w:tr>
      <w:tr>
        <w:trPr>
          <w:trHeight w:val="18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Показник якості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20" w:hRule="atLeast"/>
        </w:trPr>
        <w:tc>
          <w:tcPr>
            <w:tcW w:w="25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Відсоток забезпечення  лікарів – молодих спеціалістів та лікарів-інтернів, які отримають відшкодування на житлово- комунальні послуги до загальної кількості лікарів – молодих спеціалістів та лікарів-інтернів 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1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>
      <w:pPr>
        <w:pStyle w:val="Normal"/>
        <w:rPr>
          <w:b/>
          <w:sz w:val="20"/>
          <w:szCs w:val="24"/>
        </w:rPr>
      </w:pPr>
      <w:r>
        <w:rPr>
          <w:b/>
          <w:sz w:val="20"/>
          <w:szCs w:val="24"/>
        </w:rPr>
      </w:r>
    </w:p>
    <w:sectPr>
      <w:type w:val="nextPage"/>
      <w:pgSz w:orient="landscape" w:w="16838" w:h="11906"/>
      <w:pgMar w:left="567" w:right="255" w:gutter="0" w:header="0" w:top="1134" w:footer="0" w:bottom="27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Calibri Light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start"/>
      <w:pPr>
        <w:tabs>
          <w:tab w:val="num" w:pos="0"/>
        </w:tabs>
        <w:ind w:start="927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7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7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7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7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7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7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7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7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5c2a68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1"/>
    <w:qFormat/>
    <w:rsid w:val="00a87260"/>
    <w:pPr>
      <w:ind w:start="623" w:end="440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662c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semiHidden/>
    <w:qFormat/>
    <w:rsid w:val="0057662c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val="uk-UA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9a2579"/>
    <w:rPr>
      <w:rFonts w:ascii="Times New Roman" w:hAnsi="Times New Roman" w:eastAsia="Times New Roman" w:cs="Times New Roman"/>
      <w:lang w:val="uk-UA"/>
    </w:rPr>
  </w:style>
  <w:style w:type="character" w:styleId="Style13" w:customStyle="1">
    <w:name w:val="Нижний колонтитул Знак"/>
    <w:basedOn w:val="DefaultParagraphFont"/>
    <w:uiPriority w:val="99"/>
    <w:qFormat/>
    <w:rsid w:val="009a2579"/>
    <w:rPr>
      <w:rFonts w:ascii="Times New Roman" w:hAnsi="Times New Roman" w:eastAsia="Times New Roman" w:cs="Times New Roman"/>
      <w:lang w:val="uk-UA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97d68"/>
    <w:rPr>
      <w:rFonts w:ascii="Segoe UI" w:hAnsi="Segoe UI" w:eastAsia="Times New Roman" w:cs="Segoe UI"/>
      <w:sz w:val="18"/>
      <w:szCs w:val="18"/>
      <w:lang w:val="uk-UA"/>
    </w:rPr>
  </w:style>
  <w:style w:type="character" w:styleId="Emphasis">
    <w:name w:val="Emphasis"/>
    <w:basedOn w:val="DefaultParagraphFont"/>
    <w:uiPriority w:val="20"/>
    <w:qFormat/>
    <w:rsid w:val="003320d8"/>
    <w:rPr>
      <w:i/>
      <w:iCs/>
    </w:rPr>
  </w:style>
  <w:style w:type="character" w:styleId="docdata" w:customStyle="1">
    <w:name w:val="docdata"/>
    <w:basedOn w:val="DefaultParagraphFont"/>
    <w:qFormat/>
    <w:rsid w:val="003212e7"/>
    <w:rPr/>
  </w:style>
  <w:style w:type="character" w:styleId="1" w:customStyle="1">
    <w:name w:val="Заголовок 1 Знак"/>
    <w:basedOn w:val="DefaultParagraphFont"/>
    <w:uiPriority w:val="1"/>
    <w:qFormat/>
    <w:rsid w:val="00d548de"/>
    <w:rPr>
      <w:rFonts w:ascii="Times New Roman" w:hAnsi="Times New Roman" w:eastAsia="Times New Roman" w:cs="Times New Roman"/>
      <w:b/>
      <w:bCs/>
      <w:sz w:val="24"/>
      <w:szCs w:val="24"/>
      <w:lang w:val="uk-UA"/>
    </w:rPr>
  </w:style>
  <w:style w:type="character" w:styleId="Strong">
    <w:name w:val="Strong"/>
    <w:uiPriority w:val="22"/>
    <w:qFormat/>
    <w:rsid w:val="00d548de"/>
    <w:rPr>
      <w:b/>
      <w:bCs/>
    </w:rPr>
  </w:style>
  <w:style w:type="character" w:styleId="Style15" w:customStyle="1">
    <w:name w:val="Основной текст Знак"/>
    <w:basedOn w:val="DefaultParagraphFont"/>
    <w:uiPriority w:val="1"/>
    <w:qFormat/>
    <w:rsid w:val="00d548de"/>
    <w:rPr>
      <w:rFonts w:ascii="Times New Roman" w:hAnsi="Times New Roman" w:eastAsia="Times New Roman" w:cs="Times New Roman"/>
      <w:sz w:val="24"/>
      <w:szCs w:val="24"/>
      <w:lang w:val="uk-UA"/>
    </w:rPr>
  </w:style>
  <w:style w:type="character" w:styleId="Style16" w:customStyle="1">
    <w:name w:val="Заголовок Знак"/>
    <w:uiPriority w:val="1"/>
    <w:qFormat/>
    <w:rsid w:val="00d548de"/>
    <w:rPr>
      <w:rFonts w:ascii="Times New Roman" w:hAnsi="Times New Roman" w:eastAsia="Times New Roman"/>
      <w:b/>
      <w:bCs/>
      <w:sz w:val="32"/>
      <w:szCs w:val="32"/>
      <w:lang w:val="uk-UA"/>
    </w:rPr>
  </w:style>
  <w:style w:type="character" w:styleId="21" w:customStyle="1">
    <w:name w:val="Заголовок 2 Знак1"/>
    <w:uiPriority w:val="9"/>
    <w:semiHidden/>
    <w:qFormat/>
    <w:rsid w:val="00d548de"/>
    <w:rPr>
      <w:rFonts w:ascii="Calibri Light" w:hAnsi="Calibri Light" w:eastAsia="Times New Roman" w:cs="Times New Roman"/>
      <w:b/>
      <w:bCs/>
      <w:i/>
      <w:iCs/>
      <w:sz w:val="28"/>
      <w:szCs w:val="28"/>
      <w:lang w:val="uk-UA" w:eastAsia="uk-UA"/>
    </w:rPr>
  </w:style>
  <w:style w:type="character" w:styleId="11" w:customStyle="1">
    <w:name w:val="Заголовок Знак1"/>
    <w:basedOn w:val="DefaultParagraphFont"/>
    <w:uiPriority w:val="10"/>
    <w:qFormat/>
    <w:rsid w:val="00d548de"/>
    <w:rPr>
      <w:rFonts w:ascii="Times New Roman" w:hAnsi="Times New Roman" w:eastAsia="Times New Roman" w:cs="Times New Roman"/>
      <w:b/>
      <w:bCs/>
      <w:sz w:val="32"/>
      <w:szCs w:val="32"/>
      <w:lang w:val="uk-UA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5"/>
    <w:uiPriority w:val="1"/>
    <w:qFormat/>
    <w:rsid w:val="00a87260"/>
    <w:pPr>
      <w:ind w:start="623"/>
    </w:pPr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11"/>
    <w:uiPriority w:val="10"/>
    <w:qFormat/>
    <w:rsid w:val="00a87260"/>
    <w:pPr>
      <w:ind w:hanging="1764" w:start="2699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a87260"/>
    <w:pPr>
      <w:ind w:start="623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a87260"/>
    <w:pPr/>
    <w:rPr/>
  </w:style>
  <w:style w:type="paragraph" w:styleId="NoSpacing">
    <w:name w:val="No Spacing"/>
    <w:uiPriority w:val="1"/>
    <w:qFormat/>
    <w:rsid w:val="00651dea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user1" w:customStyle="1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9a2579"/>
    <w:pPr>
      <w:tabs>
        <w:tab w:val="clear" w:pos="720"/>
        <w:tab w:val="center" w:pos="4819" w:leader="none"/>
        <w:tab w:val="right" w:pos="9639" w:leader="none"/>
      </w:tabs>
    </w:pPr>
    <w:rPr/>
  </w:style>
  <w:style w:type="paragraph" w:styleId="Footer">
    <w:name w:val="footer"/>
    <w:basedOn w:val="Normal"/>
    <w:link w:val="Style13"/>
    <w:uiPriority w:val="99"/>
    <w:unhideWhenUsed/>
    <w:rsid w:val="009a2579"/>
    <w:pPr>
      <w:tabs>
        <w:tab w:val="clear" w:pos="720"/>
        <w:tab w:val="center" w:pos="4819" w:leader="none"/>
        <w:tab w:val="right" w:pos="9639" w:leader="none"/>
      </w:tabs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897d68"/>
    <w:pPr/>
    <w:rPr>
      <w:rFonts w:ascii="Segoe UI" w:hAnsi="Segoe UI" w:cs="Segoe UI"/>
      <w:sz w:val="18"/>
      <w:szCs w:val="18"/>
    </w:rPr>
  </w:style>
  <w:style w:type="paragraph" w:styleId="13" w:customStyle="1">
    <w:name w:val="Абзац списка1"/>
    <w:basedOn w:val="Normal"/>
    <w:qFormat/>
    <w:rsid w:val="00d548de"/>
    <w:pPr>
      <w:widowControl/>
      <w:spacing w:lineRule="auto" w:line="276" w:before="0" w:after="200"/>
      <w:ind w:start="720"/>
      <w:contextualSpacing/>
    </w:pPr>
    <w:rPr>
      <w:rFonts w:ascii="Calibri" w:hAnsi="Calibri"/>
    </w:rPr>
  </w:style>
  <w:style w:type="paragraph" w:styleId="211" w:customStyle="1">
    <w:name w:val="Заголовок 21"/>
    <w:basedOn w:val="Normal"/>
    <w:next w:val="Normal"/>
    <w:uiPriority w:val="9"/>
    <w:semiHidden/>
    <w:unhideWhenUsed/>
    <w:qFormat/>
    <w:rsid w:val="00d548de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ds-markdown-paragraph" w:customStyle="1">
    <w:name w:val="ds-markdown-paragraph"/>
    <w:basedOn w:val="Normal"/>
    <w:qFormat/>
    <w:rsid w:val="00403609"/>
    <w:pPr>
      <w:widowControl/>
      <w:spacing w:beforeAutospacing="1" w:afterAutospacing="1"/>
    </w:pPr>
    <w:rPr>
      <w:sz w:val="24"/>
      <w:szCs w:val="24"/>
      <w:lang w:val="en-US"/>
    </w:rPr>
  </w:style>
  <w:style w:type="paragraph" w:styleId="user2" w:customStyle="1">
    <w:name w:val="Вміст рамки (user)"/>
    <w:basedOn w:val="Normal"/>
    <w:qFormat/>
    <w:pPr/>
    <w:rPr/>
  </w:style>
  <w:style w:type="paragraph" w:styleId="Style20">
    <w:name w:val="Вміст рамки"/>
    <w:basedOn w:val="Normal"/>
    <w:qFormat/>
    <w:pPr/>
    <w:rPr/>
  </w:style>
  <w:style w:type="numbering" w:styleId="Style21" w:default="1">
    <w:name w:val="Без маркерів"/>
    <w:uiPriority w:val="99"/>
    <w:semiHidden/>
    <w:unhideWhenUsed/>
    <w:qFormat/>
  </w:style>
  <w:style w:type="numbering" w:styleId="user3" w:customStyle="1">
    <w:name w:val="Без маркерів (user)"/>
    <w:uiPriority w:val="99"/>
    <w:semiHidden/>
    <w:unhideWhenUsed/>
    <w:qFormat/>
  </w:style>
  <w:style w:type="numbering" w:styleId="14" w:customStyle="1">
    <w:name w:val="Нет списка1"/>
    <w:uiPriority w:val="99"/>
    <w:semiHidden/>
    <w:unhideWhenUsed/>
    <w:qFormat/>
    <w:rsid w:val="00d548de"/>
  </w:style>
  <w:style w:type="numbering" w:styleId="111" w:customStyle="1">
    <w:name w:val="Нет списка11"/>
    <w:uiPriority w:val="99"/>
    <w:semiHidden/>
    <w:unhideWhenUsed/>
    <w:qFormat/>
    <w:rsid w:val="00d548de"/>
  </w:style>
  <w:style w:type="numbering" w:styleId="22" w:customStyle="1">
    <w:name w:val="Нет списка2"/>
    <w:uiPriority w:val="99"/>
    <w:semiHidden/>
    <w:unhideWhenUsed/>
    <w:qFormat/>
    <w:rsid w:val="00d548de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8726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8">
    <w:name w:val="Table Grid"/>
    <w:basedOn w:val="a1"/>
    <w:uiPriority w:val="59"/>
    <w:rsid w:val="00d11b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1"/>
    <w:uiPriority w:val="2"/>
    <w:semiHidden/>
    <w:unhideWhenUsed/>
    <w:qFormat/>
    <w:rsid w:val="00d548d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Сетка таблицы1"/>
    <w:basedOn w:val="a1"/>
    <w:uiPriority w:val="59"/>
    <w:rsid w:val="00d548de"/>
    <w:rPr>
      <w:lang w:val="ru-RU"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FEB1F-4763-4991-96EF-BB5005327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LibreOffice/26.2.5.2$Windows_x86 LibreOffice_project/cd7284b4cbbfeb507e630c1aac019f4157393acb</Application>
  <AppVersion>15.0000</AppVersion>
  <Pages>11</Pages>
  <Words>2492</Words>
  <Characters>18202</Characters>
  <CharactersWithSpaces>20185</CharactersWithSpaces>
  <Paragraphs>815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2026-08-27T12:47:00Z</dcterms:created>
  <dc:creator>Масяня</dc:creator>
  <dc:description/>
  <dc:language>uk-UA</dc:language>
  <cp:lastModifiedBy/>
  <cp:lastPrinted>2026-08-27T13:00:00Z</cp:lastPrinted>
  <dcterms:modified xsi:type="dcterms:W3CDTF">2026-09-16T14:10:52Z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2023-12-07T00:00:00Z</vt:filetime>
  </property>
</Properties>
</file>