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245" w:leader="none"/>
        </w:tabs>
        <w:ind w:hanging="284" w:start="3686" w:end="4109"/>
        <w:jc w:val="center"/>
        <w:rPr>
          <w:lang w:val="ru-RU"/>
        </w:rPr>
      </w:pPr>
      <w:r>
        <w:rPr>
          <w:lang w:val="ru-RU"/>
        </w:rPr>
      </w:r>
      <w:bookmarkStart w:id="0" w:name="_Hlk129942606"/>
    </w:p>
    <w:p>
      <w:pPr>
        <w:pStyle w:val="Normal"/>
        <w:ind w:start="7938"/>
        <w:rPr/>
      </w:pPr>
      <w:bookmarkStart w:id="1" w:name="_Hlk184827967"/>
      <w:bookmarkEnd w:id="0"/>
      <w:r>
        <w:rPr/>
        <w:t>Додаток 1</w:t>
      </w:r>
    </w:p>
    <w:p>
      <w:pPr>
        <w:pStyle w:val="Normal"/>
        <w:ind w:start="7938"/>
        <w:rPr/>
      </w:pPr>
      <w:r>
        <w:rPr/>
        <w:t>до Програми</w:t>
      </w:r>
    </w:p>
    <w:p>
      <w:pPr>
        <w:pStyle w:val="Normal"/>
        <w:ind w:start="6379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ПАСПОРТ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Програми </w:t>
      </w:r>
      <w:bookmarkStart w:id="2" w:name="_Hlk146790157"/>
      <w:r>
        <w:rPr>
          <w:b/>
        </w:rPr>
        <w:t>утримання та фінансової підтримки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КЗ «Роздільнянський стадіон «Спартак» </w:t>
      </w:r>
    </w:p>
    <w:p>
      <w:pPr>
        <w:pStyle w:val="Normal"/>
        <w:jc w:val="center"/>
        <w:rPr>
          <w:b/>
        </w:rPr>
      </w:pPr>
      <w:r>
        <w:rPr>
          <w:b/>
        </w:rPr>
        <w:t>на 2024-2026 роки</w:t>
      </w:r>
      <w:bookmarkEnd w:id="2"/>
    </w:p>
    <w:p>
      <w:pPr>
        <w:pStyle w:val="Normal"/>
        <w:jc w:val="center"/>
        <w:rPr/>
      </w:pPr>
      <w:r>
        <w:rPr/>
      </w:r>
    </w:p>
    <w:tbl>
      <w:tblPr>
        <w:tblStyle w:val="ad"/>
        <w:tblW w:w="991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87"/>
        <w:gridCol w:w="3970"/>
        <w:gridCol w:w="4961"/>
      </w:tblGrid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Назва Програми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Програми утримання та фінансової підтримки КЗ «Роздільнянський стадіон «Спартак»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на 2024-2026 роки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Ініціатор розроблення Програми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 Роздільнянської міської ради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Підстава для розробки/ Дата, номер і назва розпорядчого документу та органу виконавчої влади про розроблення програми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Закон України «Про фізичну культуру і спорт»;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Указ Президента України від 09.02.2016 року «Про Національну стратегію з оздоровчої рухової активності в Україні на період до 2025 року «Рухова активність - здоровий спосіб життя — здорова нація»;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Постанова Кабінету Міністрів України від 04.11.2020 «Про затвердження Стратегії розвитку фізичної культури і спорту на період до 2028 року»;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Наказ Міністерства молоді та спорту України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учасників»;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Рішення Роздільнянської міської ради від 06.03.2024 № 3686-</w:t>
            </w:r>
            <w:r>
              <w:rPr>
                <w:kern w:val="0"/>
                <w:lang w:val="en-US" w:bidi="ar-SA"/>
              </w:rPr>
              <w:t>VIII</w:t>
            </w:r>
            <w:r>
              <w:rPr>
                <w:kern w:val="0"/>
                <w:lang w:val="uk-UA" w:bidi="ar-SA"/>
              </w:rPr>
              <w:t xml:space="preserve"> «Про затвердження Порядку розроблення, виконання, моніторингу місцевих програм та звітності про їх виконання»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Розробник Програми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 Роздільнянської міської ради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5.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Співрозробники Програми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КЗ «Роздільнянський стадіон «Спартак»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Відповідальний виконавець Програми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 Роздільнянської міської ради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КЗ «Роздільнянський стадіон «Спартак»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7.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Мета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Утримання та фінансова підтримка КЗ «Роздільнянський стадіон «Спартак» для створення умов з метою залучення широких верств населення до систематичних занять фізичною культурою та масовим спортом, популяризації здорового способу життя та сприяння розвитку фізкультурно-спортивної реабілітації, а також максимальної реалізації здібностей обдарованої молоді.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Термін реалізації Програми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2024-2026 роки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9.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10310,715 тис. грн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всього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10310,715 тис. грн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У тому числі: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9.1.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кошти міського бюджету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10310,715  тис. грн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9.2.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кошти Державного бюджету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9.3.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кошти інших джерел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Очікувані результати виконання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ind w:firstLine="708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Виконання Програми дасть можливість: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before="0" w:after="0"/>
              <w:ind w:hanging="0" w:start="0"/>
              <w:contextualSpacing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забезпечити якісне функціонування стадіону «Спартак» та утримувати спортивні споруди у  належному стані. 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before="0" w:after="0"/>
              <w:ind w:hanging="0" w:start="0"/>
              <w:contextualSpacing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привести вигляд стадіону у відповідність до сучасних вимог (реконструкція, реставрація, модернізація території та наявних споруд, ефективне використання природних та трудових ресурсів), що дозволить максимально задовольнити відповідні потреби населення. 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before="0" w:after="0"/>
              <w:ind w:hanging="0" w:start="0"/>
              <w:contextualSpacing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підвищити рівень охоплення мешканців міста фізкультурно-оздоровчою та спортивною роботою;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before="0" w:after="0"/>
              <w:ind w:hanging="0" w:start="0"/>
              <w:contextualSpacing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впроваджувати систему фізкультурної просвіти населення, що сприятиме формуванню традицій і культури здорового способу життя, престижу здоров’я, залученню громадян до активних занять фізичною культурою і спортом та формуванню нових цінностей та орієнтирів, направлених на збереження та зміцнення здоров’я людей;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before="0" w:after="0"/>
              <w:ind w:hanging="0" w:start="0"/>
              <w:contextualSpacing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підвищити рівень забезпечення населення спортивними послугами.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11.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Ключові показники ефективності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Ефективність Програми спрямована на досягнення значних показників соціально-економічного та фізкультурно-спортивного сегментів.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12.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Контроль за виконанням (орган, уповноважений здійснювати контроль за виконанням)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 Роздільнянської міської ради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Постійна комісія Роздільнянської міської ради з питань </w:t>
            </w:r>
            <w:r>
              <w:rPr>
                <w:rFonts w:eastAsia="Calibri"/>
                <w:kern w:val="0"/>
                <w:lang w:val="uk-UA" w:bidi="ar-SA"/>
              </w:rPr>
              <w:t xml:space="preserve">  соціального захисту населення, молодіжної політики, охорони здоров’я, освіти, підтримки культури та спорту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Autospacing="1" w:afterAutospacing="1"/>
        <w:ind w:firstLine="709"/>
        <w:jc w:val="both"/>
        <w:rPr/>
      </w:pPr>
      <w:r>
        <w:rPr/>
      </w:r>
    </w:p>
    <w:p>
      <w:pPr>
        <w:pStyle w:val="Normal"/>
        <w:spacing w:beforeAutospacing="1" w:afterAutospacing="1"/>
        <w:ind w:firstLine="709"/>
        <w:jc w:val="both"/>
        <w:rPr/>
      </w:pPr>
      <w:r>
        <w:rPr/>
      </w:r>
    </w:p>
    <w:p>
      <w:pPr>
        <w:pStyle w:val="Normal"/>
        <w:rPr>
          <w:lang w:eastAsia="uk-UA"/>
        </w:rPr>
      </w:pPr>
      <w:r>
        <w:rPr>
          <w:lang w:eastAsia="uk-UA"/>
        </w:rPr>
      </w:r>
    </w:p>
    <w:p>
      <w:pPr>
        <w:pStyle w:val="Normal"/>
        <w:rPr>
          <w:lang w:eastAsia="uk-UA"/>
        </w:rPr>
      </w:pPr>
      <w:r>
        <w:rPr>
          <w:lang w:eastAsia="uk-UA"/>
        </w:rPr>
      </w:r>
    </w:p>
    <w:p>
      <w:pPr>
        <w:pStyle w:val="Normal"/>
        <w:ind w:start="7938"/>
        <w:rPr/>
      </w:pPr>
      <w:r>
        <w:rPr/>
        <w:t>Додаток 3</w:t>
      </w:r>
    </w:p>
    <w:p>
      <w:pPr>
        <w:pStyle w:val="Normal"/>
        <w:ind w:start="7938"/>
        <w:rPr/>
      </w:pPr>
      <w:r>
        <w:rPr/>
        <w:t>до Програми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 xml:space="preserve">Ресурсне забезпечення </w:t>
      </w:r>
    </w:p>
    <w:p>
      <w:pPr>
        <w:pStyle w:val="Normal"/>
        <w:jc w:val="center"/>
        <w:rPr>
          <w:b/>
        </w:rPr>
      </w:pPr>
      <w:r>
        <w:rPr>
          <w:b/>
        </w:rPr>
        <w:t>Програми утримання та фінансової підтримки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КЗ «Роздільнянський стадіон «Спартак» </w:t>
      </w:r>
    </w:p>
    <w:p>
      <w:pPr>
        <w:pStyle w:val="Normal"/>
        <w:jc w:val="center"/>
        <w:rPr/>
      </w:pPr>
      <w:r>
        <w:rPr>
          <w:b/>
        </w:rPr>
        <w:t>на 2024-2026 роки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ad"/>
        <w:tblW w:w="934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715"/>
        <w:gridCol w:w="1953"/>
        <w:gridCol w:w="1997"/>
        <w:gridCol w:w="1842"/>
        <w:gridCol w:w="1837"/>
      </w:tblGrid>
      <w:tr>
        <w:trPr>
          <w:trHeight w:val="471" w:hRule="atLeast"/>
        </w:trPr>
        <w:tc>
          <w:tcPr>
            <w:tcW w:w="171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5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Обсяг коштів,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Що пропонується залучити на виконання Програми,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5676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Етапи виконання Програми</w:t>
            </w:r>
          </w:p>
        </w:tc>
      </w:tr>
      <w:tr>
        <w:trPr/>
        <w:tc>
          <w:tcPr>
            <w:tcW w:w="171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5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9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2024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2025</w:t>
            </w:r>
          </w:p>
        </w:tc>
        <w:tc>
          <w:tcPr>
            <w:tcW w:w="18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2026</w:t>
            </w:r>
          </w:p>
        </w:tc>
      </w:tr>
      <w:tr>
        <w:trPr/>
        <w:tc>
          <w:tcPr>
            <w:tcW w:w="171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Обсяг ресурсів усього, у тому числі:</w:t>
            </w:r>
          </w:p>
        </w:tc>
        <w:tc>
          <w:tcPr>
            <w:tcW w:w="195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10310,715</w:t>
            </w:r>
          </w:p>
        </w:tc>
        <w:tc>
          <w:tcPr>
            <w:tcW w:w="199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3217,745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3184,451</w:t>
            </w:r>
          </w:p>
        </w:tc>
        <w:tc>
          <w:tcPr>
            <w:tcW w:w="18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3908,519</w:t>
            </w:r>
          </w:p>
        </w:tc>
      </w:tr>
      <w:tr>
        <w:trPr/>
        <w:tc>
          <w:tcPr>
            <w:tcW w:w="171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Місцевий бюджет</w:t>
            </w:r>
          </w:p>
        </w:tc>
        <w:tc>
          <w:tcPr>
            <w:tcW w:w="195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10310,715</w:t>
            </w:r>
          </w:p>
        </w:tc>
        <w:tc>
          <w:tcPr>
            <w:tcW w:w="199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3217,745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3184,451</w:t>
            </w:r>
          </w:p>
        </w:tc>
        <w:tc>
          <w:tcPr>
            <w:tcW w:w="18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3908,519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ind w:start="360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firstLine="709" w:start="7371"/>
        <w:rPr>
          <w:rFonts w:eastAsia="Calibri"/>
          <w:lang w:eastAsia="en-US"/>
        </w:rPr>
      </w:pPr>
      <w:bookmarkStart w:id="3" w:name="_Hlk185322738"/>
      <w:r>
        <w:rPr>
          <w:rFonts w:eastAsia="Calibri"/>
          <w:lang w:eastAsia="en-US"/>
        </w:rPr>
        <w:t>Додаток 4</w:t>
      </w:r>
    </w:p>
    <w:p>
      <w:pPr>
        <w:pStyle w:val="Normal"/>
        <w:spacing w:lineRule="auto" w:line="259"/>
        <w:ind w:firstLine="709" w:start="7371"/>
        <w:rPr>
          <w:rFonts w:eastAsia="Calibri"/>
          <w:lang w:eastAsia="en-US"/>
        </w:rPr>
      </w:pPr>
      <w:r>
        <w:rPr>
          <w:rFonts w:eastAsia="Calibri"/>
          <w:lang w:eastAsia="en-US"/>
        </w:rPr>
        <w:t>до Програми</w:t>
      </w:r>
    </w:p>
    <w:p>
      <w:pPr>
        <w:pStyle w:val="Normal"/>
        <w:spacing w:lineRule="auto" w:line="259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Очікувані кінцеві результати виконання</w:t>
      </w:r>
    </w:p>
    <w:p>
      <w:pPr>
        <w:pStyle w:val="Normal"/>
        <w:spacing w:lineRule="auto" w:line="259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Програми утримання та фінансової підтримки </w:t>
      </w:r>
    </w:p>
    <w:p>
      <w:pPr>
        <w:pStyle w:val="Normal"/>
        <w:spacing w:lineRule="auto" w:line="259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КЗ «Роздільнянський стадіон «Спартак» </w:t>
      </w:r>
    </w:p>
    <w:p>
      <w:pPr>
        <w:pStyle w:val="Normal"/>
        <w:spacing w:lineRule="auto" w:line="259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на 2024-2026 роки</w:t>
      </w:r>
    </w:p>
    <w:p>
      <w:pPr>
        <w:pStyle w:val="Normal"/>
        <w:spacing w:lineRule="auto" w:line="259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tbl>
      <w:tblPr>
        <w:tblW w:w="991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979"/>
        <w:gridCol w:w="2553"/>
        <w:gridCol w:w="1059"/>
        <w:gridCol w:w="1152"/>
        <w:gridCol w:w="1040"/>
        <w:gridCol w:w="1093"/>
        <w:gridCol w:w="1042"/>
      </w:tblGrid>
      <w:tr>
        <w:trPr/>
        <w:tc>
          <w:tcPr>
            <w:tcW w:w="19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Найменування завдання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Найменування показника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Одиниця виміру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Значення показника</w:t>
            </w:r>
          </w:p>
        </w:tc>
      </w:tr>
      <w:tr>
        <w:trPr/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255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10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Усього</w:t>
            </w:r>
          </w:p>
        </w:tc>
        <w:tc>
          <w:tcPr>
            <w:tcW w:w="317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 тому числі за роками</w:t>
            </w:r>
          </w:p>
        </w:tc>
      </w:tr>
      <w:tr>
        <w:trPr/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255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10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11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1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1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</w:tr>
      <w:tr>
        <w:trPr/>
        <w:tc>
          <w:tcPr>
            <w:tcW w:w="1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</w:tr>
      <w:tr>
        <w:trPr/>
        <w:tc>
          <w:tcPr>
            <w:tcW w:w="19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ind w:hanging="0" w:start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Утримання в належному стані існуючої мережі спортивних споруд комунальної форми власності та забезпечення їх ефективного функціонування для проведення спортивних заходів</w:t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Показник затрат</w:t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Обсяг видатків на утримання комунальних спортивних споруд, видатки на утримання/надання фінансової підтримки яких/яким здійснюється з бюджету</w:t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Тис. грн.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10310,715</w:t>
            </w:r>
          </w:p>
        </w:tc>
        <w:tc>
          <w:tcPr>
            <w:tcW w:w="1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3217,745</w:t>
            </w:r>
          </w:p>
        </w:tc>
        <w:tc>
          <w:tcPr>
            <w:tcW w:w="1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3184,451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3908,519</w:t>
            </w:r>
          </w:p>
        </w:tc>
      </w:tr>
      <w:tr>
        <w:trPr>
          <w:trHeight w:val="1222" w:hRule="atLeast"/>
        </w:trPr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Показник затрат</w:t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Кількість штатних працівників</w:t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Од.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</w:t>
            </w:r>
          </w:p>
        </w:tc>
      </w:tr>
      <w:tr>
        <w:trPr/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Показник продукту</w:t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Кількість комунальних спортивних споруд, видатки на утримання/надання фінансової підтримки яких/яким здійснюється з бюджету</w:t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</w:tr>
      <w:tr>
        <w:trPr/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Показник ефективності</w:t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Середні витрати на утримання однієї штатної одиниці</w:t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Тис. грн.</w:t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448,291</w:t>
            </w:r>
          </w:p>
        </w:tc>
        <w:tc>
          <w:tcPr>
            <w:tcW w:w="1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146,261</w:t>
            </w:r>
          </w:p>
        </w:tc>
        <w:tc>
          <w:tcPr>
            <w:tcW w:w="1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144,748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169,935</w:t>
            </w:r>
          </w:p>
        </w:tc>
      </w:tr>
      <w:tr>
        <w:trPr>
          <w:trHeight w:val="2378" w:hRule="atLeast"/>
        </w:trPr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Показник якості</w:t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Темп зростання (зменшення) кількості спортивних заходів, що проводяться на комунальних спортивних спорудах, порівняно з минулим роком</w:t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1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1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100%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701" w:right="567" w:gutter="0" w:header="902" w:top="1134" w:footer="567" w:bottom="1134"/>
          <w:pgNumType w:fmt="decimal"/>
          <w:formProt w:val="false"/>
          <w:titlePg/>
          <w:textDirection w:val="lrTb"/>
        </w:sectPr>
      </w:pPr>
    </w:p>
    <w:p>
      <w:pPr>
        <w:pStyle w:val="Normal"/>
        <w:ind w:start="14034"/>
        <w:jc w:val="both"/>
        <w:rPr/>
      </w:pPr>
      <w:bookmarkEnd w:id="1"/>
      <w:bookmarkEnd w:id="3"/>
      <w:r>
        <w:rPr/>
        <w:t>Додаток 2</w:t>
      </w:r>
    </w:p>
    <w:p>
      <w:pPr>
        <w:pStyle w:val="Normal"/>
        <w:ind w:start="14034"/>
        <w:jc w:val="both"/>
        <w:rPr/>
      </w:pPr>
      <w:r>
        <w:rPr/>
        <w:t>до Програми</w:t>
      </w:r>
    </w:p>
    <w:p>
      <w:pPr>
        <w:pStyle w:val="Normal"/>
        <w:jc w:val="center"/>
        <w:rPr>
          <w:b/>
        </w:rPr>
      </w:pPr>
      <w:r>
        <w:rPr>
          <w:b/>
        </w:rPr>
        <w:t>Напрями діяльності та заходи Програми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Style w:val="ad"/>
        <w:tblW w:w="1601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12"/>
        <w:gridCol w:w="2035"/>
        <w:gridCol w:w="2125"/>
        <w:gridCol w:w="852"/>
        <w:gridCol w:w="1417"/>
        <w:gridCol w:w="1275"/>
        <w:gridCol w:w="1135"/>
        <w:gridCol w:w="1134"/>
        <w:gridCol w:w="1134"/>
        <w:gridCol w:w="1133"/>
        <w:gridCol w:w="3261"/>
      </w:tblGrid>
      <w:tr>
        <w:trPr/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з/п</w:t>
            </w:r>
          </w:p>
        </w:tc>
        <w:tc>
          <w:tcPr>
            <w:tcW w:w="203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Назва напрямку діяльності (пріоритетні завдання)</w:t>
            </w:r>
          </w:p>
        </w:tc>
        <w:tc>
          <w:tcPr>
            <w:tcW w:w="21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Перелік заходів Програми</w:t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Термін виконання</w:t>
            </w:r>
          </w:p>
        </w:tc>
        <w:tc>
          <w:tcPr>
            <w:tcW w:w="1417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Виконавці</w:t>
            </w:r>
          </w:p>
        </w:tc>
        <w:tc>
          <w:tcPr>
            <w:tcW w:w="127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Джерела фінансування</w:t>
            </w:r>
          </w:p>
        </w:tc>
        <w:tc>
          <w:tcPr>
            <w:tcW w:w="113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Орієнтовний обсяг фінансування, тис. грн.</w:t>
            </w:r>
          </w:p>
        </w:tc>
        <w:tc>
          <w:tcPr>
            <w:tcW w:w="3401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У тому числі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за роками</w:t>
            </w:r>
          </w:p>
        </w:tc>
        <w:tc>
          <w:tcPr>
            <w:tcW w:w="326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Очікувані результати</w:t>
            </w:r>
          </w:p>
        </w:tc>
      </w:tr>
      <w:tr>
        <w:trPr/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03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12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417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27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2025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2026</w:t>
            </w:r>
          </w:p>
        </w:tc>
        <w:tc>
          <w:tcPr>
            <w:tcW w:w="326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2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5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7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9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11</w:t>
            </w:r>
          </w:p>
        </w:tc>
      </w:tr>
      <w:tr>
        <w:trPr>
          <w:trHeight w:val="2401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203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Утримання в належному стані існуючої мережі спортивних споруд комунальної форми власності та забезпечення їх ефективного функціонування для проведення спортивних заходів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Оплата праці працівників КЗ «Роздільнянський стадіон «Спартак» з нарахуваннями на заробітну плату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2024-2026 роки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спорту, КЗ «Роздільнянський стадіон «Спартак»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Міський бюджет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9121,09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2843,45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2828,236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3449,404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/>
              <w:spacing w:before="0" w:after="0"/>
              <w:ind w:start="0"/>
              <w:contextualSpacing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- забезпечити належну організацію робочого процесу та ефективне використання трудових ресурсів; </w:t>
            </w:r>
          </w:p>
          <w:p>
            <w:pPr>
              <w:pStyle w:val="ListParagraph"/>
              <w:widowControl/>
              <w:spacing w:before="0" w:after="0"/>
              <w:ind w:start="0"/>
              <w:contextualSpacing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- підвищити рівень охоплення мешканців міста фізкультурно-оздоровчою та спортивною роботою;</w:t>
            </w:r>
          </w:p>
          <w:p>
            <w:pPr>
              <w:pStyle w:val="ListParagraph"/>
              <w:widowControl/>
              <w:spacing w:before="0" w:after="0"/>
              <w:ind w:start="0"/>
              <w:contextualSpacing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- впроваджувати систему фізкультурної просвіти населення, що сприятиме формуванню традицій і культури здорового способу життя, престижу здоров’я, залученню громадян до активних занять фізичною культурою і спортом та формуванню нових цінностей та орієнтирів, направлених на збереження та зміцнення здоров’я людей;</w:t>
            </w:r>
          </w:p>
          <w:p>
            <w:pPr>
              <w:pStyle w:val="ListParagraph"/>
              <w:widowControl/>
              <w:spacing w:before="0" w:after="0"/>
              <w:ind w:start="0"/>
              <w:contextualSpacing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- підвищити рівень забезпечення населення спортивними послугами</w:t>
            </w:r>
          </w:p>
        </w:tc>
      </w:tr>
      <w:tr>
        <w:trPr>
          <w:trHeight w:val="2401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203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Оплата комунальних послуг для забезпечення діяльності закладу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2024-2026 роки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спорту, КЗ «Роздільнянський стадіон «Спартак»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Міський бюджет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569,43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188,725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169,95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210,755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/>
              <w:spacing w:before="0" w:after="0"/>
              <w:ind w:start="0"/>
              <w:contextualSpacing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- забезпечити безперебійне функціонування закладу з метою надання населенню фізкультурно-спортивних послуг</w:t>
            </w:r>
          </w:p>
        </w:tc>
      </w:tr>
      <w:tr>
        <w:trPr>
          <w:trHeight w:val="1565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203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Придбання господарських товарів для утримання мережі спортивних об’єктів у належному стані, паливно-мастильних, будівельних матеріалів, дезінфікуючих та миючих засобів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2024-2026 роки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спорту, КЗ «Роздільнянський стадіон «Спартак»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Міський бюджет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548,335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172,57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163,235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212,53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- утримувати комплекс споруд стадіону у робочому стані згідно з сучасними вимогами (догляд, ремонт, реконструкція, реставрація, модернізація території та наявних споруд, безпека тощо)</w:t>
            </w:r>
          </w:p>
        </w:tc>
      </w:tr>
      <w:tr>
        <w:trPr>
          <w:trHeight w:val="1565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203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Придбання канцелярських товарів, оплата телефонного зв’язку та інтернету, послуг з обслуговування оргтехніки, вентканалів, газового обладнання, димоходів тощо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Міський бюджет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спорту, КЗ «Роздільнянський стадіон «Спартак»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Міський бюджет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65,4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12,0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20,3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33,1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-забезпечити безперебійне функціонування закладу у відповідності до сучасних вимог</w:t>
            </w:r>
          </w:p>
        </w:tc>
      </w:tr>
      <w:tr>
        <w:trPr>
          <w:trHeight w:val="1565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5.</w:t>
            </w:r>
          </w:p>
        </w:tc>
        <w:tc>
          <w:tcPr>
            <w:tcW w:w="203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Навчання працівників 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Міський бюджет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Відділ молоді та спорту, КЗ «Роздільнянський стадіон «Спартак»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Міський бюджет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6,46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2,73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2,73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/>
              <w:spacing w:before="0" w:after="0"/>
              <w:ind w:start="0"/>
              <w:contextualSpacing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- підвищення кваліфікації працівників з питань цивільного захисту населення</w:t>
            </w:r>
          </w:p>
        </w:tc>
      </w:tr>
      <w:tr>
        <w:trPr>
          <w:trHeight w:val="572" w:hRule="atLeast"/>
        </w:trPr>
        <w:tc>
          <w:tcPr>
            <w:tcW w:w="8216" w:type="dxa"/>
            <w:gridSpan w:val="6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Всього за Програмою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end="-101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10310,715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3217,745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3184,451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3908,519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/>
              <w:spacing w:before="0" w:after="0"/>
              <w:ind w:start="0"/>
              <w:contextualSpacing/>
              <w:jc w:val="both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  <w:bookmarkStart w:id="4" w:name="_Hlk184828102"/>
            <w:bookmarkEnd w:id="4"/>
          </w:p>
        </w:tc>
      </w:tr>
    </w:tbl>
    <w:p>
      <w:pPr>
        <w:pStyle w:val="Normal"/>
        <w:rPr/>
      </w:pPr>
      <w:r>
        <w:rPr/>
      </w:r>
    </w:p>
    <w:sectPr>
      <w:headerReference w:type="default" r:id="rId8"/>
      <w:headerReference w:type="first" r:id="rId9"/>
      <w:footerReference w:type="default" r:id="rId10"/>
      <w:footerReference w:type="first" r:id="rId11"/>
      <w:type w:val="nextPage"/>
      <w:pgSz w:orient="landscape" w:w="16838" w:h="11906"/>
      <w:pgMar w:left="567" w:right="255" w:gutter="0" w:header="709" w:top="1701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Antiqua"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Рамка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r>
      <mc:AlternateContent>
        <mc:Choice Requires="wps">
          <w:drawing>
            <wp:anchor distT="0" distB="0" distL="0" distR="0" simplePos="0" relativeHeight="7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2" name="Рамка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3.8pt;mso-wrap-distance-left:0pt;mso-wrap-distance-right:0pt;mso-wrap-distance-top:0pt;mso-wrap-distance-bottom:0pt;margin-top:0.05pt;mso-position-vertical-relative:text;margin-left:240.4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4" name="Рамка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3.8pt;mso-wrap-distance-left:0pt;mso-wrap-distance-right:0pt;mso-wrap-distance-top:0pt;mso-wrap-distance-bottom:0pt;margin-top:0.05pt;mso-position-vertical-relative:text;margin-left:399.8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-"/>
      <w:lvlJc w:val="start"/>
      <w:pPr>
        <w:tabs>
          <w:tab w:val="num" w:pos="0"/>
        </w:tabs>
        <w:ind w:start="6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3358d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uk-UA" w:bidi="ar-SA"/>
    </w:rPr>
  </w:style>
  <w:style w:type="paragraph" w:styleId="Heading1">
    <w:name w:val="heading 1"/>
    <w:basedOn w:val="Normal"/>
    <w:next w:val="Normal"/>
    <w:link w:val="1"/>
    <w:qFormat/>
    <w:rsid w:val="00df1577"/>
    <w:pPr>
      <w:keepNext w:val="true"/>
      <w:jc w:val="both"/>
      <w:outlineLvl w:val="0"/>
    </w:pPr>
    <w:rPr>
      <w:sz w:val="32"/>
      <w:szCs w:val="20"/>
    </w:rPr>
  </w:style>
  <w:style w:type="paragraph" w:styleId="Heading2">
    <w:name w:val="heading 2"/>
    <w:basedOn w:val="Normal"/>
    <w:next w:val="Normal"/>
    <w:link w:val="2"/>
    <w:qFormat/>
    <w:rsid w:val="00df1577"/>
    <w:pPr>
      <w:keepNext w:val="true"/>
      <w:jc w:val="both"/>
      <w:outlineLvl w:val="1"/>
    </w:pPr>
    <w:rPr>
      <w:b/>
      <w:bCs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df1577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f1577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character" w:styleId="Style12" w:customStyle="1">
    <w:name w:val="Верхний колонтитул Знак"/>
    <w:basedOn w:val="DefaultParagraphFont"/>
    <w:qFormat/>
    <w:rsid w:val="00df157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df1577"/>
    <w:rPr/>
  </w:style>
  <w:style w:type="character" w:styleId="Style13" w:customStyle="1">
    <w:name w:val="Нижний колонтитул Знак"/>
    <w:basedOn w:val="DefaultParagraphFont"/>
    <w:qFormat/>
    <w:rsid w:val="00df157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qFormat/>
    <w:rsid w:val="00df1577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rong">
    <w:name w:val="Strong"/>
    <w:qFormat/>
    <w:rsid w:val="00df1577"/>
    <w:rPr>
      <w:b/>
      <w:bCs/>
    </w:rPr>
  </w:style>
  <w:style w:type="character" w:styleId="Style15" w:customStyle="1">
    <w:name w:val="Основной текст с отступом Знак"/>
    <w:basedOn w:val="DefaultParagraphFont"/>
    <w:qFormat/>
    <w:rsid w:val="00df157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Текст выноски Знак"/>
    <w:basedOn w:val="DefaultParagraphFont"/>
    <w:link w:val="BalloonText"/>
    <w:semiHidden/>
    <w:qFormat/>
    <w:rsid w:val="00df1577"/>
    <w:rPr>
      <w:rFonts w:ascii="Tahoma" w:hAnsi="Tahoma" w:eastAsia="Times New Roman" w:cs="Tahoma"/>
      <w:sz w:val="16"/>
      <w:szCs w:val="16"/>
      <w:lang w:eastAsia="ru-RU"/>
    </w:rPr>
  </w:style>
  <w:style w:type="character" w:styleId="Emphasis">
    <w:name w:val="Emphasis"/>
    <w:qFormat/>
    <w:rsid w:val="00df1577"/>
    <w:rPr>
      <w:i/>
      <w:iCs/>
    </w:rPr>
  </w:style>
  <w:style w:type="character" w:styleId="rvts23" w:customStyle="1">
    <w:name w:val="rvts23"/>
    <w:basedOn w:val="DefaultParagraphFont"/>
    <w:qFormat/>
    <w:rsid w:val="00277835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rsid w:val="00df1577"/>
    <w:pPr/>
    <w:rPr>
      <w:sz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2"/>
    <w:rsid w:val="00df157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df157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 w:customStyle="1">
    <w:name w:val="Нормальний текст"/>
    <w:basedOn w:val="Normal"/>
    <w:qFormat/>
    <w:rsid w:val="00df1577"/>
    <w:pPr>
      <w:spacing w:before="120" w:after="0"/>
      <w:ind w:firstLine="567"/>
      <w:jc w:val="both"/>
    </w:pPr>
    <w:rPr>
      <w:rFonts w:ascii="Antiqua" w:hAnsi="Antiqua"/>
      <w:sz w:val="26"/>
      <w:szCs w:val="20"/>
    </w:rPr>
  </w:style>
  <w:style w:type="paragraph" w:styleId="11" w:customStyle="1">
    <w:name w:val="Абзац списка1"/>
    <w:basedOn w:val="Normal"/>
    <w:qFormat/>
    <w:rsid w:val="00df1577"/>
    <w:pPr>
      <w:spacing w:before="0" w:after="0"/>
      <w:ind w:start="720"/>
      <w:contextualSpacing/>
    </w:pPr>
    <w:rPr>
      <w:lang w:val="ru-RU"/>
    </w:rPr>
  </w:style>
  <w:style w:type="paragraph" w:styleId="NormalWeb">
    <w:name w:val="Normal (Web)"/>
    <w:basedOn w:val="Normal"/>
    <w:qFormat/>
    <w:rsid w:val="00df1577"/>
    <w:pPr>
      <w:spacing w:beforeAutospacing="1" w:afterAutospacing="1"/>
    </w:pPr>
    <w:rPr>
      <w:lang w:val="ru-RU"/>
    </w:rPr>
  </w:style>
  <w:style w:type="paragraph" w:styleId="BodyTextIndent">
    <w:name w:val="Body Text Indent"/>
    <w:basedOn w:val="Normal"/>
    <w:link w:val="Style15"/>
    <w:rsid w:val="00df1577"/>
    <w:pPr>
      <w:spacing w:before="0" w:after="120"/>
      <w:ind w:start="283"/>
    </w:pPr>
    <w:rPr/>
  </w:style>
  <w:style w:type="paragraph" w:styleId="BalloonText">
    <w:name w:val="Balloon Text"/>
    <w:basedOn w:val="Normal"/>
    <w:link w:val="Style16"/>
    <w:semiHidden/>
    <w:qFormat/>
    <w:rsid w:val="00df157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465f4"/>
    <w:pPr>
      <w:spacing w:before="0" w:after="0"/>
      <w:ind w:start="720"/>
      <w:contextualSpacing/>
    </w:pPr>
    <w:rPr/>
  </w:style>
  <w:style w:type="paragraph" w:styleId="Style21">
    <w:name w:val="Вміст рамки"/>
    <w:basedOn w:val="Normal"/>
    <w:qFormat/>
    <w:pPr/>
    <w:rPr/>
  </w:style>
  <w:style w:type="numbering" w:styleId="Style22" w:default="1">
    <w:name w:val="Без маркерів"/>
    <w:uiPriority w:val="99"/>
    <w:semiHidden/>
    <w:unhideWhenUsed/>
    <w:qFormat/>
  </w:style>
  <w:style w:type="numbering" w:styleId="12" w:customStyle="1">
    <w:name w:val="Немає списку1"/>
    <w:semiHidden/>
    <w:unhideWhenUsed/>
    <w:qFormat/>
    <w:rsid w:val="00df1577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39"/>
    <w:rsid w:val="00df1577"/>
    <w:pPr>
      <w:spacing w:after="0" w:line="240" w:lineRule="auto"/>
    </w:pPr>
    <w:rPr>
      <w:sz w:val="20"/>
      <w:szCs w:val="20"/>
      <w:lang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9F2D2-62B7-4DC2-A9E2-889FCD57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LibreOffice/26.2.6.3$Windows_x86 LibreOffice_project/8221e31b3ac356a1623c672912a3d2b492f7e3d1</Application>
  <AppVersion>15.0000</AppVersion>
  <Pages>8</Pages>
  <Words>979</Words>
  <Characters>6777</Characters>
  <CharactersWithSpaces>7532</CharactersWithSpaces>
  <Paragraphs>234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2026-08-27T13:55:00Z</dcterms:created>
  <dc:creator>Користувач</dc:creator>
  <dc:description/>
  <dc:language>uk-UA</dc:language>
  <cp:lastModifiedBy/>
  <cp:lastPrinted>2026-08-19T12:09:00Z</cp:lastPrinted>
  <dcterms:modified xsi:type="dcterms:W3CDTF">2026-09-30T15:12:11Z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