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widowControl/>
        <w:numPr>
          <w:ilvl w:val="0"/>
          <w:numId w:val="0"/>
        </w:numPr>
        <w:bidi w:val="0"/>
        <w:spacing w:lineRule="auto" w:line="240" w:before="0" w:after="0"/>
        <w:ind w:hanging="0" w:start="6520" w:end="0"/>
        <w:jc w:val="start"/>
        <w:outlineLvl w:val="0"/>
        <w:rPr>
          <w:rFonts w:eastAsia="Calibri"/>
          <w:b/>
          <w:i/>
          <w:spacing w:val="0"/>
          <w:sz w:val="24"/>
          <w:lang w:val="uk-UA"/>
        </w:rPr>
      </w:pPr>
      <w:r>
        <w:rPr>
          <w:rFonts w:eastAsia="Calibri"/>
          <w:spacing w:val="0"/>
          <w:lang w:val="uk-UA"/>
        </w:rPr>
        <w:t xml:space="preserve">  </w:t>
      </w:r>
      <w:r>
        <w:rPr>
          <w:rFonts w:eastAsia="Calibri"/>
          <w:b/>
          <w:i/>
          <w:spacing w:val="0"/>
          <w:sz w:val="24"/>
          <w:lang w:val="uk-UA"/>
        </w:rPr>
        <w:t>Додаток 1</w:t>
      </w:r>
    </w:p>
    <w:p>
      <w:pPr>
        <w:pStyle w:val="Normal"/>
        <w:jc w:val="center"/>
        <w:rPr>
          <w:b/>
          <w:spacing w:val="0"/>
          <w:sz w:val="24"/>
          <w:lang w:val="uk-UA"/>
        </w:rPr>
      </w:pPr>
      <w:r>
        <w:rPr>
          <w:b/>
          <w:spacing w:val="0"/>
          <w:sz w:val="24"/>
          <w:lang w:val="uk-UA"/>
        </w:rPr>
        <w:t xml:space="preserve">ПАСПОРТ </w:t>
      </w:r>
    </w:p>
    <w:p>
      <w:pPr>
        <w:pStyle w:val="Normal"/>
        <w:jc w:val="center"/>
        <w:rPr>
          <w:b/>
          <w:spacing w:val="0"/>
          <w:sz w:val="24"/>
          <w:lang w:val="uk-UA"/>
        </w:rPr>
      </w:pPr>
      <w:r>
        <w:rPr>
          <w:b/>
          <w:spacing w:val="0"/>
          <w:sz w:val="24"/>
        </w:rPr>
        <w:t xml:space="preserve">Програми </w:t>
      </w:r>
      <w:r>
        <w:rPr>
          <w:b/>
          <w:spacing w:val="0"/>
          <w:sz w:val="24"/>
          <w:lang w:val="uk-UA"/>
        </w:rPr>
        <w:t xml:space="preserve">розвитку культури, мистецтва та охорони культурної спадщини </w:t>
      </w:r>
    </w:p>
    <w:p>
      <w:pPr>
        <w:pStyle w:val="Normal"/>
        <w:jc w:val="center"/>
        <w:rPr>
          <w:b/>
          <w:spacing w:val="0"/>
          <w:sz w:val="24"/>
          <w:lang w:val="uk-UA"/>
        </w:rPr>
      </w:pPr>
      <w:r>
        <w:rPr>
          <w:b/>
          <w:spacing w:val="0"/>
          <w:sz w:val="24"/>
          <w:lang w:val="uk-UA"/>
        </w:rPr>
        <w:t xml:space="preserve">в Роздільнянській міській територіальній громаді </w:t>
      </w:r>
      <w:r>
        <w:rPr>
          <w:b/>
          <w:spacing w:val="0"/>
          <w:sz w:val="24"/>
        </w:rPr>
        <w:t>на 2027-20</w:t>
      </w:r>
      <w:r>
        <w:rPr>
          <w:b/>
          <w:spacing w:val="0"/>
          <w:sz w:val="24"/>
          <w:lang w:val="uk-UA"/>
        </w:rPr>
        <w:t>29</w:t>
      </w:r>
      <w:r>
        <w:rPr>
          <w:b/>
          <w:spacing w:val="0"/>
          <w:sz w:val="24"/>
        </w:rPr>
        <w:t xml:space="preserve"> рок</w:t>
      </w:r>
      <w:r>
        <w:rPr>
          <w:b/>
          <w:spacing w:val="0"/>
          <w:sz w:val="24"/>
          <w:lang w:val="uk-UA"/>
        </w:rPr>
        <w:t>и</w:t>
      </w:r>
    </w:p>
    <w:p>
      <w:pPr>
        <w:pStyle w:val="Normal"/>
        <w:jc w:val="center"/>
        <w:rPr>
          <w:spacing w:val="0"/>
          <w:lang w:val="uk-UA"/>
        </w:rPr>
      </w:pPr>
      <w:r>
        <w:rPr>
          <w:spacing w:val="0"/>
          <w:lang w:val="uk-UA"/>
        </w:rPr>
      </w:r>
    </w:p>
    <w:tbl>
      <w:tblPr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625"/>
        <w:gridCol w:w="3515"/>
        <w:gridCol w:w="5488"/>
      </w:tblGrid>
      <w:tr>
        <w:trPr/>
        <w:tc>
          <w:tcPr>
            <w:tcW w:w="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1.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Ініціатор розроблення Програми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Відділ культури Роздільнянської міської ради</w:t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2.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 xml:space="preserve"> </w:t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 xml:space="preserve">3. 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Розробник Програми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Відділ культури Роздільнянської міської ради</w:t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 xml:space="preserve">4. 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Відповідальний виконавець Програми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КЗ «Роздільнянський палац культури», КЗ «Роздільнянська публічна бібліотека Роздільнянської міської ради»</w:t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5.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Виконавці Програми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КЗ «Роздільнянський палац культури», КЗ «Роздільнянська публічна бібліотека Роздільнянської міської ради»</w:t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 xml:space="preserve">6. 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Термін реалізації Програми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 xml:space="preserve">2027 – 2029 роки </w:t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7.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Мета Програми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bCs/>
                <w:spacing w:val="0"/>
                <w:sz w:val="24"/>
                <w:lang w:val="uk-UA" w:eastAsia="uk-UA"/>
              </w:rPr>
              <w:t>Створення умов для розвитку сучасного, доступного та безпечного культурного середовища Роздільнянської міської територіальної громади, модернізації культурної інфраструктури, збереження і популяризації культурної спадщини, розвитку творчого потенціалу та підвищення культурної активності мешканців громади.</w:t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8.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 xml:space="preserve">Загальний обсяг фінансових ресурсів, необхідних для реалізації Програми, всього, </w:t>
            </w:r>
          </w:p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зокрема: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коштів Державного бюджету;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коштів обласного бюджету;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коштів бюджету Роздільнянської міської територіальної громади;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інші джерела.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</w:r>
          </w:p>
          <w:p>
            <w:pPr>
              <w:pStyle w:val="Normal"/>
              <w:jc w:val="center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1200</w:t>
            </w:r>
          </w:p>
        </w:tc>
      </w:tr>
      <w:tr>
        <w:trPr>
          <w:trHeight w:val="557" w:hRule="atLeast"/>
        </w:trPr>
        <w:tc>
          <w:tcPr>
            <w:tcW w:w="625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9.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Очікувані результати виконання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Autospacing="1" w:after="0"/>
              <w:ind w:firstLine="283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Реалізація Програми розвитку культури, мистецтва та охорони культурної спадщини у Роздільнянській міській територіальній громаді на 2027–2029 роки сприятиме створенню сучасного, доступного та безпечного культурного середовища, підвищенню якості культурних послуг, збереженню культурної спадщини та активізації участі мешканців у культурному житті громади.</w:t>
            </w:r>
          </w:p>
        </w:tc>
      </w:tr>
      <w:tr>
        <w:trPr/>
        <w:tc>
          <w:tcPr>
            <w:tcW w:w="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10.</w:t>
            </w:r>
          </w:p>
        </w:tc>
        <w:tc>
          <w:tcPr>
            <w:tcW w:w="35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  <w:lang w:val="uk-UA"/>
              </w:rPr>
              <w:t>Ключові показники ефективності</w:t>
            </w:r>
          </w:p>
        </w:tc>
        <w:tc>
          <w:tcPr>
            <w:tcW w:w="5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pacing w:val="0"/>
                <w:sz w:val="24"/>
                <w:lang w:val="uk-UA"/>
              </w:rPr>
            </w:pPr>
            <w:r>
              <w:rPr>
                <w:spacing w:val="0"/>
                <w:sz w:val="24"/>
              </w:rPr>
              <w:t>Рівень охоплення населення громади якісними та доступними культурними послугами — не менше 70 % до кінця 2029 року.</w:t>
            </w:r>
          </w:p>
        </w:tc>
      </w:tr>
    </w:tbl>
    <w:p>
      <w:pPr>
        <w:pStyle w:val="Normal"/>
        <w:rPr>
          <w:spacing w:val="0"/>
          <w:sz w:val="24"/>
          <w:lang w:val="uk-UA"/>
        </w:rPr>
      </w:pPr>
      <w:r>
        <w:rPr>
          <w:spacing w:val="0"/>
          <w:sz w:val="24"/>
          <w:lang w:val="uk-UA"/>
        </w:rPr>
      </w:r>
    </w:p>
    <w:p>
      <w:pPr>
        <w:pStyle w:val="Normal"/>
        <w:rPr>
          <w:spacing w:val="0"/>
          <w:sz w:val="24"/>
          <w:lang w:val="uk-UA"/>
        </w:rPr>
      </w:pPr>
      <w:r>
        <w:rPr>
          <w:spacing w:val="0"/>
          <w:sz w:val="24"/>
          <w:lang w:val="uk-UA"/>
        </w:rPr>
      </w:r>
    </w:p>
    <w:p>
      <w:pPr>
        <w:pStyle w:val="Normal"/>
        <w:rPr>
          <w:spacing w:val="0"/>
          <w:sz w:val="24"/>
          <w:lang w:val="uk-UA"/>
        </w:rPr>
      </w:pPr>
      <w:r>
        <w:rPr>
          <w:spacing w:val="0"/>
          <w:sz w:val="24"/>
          <w:lang w:val="uk-UA"/>
        </w:rPr>
      </w:r>
    </w:p>
    <w:p>
      <w:pPr>
        <w:pStyle w:val="Normal"/>
        <w:jc w:val="end"/>
        <w:rPr>
          <w:rFonts w:eastAsia="Calibri"/>
          <w:b/>
          <w:i/>
          <w:spacing w:val="0"/>
          <w:sz w:val="24"/>
          <w:lang w:val="uk-UA"/>
        </w:rPr>
      </w:pPr>
      <w:r>
        <w:rPr>
          <w:rFonts w:eastAsia="Calibri"/>
          <w:b/>
          <w:i/>
          <w:spacing w:val="0"/>
          <w:sz w:val="24"/>
          <w:lang w:val="uk-UA"/>
        </w:rPr>
        <w:t>Додаток 3</w:t>
      </w:r>
    </w:p>
    <w:p>
      <w:pPr>
        <w:pStyle w:val="Normal"/>
        <w:jc w:val="end"/>
        <w:rPr>
          <w:rFonts w:eastAsia="Calibri"/>
          <w:b/>
          <w:i/>
          <w:spacing w:val="0"/>
          <w:sz w:val="24"/>
          <w:lang w:val="uk-UA"/>
        </w:rPr>
      </w:pPr>
      <w:r>
        <w:rPr>
          <w:rFonts w:eastAsia="Calibri"/>
          <w:b/>
          <w:i/>
          <w:spacing w:val="0"/>
          <w:sz w:val="24"/>
          <w:lang w:val="uk-UA"/>
        </w:rPr>
      </w:r>
    </w:p>
    <w:p>
      <w:pPr>
        <w:pStyle w:val="Normal"/>
        <w:rPr>
          <w:spacing w:val="0"/>
          <w:sz w:val="24"/>
          <w:lang w:val="uk-UA"/>
        </w:rPr>
      </w:pPr>
      <w:r>
        <w:rPr>
          <w:rFonts w:eastAsia="Calibri"/>
          <w:spacing w:val="0"/>
          <w:sz w:val="24"/>
          <w:lang w:val="uk-UA"/>
        </w:rPr>
        <w:t>ПОКАЗНИКИ РЕЗУЛЬТАТИВНОСТІ ПРОГРАМИ</w:t>
      </w:r>
    </w:p>
    <w:p>
      <w:pPr>
        <w:pStyle w:val="Normal"/>
        <w:rPr>
          <w:spacing w:val="0"/>
          <w:sz w:val="24"/>
          <w:lang w:val="uk-UA"/>
        </w:rPr>
      </w:pPr>
      <w:r>
        <w:rPr>
          <w:spacing w:val="0"/>
          <w:sz w:val="24"/>
          <w:lang w:val="uk-UA"/>
        </w:rPr>
      </w:r>
    </w:p>
    <w:tbl>
      <w:tblPr>
        <w:tblStyle w:val="a4"/>
        <w:tblW w:w="949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0"/>
        <w:gridCol w:w="2269"/>
        <w:gridCol w:w="992"/>
        <w:gridCol w:w="1559"/>
        <w:gridCol w:w="1418"/>
        <w:gridCol w:w="1416"/>
        <w:gridCol w:w="1419"/>
      </w:tblGrid>
      <w:tr>
        <w:trPr>
          <w:trHeight w:val="413" w:hRule="atLeast"/>
        </w:trPr>
        <w:tc>
          <w:tcPr>
            <w:tcW w:w="420" w:type="dxa"/>
            <w:vMerge w:val="restart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№</w:t>
            </w:r>
            <w:r>
              <w:rPr>
                <w:spacing w:val="0"/>
                <w:kern w:val="0"/>
                <w:sz w:val="24"/>
                <w:lang w:val="uk-UA" w:eastAsia="uk-UA" w:bidi="ar-SA"/>
              </w:rPr>
              <w:t>з/п</w:t>
            </w:r>
          </w:p>
        </w:tc>
        <w:tc>
          <w:tcPr>
            <w:tcW w:w="2269" w:type="dxa"/>
            <w:vMerge w:val="restart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Назва показника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Одиниця виміру</w:t>
            </w:r>
          </w:p>
        </w:tc>
        <w:tc>
          <w:tcPr>
            <w:tcW w:w="1559" w:type="dxa"/>
            <w:vMerge w:val="restart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Вихідні дані на початок дії Програми</w:t>
            </w:r>
          </w:p>
        </w:tc>
        <w:tc>
          <w:tcPr>
            <w:tcW w:w="4253" w:type="dxa"/>
            <w:gridSpan w:val="3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 xml:space="preserve">І етап виконання Програми </w:t>
            </w:r>
          </w:p>
        </w:tc>
      </w:tr>
      <w:tr>
        <w:trPr>
          <w:trHeight w:val="412" w:hRule="atLeast"/>
        </w:trPr>
        <w:tc>
          <w:tcPr>
            <w:tcW w:w="420" w:type="dxa"/>
            <w:vMerge w:val="continue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2269" w:type="dxa"/>
            <w:vMerge w:val="continue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1559" w:type="dxa"/>
            <w:vMerge w:val="continue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2027 рік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2028 рік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2029 рік</w:t>
            </w:r>
          </w:p>
        </w:tc>
      </w:tr>
      <w:tr>
        <w:trPr>
          <w:trHeight w:val="329" w:hRule="atLeast"/>
        </w:trPr>
        <w:tc>
          <w:tcPr>
            <w:tcW w:w="420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3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4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5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7</w:t>
            </w:r>
          </w:p>
        </w:tc>
      </w:tr>
      <w:tr>
        <w:trPr/>
        <w:tc>
          <w:tcPr>
            <w:tcW w:w="9493" w:type="dxa"/>
            <w:gridSpan w:val="7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 xml:space="preserve">     </w:t>
            </w:r>
            <w:r>
              <w:rPr>
                <w:spacing w:val="0"/>
                <w:kern w:val="0"/>
                <w:sz w:val="24"/>
                <w:lang w:val="uk-UA" w:eastAsia="uk-UA" w:bidi="ar-SA"/>
              </w:rPr>
              <w:t>І. Показники затрат</w:t>
            </w:r>
          </w:p>
        </w:tc>
      </w:tr>
      <w:tr>
        <w:trPr/>
        <w:tc>
          <w:tcPr>
            <w:tcW w:w="420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rFonts w:eastAsia="Calibri"/>
                <w:spacing w:val="0"/>
                <w:kern w:val="0"/>
                <w:sz w:val="22"/>
                <w:szCs w:val="22"/>
                <w:lang w:eastAsia="en-US" w:bidi="ar-SA"/>
              </w:rPr>
              <w:t>Модернізація культурної інфраструктури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тис.грн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50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50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50</w:t>
            </w:r>
          </w:p>
        </w:tc>
      </w:tr>
      <w:tr>
        <w:trPr/>
        <w:tc>
          <w:tcPr>
            <w:tcW w:w="420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rFonts w:eastAsia="Calibri"/>
                <w:spacing w:val="0"/>
                <w:kern w:val="0"/>
                <w:sz w:val="22"/>
                <w:szCs w:val="22"/>
                <w:lang w:val="uk-UA" w:eastAsia="en-US" w:bidi="ar-SA"/>
              </w:rPr>
              <w:t>Активна спільнота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тис.грн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350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350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350</w:t>
            </w:r>
          </w:p>
        </w:tc>
      </w:tr>
      <w:tr>
        <w:trPr/>
        <w:tc>
          <w:tcPr>
            <w:tcW w:w="9493" w:type="dxa"/>
            <w:gridSpan w:val="7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 xml:space="preserve">     </w:t>
            </w:r>
            <w:r>
              <w:rPr>
                <w:spacing w:val="0"/>
                <w:kern w:val="0"/>
                <w:sz w:val="24"/>
                <w:lang w:val="uk-UA" w:eastAsia="uk-UA" w:bidi="ar-SA"/>
              </w:rPr>
              <w:t>ІІ. Показники продукту</w:t>
            </w:r>
          </w:p>
        </w:tc>
      </w:tr>
      <w:tr>
        <w:trPr/>
        <w:tc>
          <w:tcPr>
            <w:tcW w:w="420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rFonts w:eastAsia="Calibri"/>
                <w:spacing w:val="0"/>
                <w:kern w:val="0"/>
                <w:sz w:val="22"/>
                <w:szCs w:val="22"/>
                <w:lang w:val="uk-UA" w:eastAsia="en-US" w:bidi="ar-SA"/>
              </w:rPr>
              <w:t>Кількість модернізованих закладів культури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од.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</w:tc>
      </w:tr>
      <w:tr>
        <w:trPr/>
        <w:tc>
          <w:tcPr>
            <w:tcW w:w="420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rFonts w:eastAsia="Calibri"/>
                <w:spacing w:val="0"/>
                <w:kern w:val="0"/>
                <w:sz w:val="22"/>
                <w:szCs w:val="22"/>
                <w:lang w:val="uk-UA" w:eastAsia="en-US" w:bidi="ar-SA"/>
              </w:rPr>
              <w:t>Кількість проведених заходів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од.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20</w:t>
            </w:r>
          </w:p>
        </w:tc>
      </w:tr>
      <w:tr>
        <w:trPr/>
        <w:tc>
          <w:tcPr>
            <w:tcW w:w="9493" w:type="dxa"/>
            <w:gridSpan w:val="7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 xml:space="preserve">     </w:t>
            </w:r>
            <w:r>
              <w:rPr>
                <w:spacing w:val="0"/>
                <w:kern w:val="0"/>
                <w:sz w:val="24"/>
                <w:lang w:val="uk-UA" w:eastAsia="uk-UA" w:bidi="ar-SA"/>
              </w:rPr>
              <w:t>ІІ.І Показники ефективності</w:t>
            </w:r>
          </w:p>
        </w:tc>
      </w:tr>
      <w:tr>
        <w:trPr/>
        <w:tc>
          <w:tcPr>
            <w:tcW w:w="420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Витрати на модернізацію 1 закладу культури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тис.грн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50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50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50</w:t>
            </w:r>
          </w:p>
        </w:tc>
      </w:tr>
      <w:tr>
        <w:trPr/>
        <w:tc>
          <w:tcPr>
            <w:tcW w:w="420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2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rFonts w:eastAsia="Calibri"/>
                <w:spacing w:val="0"/>
                <w:kern w:val="0"/>
                <w:sz w:val="22"/>
                <w:szCs w:val="22"/>
                <w:lang w:val="uk-UA" w:eastAsia="en-US" w:bidi="ar-SA"/>
              </w:rPr>
              <w:t>Середні витрати на проведення одного заходу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тис.грн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17,5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17,5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17,5</w:t>
            </w:r>
          </w:p>
        </w:tc>
      </w:tr>
      <w:tr>
        <w:trPr/>
        <w:tc>
          <w:tcPr>
            <w:tcW w:w="9493" w:type="dxa"/>
            <w:gridSpan w:val="7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 xml:space="preserve">    </w:t>
            </w:r>
            <w:r>
              <w:rPr>
                <w:spacing w:val="0"/>
                <w:kern w:val="0"/>
                <w:sz w:val="24"/>
                <w:lang w:val="uk-UA" w:eastAsia="uk-UA" w:bidi="ar-SA"/>
              </w:rPr>
              <w:t>І</w:t>
            </w:r>
            <w:r>
              <w:rPr>
                <w:spacing w:val="0"/>
                <w:kern w:val="0"/>
                <w:sz w:val="24"/>
                <w:lang w:val="en-US" w:eastAsia="uk-UA" w:bidi="ar-SA"/>
              </w:rPr>
              <w:t>V</w:t>
            </w:r>
            <w:r>
              <w:rPr>
                <w:spacing w:val="0"/>
                <w:kern w:val="0"/>
                <w:sz w:val="24"/>
                <w:lang w:val="uk-UA" w:eastAsia="uk-UA" w:bidi="ar-SA"/>
              </w:rPr>
              <w:t>. Показники якості</w:t>
            </w:r>
          </w:p>
        </w:tc>
      </w:tr>
      <w:tr>
        <w:trPr/>
        <w:tc>
          <w:tcPr>
            <w:tcW w:w="420" w:type="dxa"/>
            <w:tcBorders/>
          </w:tcPr>
          <w:p>
            <w:pPr>
              <w:pStyle w:val="Normal"/>
              <w:widowControl/>
              <w:spacing w:beforeAutospacing="1" w:afterAutospacing="1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1</w:t>
            </w:r>
          </w:p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Р</w:t>
            </w:r>
            <w:r>
              <w:rPr>
                <w:spacing w:val="0"/>
                <w:kern w:val="0"/>
                <w:sz w:val="24"/>
                <w:lang w:eastAsia="uk-UA" w:bidi="ar-SA"/>
              </w:rPr>
              <w:t>івень задоволеності населення якістю та доступністю культурних послуг.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%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70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75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pacing w:beforeAutospacing="1" w:after="0"/>
              <w:jc w:val="both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kern w:val="0"/>
                <w:sz w:val="24"/>
                <w:lang w:val="uk-UA" w:eastAsia="uk-UA" w:bidi="ar-SA"/>
              </w:rPr>
              <w:t>80</w:t>
            </w:r>
          </w:p>
        </w:tc>
      </w:tr>
    </w:tbl>
    <w:p>
      <w:pPr>
        <w:pStyle w:val="Normal"/>
        <w:spacing w:beforeAutospacing="1" w:afterAutospacing="1"/>
        <w:ind w:firstLine="360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</w:r>
    </w:p>
    <w:p>
      <w:pPr>
        <w:pStyle w:val="Normal"/>
        <w:spacing w:beforeAutospacing="1" w:afterAutospacing="1"/>
        <w:ind w:firstLine="360"/>
        <w:jc w:val="both"/>
        <w:rPr>
          <w:spacing w:val="0"/>
          <w:sz w:val="24"/>
          <w:lang w:val="uk-UA" w:eastAsia="uk-UA"/>
        </w:rPr>
      </w:pPr>
      <w:r>
        <w:rPr>
          <w:spacing w:val="0"/>
          <w:sz w:val="24"/>
          <w:lang w:val="uk-UA" w:eastAsia="uk-UA"/>
        </w:rPr>
      </w:r>
    </w:p>
    <w:p>
      <w:pPr>
        <w:pStyle w:val="Heading1"/>
        <w:rPr/>
      </w:pPr>
      <w:r>
        <w:rPr/>
        <w:t xml:space="preserve">                                        </w:t>
      </w:r>
    </w:p>
    <w:p>
      <w:pPr>
        <w:pStyle w:val="Heading1"/>
        <w:rPr>
          <w:b w:val="false"/>
          <w:i/>
          <w:spacing w:val="0"/>
          <w:sz w:val="20"/>
          <w:szCs w:val="20"/>
        </w:rPr>
      </w:pPr>
      <w:r>
        <w:rPr/>
        <w:t xml:space="preserve">                                                                       </w:t>
      </w:r>
    </w:p>
    <w:p>
      <w:pPr>
        <w:pStyle w:val="Normal"/>
        <w:spacing w:before="0" w:after="120"/>
        <w:rPr>
          <w:b/>
          <w:i/>
          <w:spacing w:val="0"/>
          <w:sz w:val="20"/>
          <w:szCs w:val="20"/>
          <w:lang w:val="uk-UA"/>
        </w:rPr>
      </w:pPr>
      <w:r>
        <w:rPr>
          <w:b/>
          <w:i/>
          <w:spacing w:val="0"/>
          <w:sz w:val="20"/>
          <w:szCs w:val="20"/>
          <w:lang w:val="uk-UA"/>
        </w:rPr>
      </w:r>
    </w:p>
    <w:p>
      <w:pPr>
        <w:pStyle w:val="Normal"/>
        <w:spacing w:lineRule="auto" w:line="259" w:beforeAutospacing="1" w:afterAutospacing="1"/>
        <w:ind w:firstLine="360"/>
        <w:jc w:val="end"/>
        <w:rPr>
          <w:rFonts w:eastAsia="Calibri" w:eastAsiaTheme="minorHAnsi"/>
          <w:b/>
          <w:i/>
          <w:spacing w:val="0"/>
          <w:sz w:val="24"/>
          <w:lang w:val="uk-UA" w:eastAsia="uk-UA"/>
        </w:rPr>
      </w:pPr>
      <w:r>
        <w:rPr>
          <w:rFonts w:eastAsia="Calibri" w:eastAsiaTheme="minorHAnsi"/>
          <w:b/>
          <w:i/>
          <w:spacing w:val="0"/>
          <w:sz w:val="24"/>
          <w:lang w:val="uk-UA" w:eastAsia="uk-UA"/>
        </w:rPr>
        <w:t>Додаток 4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59" w:before="240" w:after="0"/>
        <w:outlineLvl w:val="0"/>
        <w:rPr>
          <w:rFonts w:eastAsia="" w:eastAsiaTheme="majorEastAsia"/>
          <w:color w:themeColor="accent1" w:themeShade="bf" w:val="2E74B5"/>
          <w:spacing w:val="0"/>
          <w:sz w:val="24"/>
          <w:lang w:val="uk-UA" w:eastAsia="en-US"/>
        </w:rPr>
      </w:pPr>
      <w:r>
        <w:rPr>
          <w:rFonts w:eastAsia="" w:eastAsiaTheme="majorEastAsia"/>
          <w:color w:themeColor="accent1" w:themeShade="bf" w:val="2E74B5"/>
          <w:spacing w:val="0"/>
          <w:sz w:val="24"/>
          <w:lang w:val="uk-UA" w:eastAsia="en-US"/>
        </w:rPr>
        <w:t xml:space="preserve">                                                     </w:t>
      </w:r>
    </w:p>
    <w:tbl>
      <w:tblPr>
        <w:tblStyle w:val="11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556"/>
        <w:gridCol w:w="1039"/>
        <w:gridCol w:w="1038"/>
        <w:gridCol w:w="1039"/>
        <w:gridCol w:w="1155"/>
        <w:gridCol w:w="1153"/>
        <w:gridCol w:w="1648"/>
      </w:tblGrid>
      <w:tr>
        <w:trPr/>
        <w:tc>
          <w:tcPr>
            <w:tcW w:w="2556" w:type="dxa"/>
            <w:vMerge w:val="restart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 xml:space="preserve">Обсяг коштів, що </w:t>
            </w:r>
          </w:p>
          <w:p>
            <w:pPr>
              <w:pStyle w:val="Normal"/>
              <w:widowControl/>
              <w:spacing w:lineRule="auto" w:line="259" w:before="0" w:after="160"/>
              <w:jc w:val="start"/>
              <w:rPr>
                <w:rFonts w:eastAsia="Calibri" w:eastAsiaTheme="minorHAnsi"/>
                <w:spacing w:val="0"/>
                <w:sz w:val="24"/>
                <w:lang w:val="uk-UA"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пропонується залучити</w:t>
            </w:r>
          </w:p>
          <w:p>
            <w:pPr>
              <w:pStyle w:val="Normal"/>
              <w:widowControl/>
              <w:spacing w:lineRule="auto" w:line="259" w:before="0" w:after="160"/>
              <w:jc w:val="start"/>
              <w:rPr>
                <w:rFonts w:eastAsia="Calibri" w:eastAsiaTheme="minorHAnsi"/>
                <w:spacing w:val="0"/>
                <w:sz w:val="24"/>
                <w:lang w:val="uk-UA"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 xml:space="preserve">на виконання </w:t>
            </w:r>
          </w:p>
          <w:p>
            <w:pPr>
              <w:pStyle w:val="Normal"/>
              <w:widowControl/>
              <w:spacing w:lineRule="auto" w:line="259" w:before="0" w:after="160"/>
              <w:jc w:val="start"/>
              <w:rPr>
                <w:rFonts w:ascii="Calibri" w:hAnsi="Calibri" w:eastAsia="Calibri" w:cs="" w:asciiTheme="minorHAnsi" w:cstheme="minorBidi" w:eastAsiaTheme="minorHAnsi" w:hAnsiTheme="minorHAnsi"/>
                <w:spacing w:val="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Програми</w:t>
            </w:r>
          </w:p>
        </w:tc>
        <w:tc>
          <w:tcPr>
            <w:tcW w:w="5424" w:type="dxa"/>
            <w:gridSpan w:val="5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Етапи виконання Програми</w:t>
            </w:r>
          </w:p>
        </w:tc>
        <w:tc>
          <w:tcPr>
            <w:tcW w:w="1648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Calibri" w:eastAsiaTheme="minorHAnsi"/>
                <w:spacing w:val="0"/>
                <w:sz w:val="24"/>
                <w:lang w:val="uk-UA"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Всього витрат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Calibri" w:eastAsiaTheme="minorHAnsi"/>
                <w:spacing w:val="0"/>
                <w:sz w:val="24"/>
                <w:lang w:val="uk-UA"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 xml:space="preserve">на виконання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Calibri" w:eastAsiaTheme="minorHAnsi"/>
                <w:spacing w:val="0"/>
                <w:sz w:val="24"/>
                <w:lang w:val="uk-UA"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Програми</w:t>
            </w:r>
          </w:p>
        </w:tc>
      </w:tr>
      <w:tr>
        <w:trPr/>
        <w:tc>
          <w:tcPr>
            <w:tcW w:w="2556" w:type="dxa"/>
            <w:vMerge w:val="continue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color w:themeColor="accent1" w:themeShade="bf" w:val="2E74B5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color w:themeColor="accent1" w:themeShade="bf" w:val="2E74B5"/>
                <w:spacing w:val="0"/>
                <w:kern w:val="0"/>
                <w:sz w:val="24"/>
                <w:lang w:val="uk-UA" w:eastAsia="en-US" w:bidi="ar-SA"/>
              </w:rPr>
            </w:r>
          </w:p>
        </w:tc>
        <w:tc>
          <w:tcPr>
            <w:tcW w:w="3116" w:type="dxa"/>
            <w:gridSpan w:val="3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center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І</w:t>
            </w:r>
          </w:p>
        </w:tc>
        <w:tc>
          <w:tcPr>
            <w:tcW w:w="1155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ІІ</w:t>
            </w:r>
          </w:p>
        </w:tc>
        <w:tc>
          <w:tcPr>
            <w:tcW w:w="1153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ІІІ</w:t>
            </w:r>
          </w:p>
        </w:tc>
        <w:tc>
          <w:tcPr>
            <w:tcW w:w="1648" w:type="dxa"/>
            <w:vMerge w:val="continue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</w:r>
          </w:p>
        </w:tc>
      </w:tr>
      <w:tr>
        <w:trPr/>
        <w:tc>
          <w:tcPr>
            <w:tcW w:w="2556" w:type="dxa"/>
            <w:vMerge w:val="continue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color w:themeColor="accent1" w:themeShade="bf" w:val="2E74B5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color w:themeColor="accent1" w:themeShade="bf" w:val="2E74B5"/>
                <w:spacing w:val="0"/>
                <w:kern w:val="0"/>
                <w:sz w:val="24"/>
                <w:lang w:val="uk-UA" w:eastAsia="en-US" w:bidi="ar-SA"/>
              </w:rPr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2027 рік</w:t>
            </w:r>
          </w:p>
        </w:tc>
        <w:tc>
          <w:tcPr>
            <w:tcW w:w="103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color w:themeColor="accent1" w:themeShade="bf" w:val="2E74B5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2028 рік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color w:themeColor="accent1" w:themeShade="bf" w:val="2E74B5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2029 рік</w:t>
            </w:r>
          </w:p>
        </w:tc>
        <w:tc>
          <w:tcPr>
            <w:tcW w:w="1155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 xml:space="preserve">20_  - </w:t>
            </w:r>
          </w:p>
          <w:p>
            <w:pPr>
              <w:pStyle w:val="Normal"/>
              <w:widowControl/>
              <w:spacing w:lineRule="auto" w:line="259" w:before="0" w:after="160"/>
              <w:jc w:val="start"/>
              <w:rPr>
                <w:rFonts w:eastAsia="Calibri" w:eastAsiaTheme="minorHAnsi"/>
                <w:spacing w:val="0"/>
                <w:sz w:val="24"/>
                <w:lang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20 _ роки</w:t>
            </w:r>
          </w:p>
        </w:tc>
        <w:tc>
          <w:tcPr>
            <w:tcW w:w="1153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 xml:space="preserve">20_  - </w:t>
            </w:r>
          </w:p>
          <w:p>
            <w:pPr>
              <w:pStyle w:val="Normal"/>
              <w:widowControl/>
              <w:spacing w:lineRule="auto" w:line="259" w:before="0" w:after="160"/>
              <w:jc w:val="start"/>
              <w:rPr>
                <w:rFonts w:eastAsia="Calibri" w:eastAsiaTheme="minorHAnsi"/>
                <w:spacing w:val="0"/>
                <w:sz w:val="24"/>
                <w:lang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20 _ роки</w:t>
            </w:r>
          </w:p>
        </w:tc>
        <w:tc>
          <w:tcPr>
            <w:tcW w:w="1648" w:type="dxa"/>
            <w:vMerge w:val="continue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color w:themeColor="accent1" w:themeShade="bf" w:val="2E74B5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color w:themeColor="accent1" w:themeShade="bf" w:val="2E74B5"/>
                <w:spacing w:val="0"/>
                <w:kern w:val="0"/>
                <w:sz w:val="24"/>
                <w:lang w:val="uk-UA" w:eastAsia="en-US" w:bidi="ar-SA"/>
              </w:rPr>
            </w:r>
          </w:p>
        </w:tc>
      </w:tr>
      <w:tr>
        <w:trPr/>
        <w:tc>
          <w:tcPr>
            <w:tcW w:w="2556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1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2</w:t>
            </w:r>
          </w:p>
        </w:tc>
        <w:tc>
          <w:tcPr>
            <w:tcW w:w="103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3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4</w:t>
            </w:r>
          </w:p>
        </w:tc>
        <w:tc>
          <w:tcPr>
            <w:tcW w:w="1155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5</w:t>
            </w:r>
          </w:p>
        </w:tc>
        <w:tc>
          <w:tcPr>
            <w:tcW w:w="1153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6</w:t>
            </w:r>
          </w:p>
        </w:tc>
        <w:tc>
          <w:tcPr>
            <w:tcW w:w="164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7</w:t>
            </w:r>
          </w:p>
        </w:tc>
      </w:tr>
      <w:tr>
        <w:trPr/>
        <w:tc>
          <w:tcPr>
            <w:tcW w:w="2556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Обсяг коштів, всього,</w:t>
            </w:r>
          </w:p>
          <w:p>
            <w:pPr>
              <w:pStyle w:val="Normal"/>
              <w:widowControl/>
              <w:spacing w:lineRule="auto" w:line="259" w:before="0" w:after="160"/>
              <w:jc w:val="start"/>
              <w:rPr>
                <w:rFonts w:ascii="Calibri" w:hAnsi="Calibri" w:eastAsia="Calibri" w:cs="" w:asciiTheme="minorHAnsi" w:cstheme="minorBidi" w:eastAsiaTheme="minorHAnsi" w:hAnsiTheme="minorHAnsi"/>
                <w:spacing w:val="0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зокрема: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400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400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400</w:t>
            </w:r>
          </w:p>
        </w:tc>
        <w:tc>
          <w:tcPr>
            <w:tcW w:w="1155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153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64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1200</w:t>
            </w:r>
          </w:p>
        </w:tc>
      </w:tr>
      <w:tr>
        <w:trPr/>
        <w:tc>
          <w:tcPr>
            <w:tcW w:w="2556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Державний бюджет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155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153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64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</w:tr>
      <w:tr>
        <w:trPr/>
        <w:tc>
          <w:tcPr>
            <w:tcW w:w="2556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Обласний бюджет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155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153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64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</w:tr>
      <w:tr>
        <w:trPr/>
        <w:tc>
          <w:tcPr>
            <w:tcW w:w="255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eastAsia="Calibri" w:eastAsiaTheme="minorHAnsi"/>
                <w:spacing w:val="0"/>
                <w:sz w:val="24"/>
                <w:lang w:val="uk-UA"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 xml:space="preserve">Бюджет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Calibri" w:eastAsiaTheme="minorHAnsi"/>
                <w:spacing w:val="0"/>
                <w:sz w:val="24"/>
                <w:lang w:val="uk-UA"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Роздільнянської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eastAsia="Calibri" w:eastAsiaTheme="minorHAnsi"/>
                <w:spacing w:val="0"/>
                <w:sz w:val="24"/>
                <w:lang w:val="uk-UA"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Міської територіальної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Calibri" w:hAnsi="Calibri" w:eastAsia="Calibri" w:cs="" w:asciiTheme="minorHAnsi" w:cstheme="minorBidi" w:eastAsiaTheme="minorHAnsi" w:hAnsiTheme="minorHAns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 xml:space="preserve"> </w:t>
            </w:r>
            <w:r>
              <w:rPr>
                <w:rFonts w:eastAsia="Calibri" w:eastAsiaTheme="minorHAnsi"/>
                <w:spacing w:val="0"/>
                <w:kern w:val="0"/>
                <w:sz w:val="24"/>
                <w:lang w:val="uk-UA" w:eastAsia="en-US" w:bidi="ar-SA"/>
              </w:rPr>
              <w:t>громади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400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400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400</w:t>
            </w:r>
          </w:p>
        </w:tc>
        <w:tc>
          <w:tcPr>
            <w:tcW w:w="1155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153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64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1200</w:t>
            </w:r>
          </w:p>
        </w:tc>
      </w:tr>
      <w:tr>
        <w:trPr/>
        <w:tc>
          <w:tcPr>
            <w:tcW w:w="2556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Інші джерела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039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155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153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  <w:tc>
          <w:tcPr>
            <w:tcW w:w="1648" w:type="dxa"/>
            <w:tcBorders/>
          </w:tcPr>
          <w:p>
            <w:pPr>
              <w:pStyle w:val="Normal"/>
              <w:keepNext w:val="true"/>
              <w:keepLines/>
              <w:widowControl/>
              <w:numPr>
                <w:ilvl w:val="0"/>
                <w:numId w:val="0"/>
              </w:numPr>
              <w:spacing w:lineRule="auto" w:line="259" w:before="240" w:after="0"/>
              <w:jc w:val="start"/>
              <w:outlineLvl w:val="0"/>
              <w:rPr>
                <w:rFonts w:eastAsia="" w:eastAsiaTheme="majorEastAsia"/>
                <w:spacing w:val="0"/>
                <w:sz w:val="24"/>
                <w:lang w:val="uk-UA" w:eastAsia="en-US"/>
              </w:rPr>
            </w:pPr>
            <w:r>
              <w:rPr>
                <w:rFonts w:eastAsia="" w:eastAsiaTheme="majorEastAsia"/>
                <w:spacing w:val="0"/>
                <w:kern w:val="0"/>
                <w:sz w:val="24"/>
                <w:lang w:val="uk-UA" w:eastAsia="en-US" w:bidi="ar-SA"/>
              </w:rPr>
              <w:t>0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lineRule="auto" w:line="259" w:before="240" w:after="0"/>
        <w:outlineLvl w:val="0"/>
        <w:rPr>
          <w:rFonts w:eastAsia="" w:eastAsiaTheme="majorEastAsia"/>
          <w:b/>
          <w:i/>
          <w:color w:themeColor="accent1" w:themeShade="bf" w:val="2E74B5"/>
          <w:spacing w:val="0"/>
          <w:sz w:val="24"/>
          <w:lang w:val="uk-UA" w:eastAsia="en-US"/>
        </w:r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701" w:right="567" w:gutter="0" w:header="720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rPr>
          <w:rFonts w:eastAsia="" w:eastAsiaTheme="majorEastAsia"/>
          <w:color w:themeColor="accent1" w:themeShade="bf" w:val="2E74B5"/>
          <w:spacing w:val="0"/>
          <w:sz w:val="24"/>
          <w:lang w:val="uk-UA" w:eastAsia="en-US"/>
        </w:rPr>
        <w:t xml:space="preserve">                                                       </w:t>
      </w:r>
    </w:p>
    <w:p>
      <w:pPr>
        <w:pStyle w:val="Normal"/>
        <w:tabs>
          <w:tab w:val="clear" w:pos="708"/>
          <w:tab w:val="left" w:pos="1142" w:leader="none"/>
        </w:tabs>
        <w:rPr>
          <w:sz w:val="20"/>
          <w:szCs w:val="20"/>
          <w:lang w:val="uk-UA"/>
        </w:rPr>
        <w:sectPr>
          <w:headerReference w:type="even" r:id="rId5"/>
          <w:headerReference w:type="default" r:id="rId6"/>
          <w:headerReference w:type="first" r:id="rId7"/>
          <w:type w:val="nextPage"/>
          <w:pgSz w:w="11906" w:h="16838"/>
          <w:pgMar w:left="1701" w:right="567" w:gutter="0" w:header="720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rPr>
          <w:sz w:val="20"/>
          <w:szCs w:val="20"/>
          <w:lang w:val="uk-UA"/>
        </w:rPr>
      </w:r>
    </w:p>
    <w:p>
      <w:pPr>
        <w:pStyle w:val="Normal"/>
        <w:spacing w:before="0" w:after="120"/>
        <w:ind w:start="283"/>
        <w:jc w:val="end"/>
        <w:rPr>
          <w:b/>
          <w:i/>
          <w:spacing w:val="0"/>
          <w:sz w:val="20"/>
          <w:szCs w:val="20"/>
          <w:lang w:val="uk-UA"/>
        </w:rPr>
      </w:pPr>
      <w:r>
        <w:rPr>
          <w:b/>
          <w:i/>
          <w:spacing w:val="0"/>
          <w:sz w:val="20"/>
          <w:szCs w:val="20"/>
          <w:lang w:val="uk-UA"/>
        </w:rPr>
      </w:r>
    </w:p>
    <w:p>
      <w:pPr>
        <w:pStyle w:val="Normal"/>
        <w:spacing w:before="0" w:after="120"/>
        <w:ind w:start="283"/>
        <w:jc w:val="end"/>
        <w:rPr>
          <w:b/>
          <w:i/>
          <w:spacing w:val="0"/>
          <w:sz w:val="20"/>
          <w:szCs w:val="20"/>
          <w:lang w:val="uk-UA"/>
        </w:rPr>
      </w:pPr>
      <w:r>
        <w:rPr>
          <w:b/>
          <w:i/>
          <w:spacing w:val="0"/>
          <w:sz w:val="20"/>
          <w:szCs w:val="20"/>
          <w:lang w:val="uk-UA"/>
        </w:rPr>
      </w:r>
    </w:p>
    <w:p>
      <w:pPr>
        <w:pStyle w:val="Normal"/>
        <w:spacing w:lineRule="auto" w:line="259" w:before="0" w:after="160"/>
        <w:jc w:val="end"/>
        <w:rPr>
          <w:rFonts w:eastAsia="Calibri"/>
          <w:b/>
          <w:i/>
          <w:spacing w:val="0"/>
          <w:sz w:val="24"/>
          <w:lang w:val="uk-UA" w:eastAsia="en-US"/>
        </w:rPr>
      </w:pPr>
      <w:r>
        <w:rPr>
          <w:rFonts w:eastAsia="Calibri" w:ascii="Calibri" w:hAnsi="Calibri"/>
          <w:i/>
          <w:spacing w:val="0"/>
          <w:sz w:val="22"/>
          <w:szCs w:val="22"/>
          <w:lang w:val="uk-UA" w:eastAsia="en-US"/>
        </w:rPr>
        <w:t xml:space="preserve">  </w:t>
      </w:r>
      <w:r>
        <w:rPr>
          <w:rFonts w:eastAsia="Calibri"/>
          <w:b/>
          <w:i/>
          <w:spacing w:val="0"/>
          <w:sz w:val="24"/>
          <w:lang w:val="uk-UA" w:eastAsia="en-US"/>
        </w:rPr>
        <w:t>Додаток 2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rFonts w:eastAsia="Calibri"/>
          <w:spacing w:val="0"/>
          <w:sz w:val="24"/>
          <w:lang w:val="uk-UA"/>
        </w:rPr>
      </w:pPr>
      <w:r>
        <w:rPr>
          <w:rFonts w:eastAsia="Calibri"/>
          <w:spacing w:val="0"/>
          <w:sz w:val="24"/>
          <w:lang w:val="uk-UA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rFonts w:eastAsia="Calibri"/>
          <w:spacing w:val="0"/>
          <w:sz w:val="24"/>
          <w:lang w:val="uk-UA"/>
        </w:rPr>
      </w:pPr>
      <w:r>
        <w:rPr>
          <w:rFonts w:eastAsia="Calibri"/>
          <w:spacing w:val="0"/>
          <w:sz w:val="24"/>
          <w:lang w:val="uk-UA"/>
        </w:rPr>
        <w:t>ЗАХОДИ ПРОГРАМИ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rFonts w:eastAsia="Calibri"/>
          <w:spacing w:val="0"/>
          <w:lang w:val="uk-UA"/>
        </w:rPr>
      </w:pPr>
      <w:r>
        <w:rPr>
          <w:rFonts w:eastAsia="Calibri"/>
          <w:spacing w:val="0"/>
          <w:lang w:val="uk-UA"/>
        </w:rPr>
        <w:t>розвитку культури, мистецтва та охорони культурної спадщини в Роздільнянській міській територіальній громаді на 202</w:t>
      </w:r>
      <w:r>
        <w:rPr>
          <w:rFonts w:eastAsia="Calibri"/>
          <w:spacing w:val="0"/>
        </w:rPr>
        <w:t>7</w:t>
      </w:r>
      <w:r>
        <w:rPr>
          <w:rFonts w:eastAsia="Calibri"/>
          <w:spacing w:val="0"/>
          <w:lang w:val="uk-UA"/>
        </w:rPr>
        <w:t>-2029роки</w:t>
      </w:r>
      <w:bookmarkStart w:id="0" w:name="_GoBack"/>
      <w:bookmarkEnd w:id="0"/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rFonts w:eastAsia="Calibri"/>
          <w:spacing w:val="0"/>
          <w:sz w:val="24"/>
          <w:lang w:val="uk-UA"/>
        </w:rPr>
      </w:pPr>
      <w:r>
        <w:rPr>
          <w:rFonts w:eastAsia="Calibri"/>
          <w:spacing w:val="0"/>
          <w:sz w:val="24"/>
          <w:lang w:val="uk-UA"/>
        </w:rPr>
      </w:r>
    </w:p>
    <w:tbl>
      <w:tblPr>
        <w:tblW w:w="15876" w:type="dxa"/>
        <w:jc w:val="start"/>
        <w:tblInd w:w="-45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firstRow="1" w:noVBand="0" w:lastRow="0" w:firstColumn="1" w:lastColumn="0" w:noHBand="0"/>
      </w:tblPr>
      <w:tblGrid>
        <w:gridCol w:w="566"/>
        <w:gridCol w:w="1985"/>
        <w:gridCol w:w="2268"/>
        <w:gridCol w:w="1134"/>
        <w:gridCol w:w="14"/>
        <w:gridCol w:w="2255"/>
        <w:gridCol w:w="1309"/>
        <w:gridCol w:w="956"/>
        <w:gridCol w:w="1140"/>
        <w:gridCol w:w="1143"/>
        <w:gridCol w:w="1143"/>
        <w:gridCol w:w="1963"/>
      </w:tblGrid>
      <w:tr>
        <w:trPr>
          <w:trHeight w:val="561" w:hRule="atLeast"/>
        </w:trPr>
        <w:tc>
          <w:tcPr>
            <w:tcW w:w="5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Пріоритетні завдання Програми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Перелік заходів Програми</w:t>
            </w:r>
          </w:p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8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Строк виконання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Відповідальні виконавці</w:t>
            </w:r>
          </w:p>
        </w:tc>
        <w:tc>
          <w:tcPr>
            <w:tcW w:w="13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Джерела фінансування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Разом</w:t>
            </w:r>
          </w:p>
        </w:tc>
        <w:tc>
          <w:tcPr>
            <w:tcW w:w="342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Орієнтовні обсяги фінансування, тис. грн.</w:t>
            </w:r>
          </w:p>
        </w:tc>
        <w:tc>
          <w:tcPr>
            <w:tcW w:w="196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Очікуваний результат</w:t>
            </w:r>
          </w:p>
        </w:tc>
      </w:tr>
      <w:tr>
        <w:trPr>
          <w:trHeight w:val="561" w:hRule="atLeast"/>
        </w:trPr>
        <w:tc>
          <w:tcPr>
            <w:tcW w:w="56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8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3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2027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2028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2029</w:t>
            </w:r>
          </w:p>
        </w:tc>
        <w:tc>
          <w:tcPr>
            <w:tcW w:w="196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531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eastAsia="en-US"/>
              </w:rPr>
              <w:t>Модернізація культурної інфраструктури</w:t>
            </w:r>
          </w:p>
        </w:tc>
      </w:tr>
      <w:tr>
        <w:trPr>
          <w:trHeight w:val="70" w:hRule="atLeast"/>
        </w:trPr>
        <w:tc>
          <w:tcPr>
            <w:tcW w:w="5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1.1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4"/>
                <w:lang w:val="uk-UA" w:eastAsia="en-US"/>
              </w:rPr>
            </w:pPr>
            <w:r>
              <w:rPr>
                <w:sz w:val="24"/>
              </w:rPr>
              <w:t>Модернізація та ремонт закладів культури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проведення поточних та капітальних ремонтів будівель і приміщень закладів культури;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ремонт та реконструкція покрівель, фасадів, сцен, глядацьких залів та інших приміщень;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модернізація систем опалення, електропостачання, водопостачання та водовідведення;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здійснення заходів з енергоефективності та підвищення безпеки будівель;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виготовлення проєктно-кошторисної документації для реконструкції, капітального ремонту та модернізації об’єктів культури;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spacing w:val="0"/>
                <w:sz w:val="24"/>
                <w:lang w:val="uk-UA" w:eastAsia="uk-UA"/>
              </w:rPr>
              <w:t>- облаштування прилеглих територій закладів культури.</w:t>
            </w:r>
          </w:p>
        </w:tc>
        <w:tc>
          <w:tcPr>
            <w:tcW w:w="1148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</w:tc>
        <w:tc>
          <w:tcPr>
            <w:tcW w:w="13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бюджет, за рахунок інших  джерел</w:t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96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Покращення технічного стану та умов функціонування закладів культури</w:t>
            </w:r>
          </w:p>
        </w:tc>
      </w:tr>
      <w:tr>
        <w:trPr>
          <w:trHeight w:val="561" w:hRule="atLeast"/>
        </w:trPr>
        <w:tc>
          <w:tcPr>
            <w:tcW w:w="56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 w:ascii="Calibri" w:hAnsi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8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3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      </w:t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96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1.2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Autospacing="1" w:afterAutospacing="1"/>
              <w:rPr>
                <w:spacing w:val="0"/>
                <w:sz w:val="24"/>
                <w:lang w:val="uk-UA" w:eastAsia="uk-UA"/>
              </w:rPr>
            </w:pPr>
            <w:r>
              <w:rPr>
                <w:bCs/>
                <w:spacing w:val="0"/>
                <w:sz w:val="24"/>
                <w:lang w:val="uk-UA" w:eastAsia="uk-UA"/>
              </w:rPr>
              <w:t>Оновлення матеріально-технічної бази</w:t>
            </w:r>
          </w:p>
          <w:p>
            <w:pPr>
              <w:pStyle w:val="Normal"/>
              <w:spacing w:beforeAutospacing="1" w:afterAutospacing="1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придбання музичних інструментів;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придбання професійного сценічного, світлового та звукового обладнання;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придбання мультимедійного обладнання, LED-екранів та засобів цифрової демонстрації;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придбання комп’ютерної техніки та обладнання для створення і поширення цифрового культурного контенту;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оновлення меблів, сценічних конструкцій, костюмів та іншого обладнання, необхідного для діяльності закладів культури;</w:t>
            </w:r>
          </w:p>
          <w:p>
            <w:pPr>
              <w:pStyle w:val="Normal"/>
              <w:rPr>
                <w:rFonts w:ascii="Calibri" w:hAnsi="Calibri"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spacing w:val="0"/>
                <w:sz w:val="24"/>
                <w:lang w:val="uk-UA" w:eastAsia="uk-UA"/>
              </w:rPr>
              <w:t>- забезпечення закладів культури засобами пожежної та іншої безпеки.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бюджет, за рахунок інших  джерел</w:t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Оновлення матеріально-технічної бази та підвищення якості культурних послуг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1.3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Створення сучасних культурних просторів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 </w:t>
            </w: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створення та облаштування багатофункціональних культурних просторів і культурних хабів;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переоблаштування окремих приміщень закладів культури для проведення культурно-освітніх, молодіжних та громадських заходів;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створення умов для проведення виставок, майстер-класів, лекцій, кінопоказів, творчих зустрічей та інших сучасних форматів культурної діяльності.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«Роздільнянська публічна бібліотека Роздільнянської міської ради»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бюджет, за рахунок інших  джерел</w:t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shd w:fill="FFFFFF" w:val="clear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shd w:fill="FFFFFF" w:val="clear"/>
                <w:lang w:eastAsia="en-US"/>
              </w:rPr>
              <w:t>Створення сучасних багатофункціональних просторів для культурної та громадської активності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1.4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Забезпечення доступності та безбар’єрності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облаштування доступних входів, пандусів, поручнів та санітарних приміщень;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усунення фізичних бар’єрів у закладах культури;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забезпечення доступності культурних послуг для осіб з інвалідністю, ветеранів, дітей та інших маломобільних груп населення;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spacing w:val="0"/>
                <w:sz w:val="24"/>
                <w:lang w:val="uk-UA" w:eastAsia="uk-UA"/>
              </w:rPr>
              <w:t>-  впровадження елементів інформаційної та навігаційної доступності.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«Роздільнянська публічна бібліотека Роздільнянської міської ради»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бюджет, за рахунок інших  джерел</w:t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shd w:fill="FFFFFF" w:val="clear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shd w:fill="FFFFFF" w:val="clear"/>
                <w:lang w:eastAsia="en-US"/>
              </w:rPr>
              <w:t>Підвищення доступності культурних послуг для маломобільних груп населення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1.5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Забезпечення транспортної мобільності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забезпечення транспортної підтримки творчих колективів та працівників закладів культури;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організація виїзних культурно-мистецьких заходів у населених пунктах громади;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забезпечення участі творчих колективів у фестивалях, конкурсах, культурних заходах обласного, всеукраїнського та міжнародного рівнів.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бюджет, за рахунок інших  джерел</w:t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150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50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50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50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shd w:fill="FFFFFF" w:val="clear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shd w:fill="FFFFFF" w:val="clear"/>
                <w:lang w:eastAsia="en-US"/>
              </w:rPr>
              <w:t>Забезпечення участі творчих колективів у культурно-мистецьких заходах</w:t>
            </w:r>
          </w:p>
        </w:tc>
      </w:tr>
      <w:tr>
        <w:trPr>
          <w:trHeight w:val="561" w:hRule="atLeast"/>
        </w:trPr>
        <w:tc>
          <w:tcPr>
            <w:tcW w:w="953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Всього за напрямком: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150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50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50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50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shd w:fill="FFFFFF" w:val="clear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shd w:fill="FFFFFF" w:val="clear"/>
                <w:lang w:val="uk-UA" w:eastAsia="en-US"/>
              </w:rPr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15310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Активна спільнота</w:t>
            </w:r>
          </w:p>
        </w:tc>
      </w:tr>
      <w:tr>
        <w:trPr>
          <w:trHeight w:val="70" w:hRule="atLeast"/>
        </w:trPr>
        <w:tc>
          <w:tcPr>
            <w:tcW w:w="5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2.1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shd w:fill="FFFFFF" w:val="clear"/>
                <w:lang w:eastAsia="en-US"/>
              </w:rPr>
              <w:t>Підтримка молодіжних ініціатив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створення умов для змістовного культурного дозвілля дітей та молоді;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проведення молодіжних культурних, мистецьких, освітніх та просвітницьких заходів;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підтримка молодіжних культурних проєктів та ініціатив;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залучення молоді до організації та реалізації культурних заходів громади;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spacing w:val="0"/>
                <w:sz w:val="24"/>
                <w:lang w:val="uk-UA" w:eastAsia="uk-UA"/>
              </w:rPr>
              <w:t>-  розвиток творчих здібностей дітей та молоді.</w:t>
            </w:r>
          </w:p>
        </w:tc>
        <w:tc>
          <w:tcPr>
            <w:tcW w:w="1148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«Роздільнянська публічна бібліотека Роздільнянської міської ради»</w:t>
            </w:r>
          </w:p>
        </w:tc>
        <w:tc>
          <w:tcPr>
            <w:tcW w:w="13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бюджет, за рахунок інших  джерел</w:t>
            </w:r>
          </w:p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color w:themeColor="background1" w:val="FFFFFF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color w:themeColor="background1" w:val="FFFFFF"/>
                <w:spacing w:val="0"/>
                <w:sz w:val="22"/>
                <w:szCs w:val="22"/>
                <w:lang w:val="uk-UA" w:eastAsia="en-US"/>
              </w:rPr>
            </w:r>
          </w:p>
        </w:tc>
      </w:tr>
      <w:tr>
        <w:trPr>
          <w:trHeight w:val="561" w:hRule="atLeast"/>
        </w:trPr>
        <w:tc>
          <w:tcPr>
            <w:tcW w:w="56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shd w:fill="FFFFFF" w:val="clear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shd w:fill="FFFFFF" w:val="clear"/>
                <w:lang w:val="uk-UA" w:eastAsia="en-US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8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3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4"/>
                <w:lang w:val="uk-UA" w:eastAsia="en-US"/>
              </w:rPr>
            </w:pPr>
            <w:r>
              <w:rPr>
                <w:rFonts w:eastAsia="Calibri"/>
                <w:spacing w:val="0"/>
                <w:sz w:val="24"/>
                <w:lang w:eastAsia="en-US"/>
              </w:rPr>
              <w:t>Збільшення участі молоді у культурному та громадському житті</w:t>
            </w:r>
          </w:p>
        </w:tc>
      </w:tr>
      <w:tr>
        <w:trPr>
          <w:trHeight w:val="561" w:hRule="atLeast"/>
        </w:trPr>
        <w:tc>
          <w:tcPr>
            <w:tcW w:w="5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2.2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Підтримка аматорського мистецтва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забезпечення діяльності аматорських творчих колективів;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підтримка колективів, які мають звання «народний» та «зразковий»;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організація участі творчих колективів у конкурсах, фестивалях, концертах та інших культурних заходах;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проведення творчих конкурсів, оглядів, концертів та майстер-класів;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підтримка талановитих дітей, молоді та дорослих.</w:t>
            </w:r>
          </w:p>
        </w:tc>
        <w:tc>
          <w:tcPr>
            <w:tcW w:w="1148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«Роздільнянська публічна бібліотека Роздільнянської міської ради»</w:t>
            </w:r>
          </w:p>
        </w:tc>
        <w:tc>
          <w:tcPr>
            <w:tcW w:w="13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бюджет, за рахунок інших  джерел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FFFFFF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96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Збереження та розвиток аматорського мистецтва</w:t>
            </w:r>
          </w:p>
        </w:tc>
      </w:tr>
      <w:tr>
        <w:trPr>
          <w:trHeight w:val="561" w:hRule="atLeast"/>
        </w:trPr>
        <w:tc>
          <w:tcPr>
            <w:tcW w:w="56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8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3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143" w:type="dxa"/>
            <w:tcBorders>
              <w:top w:val="single" w:sz="4" w:space="0" w:color="FFFFFF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96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2.3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Підтримка волонтерських та громадських ініціатив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залучення громадських організацій та ініціативних груп до реалізації культурних проєктів;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проведення благодійних, волонтерських та соціально-культурних заходів;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підтримка ініціатив, спрямованих на соціальну згуртованість громади;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залучення мешканців до громадського та культурного життя.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  <w:p>
            <w:pPr>
              <w:pStyle w:val="Normal"/>
              <w:ind w:hanging="37" w:start="37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«Роздільнянська публічна бібліотека Роздільнянської міської ради»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бюджет, за рахунок інших  джерел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143" w:type="dxa"/>
            <w:tcBorders>
              <w:top w:val="single" w:sz="4" w:space="0" w:color="FFFFFF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Посилення соціальної згуртованості та громадської активності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2.4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Розвиток культурної освіти та професійної спроможності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організація навчань, семінарів, тренінгів та майстер-класів для працівників культури;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підвищення кваліфікації працівників закладів культури;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обмін досвідом з іншими громадами та культурними інституціями;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розвиток компетентностей у сфері проєктного менеджменту, грантової діяльності, цифровізації та комунікацій;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  підтримка участі працівників культури у професійних форумах, конференціях та навчальних програмах.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  <w:p>
            <w:pPr>
              <w:pStyle w:val="Normal"/>
              <w:ind w:hanging="37" w:start="37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«Роздільнянська публічна бібліотека Роздільнянської міської ради»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Не потребує фінансування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</w:t>
            </w:r>
          </w:p>
        </w:tc>
        <w:tc>
          <w:tcPr>
            <w:tcW w:w="1143" w:type="dxa"/>
            <w:tcBorders>
              <w:top w:val="single" w:sz="4" w:space="0" w:color="FFFFFF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-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eastAsia="en-US"/>
              </w:rPr>
              <w:t>Підвищення професійної спроможності працівників культури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Cs/>
                <w:spacing w:val="0"/>
                <w:sz w:val="22"/>
                <w:szCs w:val="22"/>
                <w:lang w:val="uk-UA" w:eastAsia="en-US"/>
              </w:rPr>
              <w:t>Проведення культурно-мистецьких та подієвих заходів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організація та проведення загальногромадських, державних, професійних, патріотичних та пам’ятних заходів;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проведення фестивалів, конкурсів, концертів, вистав, виставок та культурно-мистецьких акцій;</w:t>
            </w:r>
          </w:p>
          <w:p>
            <w:pPr>
              <w:pStyle w:val="Normal"/>
              <w:rPr>
                <w:spacing w:val="0"/>
                <w:sz w:val="24"/>
                <w:lang w:val="uk-UA" w:eastAsia="uk-UA"/>
              </w:rPr>
            </w:pPr>
            <w:r>
              <w:rPr>
                <w:spacing w:val="0"/>
                <w:sz w:val="24"/>
                <w:lang w:val="uk-UA" w:eastAsia="uk-UA"/>
              </w:rPr>
              <w:t>-  підтримка локальних культурних подій та традицій;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spacing w:val="0"/>
                <w:sz w:val="24"/>
                <w:lang w:val="uk-UA" w:eastAsia="uk-UA"/>
              </w:rPr>
              <w:t>-  розвиток подієвого туризму через проведення культурних фестивалів та інших заходів.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2027- 2029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Відділ культури Роздільнянської міської ради </w:t>
            </w:r>
          </w:p>
          <w:p>
            <w:pPr>
              <w:pStyle w:val="Normal"/>
              <w:ind w:hanging="37" w:start="37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«Роздільнянський палац культури»</w:t>
            </w:r>
          </w:p>
          <w:p>
            <w:pPr>
              <w:pStyle w:val="Normal"/>
              <w:ind w:hanging="37" w:start="37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КЗ «Роздільнянська публічна бібліотека Роздільнянської міської ради»</w:t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бюджет, за рахунок інших  джерел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450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150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150</w:t>
            </w:r>
          </w:p>
        </w:tc>
        <w:tc>
          <w:tcPr>
            <w:tcW w:w="1143" w:type="dxa"/>
            <w:tcBorders>
              <w:top w:val="single" w:sz="4" w:space="0" w:color="FFFFFF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150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shd w:fill="FFFFFF" w:val="clear"/>
                <w:lang w:eastAsia="en-US"/>
              </w:rPr>
              <w:t>Збільшення культурної активності та залучення мешканців до культурного життя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2.5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Заходи з увічнення пам’яті захисників України. Формування національно патріотичної свідомості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Проведення тематичних виставок творів мистецтва, документів, фотографій/плакатів, присвячених пам’ті захисників України. </w:t>
            </w:r>
          </w:p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Закупівля державної символіки, банерів тощо. 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37" w:start="37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60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Збереження та популяризація пам’яті про Захисників і Захисниць України, підвищення рівня національної та громадянської свідомості, патріотизму, поваги до історії, державних символів і культурних цінностей України, формування активної громадянської позиції мешканців громади, особливо дітей та молоді.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2.6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Збереження та популяризація історичної пам’яті та досягнень громади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Придбання інформаційних, презентаційних матеріалів з метою популяризації досягнень мешканців громади у сферах : культури, спорту, освіти, громадської діяльності, волонтерства тощо.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120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40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40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40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Підвищення рівня інформованості мешканців та гостей громади про досягнення її мешканців, популяризація успішних прикладів громадської, культурної, спортивної, освітньої та волонтерської діяльності, формування позитивного іміджу громади.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2.7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Заохочення та підтримка талановитої, обдарованої молоді 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Одноразове преміювання учнів школи мистецтв, учасників молодіжних та дитячих колективів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Місцевий бюджет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390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130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130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130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Створення умов для розвитку інтелектуального, творчого, лідерського потенціалу молоді створення сиситеми морального та матеріального стимулювання талановитої молоді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2.8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 xml:space="preserve">Інформування населення громади через ЗМІ 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Друк публікацій, статей, оголошень у місцевій газеті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13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30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  <w:t>Удосконалення конструктивних зв’язків з громадскістю, прозорість і відкритість</w:t>
            </w:r>
          </w:p>
        </w:tc>
      </w:tr>
      <w:tr>
        <w:trPr>
          <w:trHeight w:val="561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  <w:tc>
          <w:tcPr>
            <w:tcW w:w="896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Всього за напрямком: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1050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350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350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350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</w:tr>
      <w:tr>
        <w:trPr>
          <w:trHeight w:val="561" w:hRule="atLeast"/>
        </w:trPr>
        <w:tc>
          <w:tcPr>
            <w:tcW w:w="953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ВСЬОГО ЗА ПРОГРАМОЮ:</w:t>
            </w:r>
          </w:p>
        </w:tc>
        <w:tc>
          <w:tcPr>
            <w:tcW w:w="9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1200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 xml:space="preserve">    </w:t>
            </w: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400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400</w:t>
            </w:r>
          </w:p>
        </w:tc>
        <w:tc>
          <w:tcPr>
            <w:tcW w:w="11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pacing w:val="0"/>
                <w:sz w:val="22"/>
                <w:szCs w:val="22"/>
                <w:lang w:val="uk-UA" w:eastAsia="en-US"/>
              </w:rPr>
              <w:t>400</w:t>
            </w:r>
          </w:p>
        </w:tc>
        <w:tc>
          <w:tcPr>
            <w:tcW w:w="1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pacing w:val="0"/>
                <w:sz w:val="22"/>
                <w:szCs w:val="22"/>
                <w:lang w:val="uk-UA" w:eastAsia="en-US"/>
              </w:rPr>
            </w:r>
          </w:p>
        </w:tc>
      </w:tr>
    </w:tbl>
    <w:p>
      <w:pPr>
        <w:sectPr>
          <w:headerReference w:type="default" r:id="rId8"/>
          <w:headerReference w:type="first" r:id="rId9"/>
          <w:type w:val="nextPage"/>
          <w:pgSz w:orient="landscape" w:w="16838" w:h="11906"/>
          <w:pgMar w:left="1134" w:right="1134" w:gutter="0" w:header="720" w:top="777" w:footer="0" w:bottom="156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spacing w:before="0" w:after="120"/>
        <w:rPr>
          <w:b/>
          <w:i/>
          <w:spacing w:val="0"/>
          <w:sz w:val="20"/>
          <w:szCs w:val="20"/>
          <w:lang w:val="uk-UA"/>
        </w:rPr>
      </w:pPr>
      <w:r>
        <w:rPr>
          <w:b/>
          <w:i/>
          <w:spacing w:val="0"/>
          <w:sz w:val="20"/>
          <w:szCs w:val="20"/>
          <w:lang w:val="uk-UA"/>
        </w:rPr>
      </w:r>
    </w:p>
    <w:sectPr>
      <w:headerReference w:type="default" r:id="rId10"/>
      <w:headerReference w:type="first" r:id="rId11"/>
      <w:type w:val="nextPage"/>
      <w:pgSz w:w="11906" w:h="16838"/>
      <w:pgMar w:left="1701" w:right="567" w:gutter="0" w:header="72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1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05pt;height:13.8pt;mso-wrap-distance-left:0pt;mso-wrap-distance-right:0pt;mso-wrap-distance-top:0pt;mso-wrap-distance-bottom:0pt;margin-top:0.05pt;mso-position-vertical-relative:text;margin-left:237.9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Рам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Рамка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10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bothSides"/>
              <wp:docPr id="5" name="Рамка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14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2.05pt;height:13.8pt;mso-wrap-distance-left:0pt;mso-wrap-distance-right:0pt;mso-wrap-distance-top:0pt;mso-wrap-distance-bottom:0pt;margin-top:0.05pt;mso-position-vertical-relative:text;margin-left:358.2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14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Рамка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e7b06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spacing w:val="20"/>
      <w:kern w:val="0"/>
      <w:sz w:val="28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ae7b06"/>
    <w:pPr>
      <w:keepNext w:val="true"/>
      <w:jc w:val="center"/>
      <w:outlineLvl w:val="0"/>
    </w:pPr>
    <w:rPr>
      <w:b/>
      <w:szCs w:val="32"/>
      <w:lang w:val="uk-UA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223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2a2c60"/>
    <w:pPr>
      <w:keepNext w:val="true"/>
      <w:spacing w:before="240" w:after="60"/>
      <w:outlineLvl w:val="2"/>
    </w:pPr>
    <w:rPr>
      <w:rFonts w:ascii="Cambria" w:hAnsi="Cambria"/>
      <w:b/>
      <w:bCs/>
      <w:spacing w:val="0"/>
      <w:sz w:val="26"/>
      <w:szCs w:val="26"/>
    </w:rPr>
  </w:style>
  <w:style w:type="paragraph" w:styleId="Heading4">
    <w:name w:val="heading 4"/>
    <w:basedOn w:val="Normal"/>
    <w:next w:val="Normal"/>
    <w:link w:val="4"/>
    <w:qFormat/>
    <w:rsid w:val="00ae7b06"/>
    <w:pPr>
      <w:keepNext w:val="true"/>
      <w:spacing w:lineRule="auto" w:line="360"/>
      <w:jc w:val="center"/>
      <w:outlineLvl w:val="3"/>
    </w:pPr>
    <w:rPr>
      <w:rFonts w:eastAsia="Arial Unicode MS"/>
      <w:spacing w:val="0"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e7b06"/>
    <w:rPr>
      <w:rFonts w:ascii="Times New Roman" w:hAnsi="Times New Roman" w:eastAsia="Times New Roman" w:cs="Times New Roman"/>
      <w:b/>
      <w:spacing w:val="20"/>
      <w:sz w:val="28"/>
      <w:szCs w:val="32"/>
      <w:lang w:eastAsia="ru-RU"/>
    </w:rPr>
  </w:style>
  <w:style w:type="character" w:styleId="4" w:customStyle="1">
    <w:name w:val="Заголовок 4 Знак"/>
    <w:basedOn w:val="DefaultParagraphFont"/>
    <w:qFormat/>
    <w:rsid w:val="00ae7b06"/>
    <w:rPr>
      <w:rFonts w:ascii="Times New Roman" w:hAnsi="Times New Roman" w:eastAsia="Arial Unicode MS" w:cs="Times New Roman"/>
      <w:sz w:val="32"/>
      <w:szCs w:val="24"/>
      <w:lang w:val="ru-RU" w:eastAsia="ru-RU"/>
    </w:rPr>
  </w:style>
  <w:style w:type="character" w:styleId="Emphasis">
    <w:name w:val="Emphasis"/>
    <w:qFormat/>
    <w:rsid w:val="00ae7b06"/>
    <w:rPr>
      <w:i/>
      <w:iCs/>
    </w:rPr>
  </w:style>
  <w:style w:type="character" w:styleId="Style10" w:customStyle="1">
    <w:name w:val="Назва Знак"/>
    <w:basedOn w:val="DefaultParagraphFont"/>
    <w:uiPriority w:val="99"/>
    <w:qFormat/>
    <w:rsid w:val="000f63e9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1" w:customStyle="1">
    <w:name w:val="Основний текст з відступом Знак"/>
    <w:basedOn w:val="DefaultParagraphFont"/>
    <w:uiPriority w:val="99"/>
    <w:qFormat/>
    <w:rsid w:val="000f63e9"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2" w:customStyle="1">
    <w:name w:val="Заголовок 2 Знак"/>
    <w:basedOn w:val="DefaultParagraphFont"/>
    <w:uiPriority w:val="9"/>
    <w:qFormat/>
    <w:rsid w:val="00dc223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pacing w:val="20"/>
      <w:sz w:val="26"/>
      <w:szCs w:val="26"/>
      <w:lang w:val="ru-RU" w:eastAsia="ru-RU"/>
    </w:rPr>
  </w:style>
  <w:style w:type="character" w:styleId="Style12" w:customStyle="1">
    <w:name w:val="Текст у виносці Знак"/>
    <w:basedOn w:val="DefaultParagraphFont"/>
    <w:link w:val="BalloonText"/>
    <w:uiPriority w:val="99"/>
    <w:semiHidden/>
    <w:qFormat/>
    <w:rsid w:val="00e4695c"/>
    <w:rPr>
      <w:rFonts w:ascii="Segoe UI" w:hAnsi="Segoe UI" w:eastAsia="Times New Roman" w:cs="Segoe UI"/>
      <w:spacing w:val="20"/>
      <w:sz w:val="18"/>
      <w:szCs w:val="18"/>
      <w:lang w:val="ru-RU" w:eastAsia="ru-RU"/>
    </w:rPr>
  </w:style>
  <w:style w:type="character" w:styleId="3" w:customStyle="1">
    <w:name w:val="Заголовок 3 Знак"/>
    <w:basedOn w:val="DefaultParagraphFont"/>
    <w:qFormat/>
    <w:rsid w:val="002a2c60"/>
    <w:rPr>
      <w:rFonts w:ascii="Cambria" w:hAnsi="Cambria" w:eastAsia="Times New Roman" w:cs="Times New Roman"/>
      <w:b/>
      <w:bCs/>
      <w:sz w:val="26"/>
      <w:szCs w:val="26"/>
      <w:lang w:val="ru-RU" w:eastAsia="ru-RU"/>
    </w:rPr>
  </w:style>
  <w:style w:type="character" w:styleId="Style13" w:customStyle="1">
    <w:name w:val="Верхній колонтитул Знак"/>
    <w:basedOn w:val="DefaultParagraphFont"/>
    <w:uiPriority w:val="99"/>
    <w:qFormat/>
    <w:rsid w:val="002a2c60"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PageNumber">
    <w:name w:val="page number"/>
    <w:uiPriority w:val="99"/>
    <w:rsid w:val="002a2c60"/>
    <w:rPr>
      <w:rFonts w:cs="Times New Roman"/>
    </w:rPr>
  </w:style>
  <w:style w:type="character" w:styleId="Strong">
    <w:name w:val="Strong"/>
    <w:uiPriority w:val="22"/>
    <w:qFormat/>
    <w:rsid w:val="002a2c60"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6b2d63"/>
    <w:pPr>
      <w:spacing w:before="0" w:after="0"/>
      <w:ind w:start="720"/>
      <w:contextualSpacing/>
    </w:pPr>
    <w:rPr/>
  </w:style>
  <w:style w:type="paragraph" w:styleId="Title">
    <w:name w:val="Title"/>
    <w:basedOn w:val="Normal"/>
    <w:link w:val="Style10"/>
    <w:uiPriority w:val="99"/>
    <w:qFormat/>
    <w:rsid w:val="000f63e9"/>
    <w:pPr>
      <w:jc w:val="center"/>
    </w:pPr>
    <w:rPr>
      <w:spacing w:val="0"/>
      <w:lang w:val="uk-UA"/>
    </w:rPr>
  </w:style>
  <w:style w:type="paragraph" w:styleId="BodyTextIndent">
    <w:name w:val="Body Text Indent"/>
    <w:basedOn w:val="Normal"/>
    <w:link w:val="Style11"/>
    <w:uiPriority w:val="99"/>
    <w:rsid w:val="000f63e9"/>
    <w:pPr>
      <w:spacing w:before="0" w:after="120"/>
      <w:ind w:start="283"/>
    </w:pPr>
    <w:rPr>
      <w:spacing w:val="0"/>
      <w:sz w:val="24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e4695c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ab10d6"/>
    <w:pPr>
      <w:spacing w:beforeAutospacing="1" w:afterAutospacing="1"/>
    </w:pPr>
    <w:rPr>
      <w:spacing w:val="0"/>
      <w:sz w:val="24"/>
      <w:lang w:val="uk-UA" w:eastAsia="uk-UA"/>
    </w:rPr>
  </w:style>
  <w:style w:type="paragraph" w:styleId="Style16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3"/>
    <w:uiPriority w:val="99"/>
    <w:rsid w:val="002a2c60"/>
    <w:pPr>
      <w:tabs>
        <w:tab w:val="clear" w:pos="708"/>
        <w:tab w:val="center" w:pos="4677" w:leader="none"/>
        <w:tab w:val="right" w:pos="9355" w:leader="none"/>
      </w:tabs>
    </w:pPr>
    <w:rPr>
      <w:spacing w:val="0"/>
      <w:sz w:val="24"/>
    </w:rPr>
  </w:style>
  <w:style w:type="paragraph" w:styleId="isselectedend" w:customStyle="1">
    <w:name w:val="isselectedend"/>
    <w:basedOn w:val="Normal"/>
    <w:qFormat/>
    <w:rsid w:val="002a2c60"/>
    <w:pPr>
      <w:spacing w:beforeAutospacing="1" w:afterAutospacing="1"/>
    </w:pPr>
    <w:rPr>
      <w:spacing w:val="0"/>
      <w:sz w:val="24"/>
      <w:lang w:val="uk-UA" w:eastAsia="uk-UA"/>
    </w:rPr>
  </w:style>
  <w:style w:type="paragraph" w:styleId="pdq2pgselectionanchorcontainer" w:customStyle="1">
    <w:name w:val="pdq2pg_selectionanchorcontainer"/>
    <w:basedOn w:val="Normal"/>
    <w:qFormat/>
    <w:rsid w:val="002a2c60"/>
    <w:pPr>
      <w:spacing w:beforeAutospacing="1" w:afterAutospacing="1"/>
    </w:pPr>
    <w:rPr>
      <w:spacing w:val="0"/>
      <w:sz w:val="24"/>
      <w:lang w:val="uk-UA" w:eastAsia="uk-UA"/>
    </w:rPr>
  </w:style>
  <w:style w:type="paragraph" w:styleId="Style17">
    <w:name w:val="Вміст рамки"/>
    <w:basedOn w:val="Normal"/>
    <w:qFormat/>
    <w:pPr/>
    <w:rPr/>
  </w:style>
  <w:style w:type="paragraph" w:styleId="Style18">
    <w:name w:val="Верхній колонтитул ліворуч"/>
    <w:basedOn w:val="Header"/>
    <w:qFormat/>
    <w:pPr/>
    <w:rPr/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ae7b06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ітка таблиці1"/>
    <w:basedOn w:val="a1"/>
    <w:uiPriority w:val="39"/>
    <w:rsid w:val="0066430d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47854-2B81-493F-9429-20BDC52F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2345</TotalTime>
  <Application>LibreOffice/26.2.6.3$Windows_x86 LibreOffice_project/8221e31b3ac356a1623c672912a3d2b492f7e3d1</Application>
  <AppVersion>15.0000</AppVersion>
  <Pages>15</Pages>
  <Words>1512</Words>
  <Characters>10419</Characters>
  <CharactersWithSpaces>11853</CharactersWithSpaces>
  <Paragraphs>417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2024-02-28T12:52:00Z</dcterms:created>
  <dc:creator>Пользователь Windows</dc:creator>
  <dc:description/>
  <dc:language>uk-UA</dc:language>
  <cp:lastModifiedBy/>
  <cp:lastPrinted>2026-09-11T06:38:00Z</cp:lastPrinted>
  <dcterms:modified xsi:type="dcterms:W3CDTF">2026-10-05T15:06:23Z</dcterms:modified>
  <cp:revision>215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