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 xml:space="preserve">ПАСПОРТ </w:t>
      </w:r>
    </w:p>
    <w:p>
      <w:pPr>
        <w:pStyle w:val="NoSpacing"/>
        <w:tabs>
          <w:tab w:val="clear" w:pos="708"/>
          <w:tab w:val="left" w:pos="709" w:leader="none"/>
        </w:tabs>
        <w:ind w:start="360" w:end="-1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  <w:t>Програми розвитку та вдосконалення системи харчування у закладах освіти Роздільнянської міської територіальної громади на 2026–2027 роки</w:t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tbl>
      <w:tblPr>
        <w:tblW w:w="9943" w:type="dxa"/>
        <w:jc w:val="start"/>
        <w:tblInd w:w="13" w:type="dxa"/>
        <w:tblLayout w:type="fixed"/>
        <w:tblCellMar>
          <w:top w:w="0" w:type="dxa"/>
          <w:start w:w="20" w:type="dxa"/>
          <w:bottom w:w="0" w:type="dxa"/>
          <w:end w:w="20" w:type="dxa"/>
        </w:tblCellMar>
        <w:tblLook w:val="0600" w:firstRow="0" w:noVBand="1" w:lastRow="0" w:firstColumn="0" w:lastColumn="0" w:noHBand="1"/>
      </w:tblPr>
      <w:tblGrid>
        <w:gridCol w:w="675"/>
        <w:gridCol w:w="3615"/>
        <w:gridCol w:w="5653"/>
      </w:tblGrid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Відділ освіти Роздільнянської міської ради</w:t>
            </w:r>
          </w:p>
        </w:tc>
      </w:tr>
      <w:tr>
        <w:trPr>
          <w:trHeight w:val="85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Spacing"/>
              <w:tabs>
                <w:tab w:val="clear" w:pos="708"/>
                <w:tab w:val="left" w:pos="709" w:leader="none"/>
              </w:tabs>
              <w:spacing w:lineRule="auto" w:line="276"/>
              <w:ind w:end="-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Розпорядження міського голови від 23.03.2026 року №82-ОД «Про розробку проєкту Програми</w:t>
            </w:r>
            <w:r>
              <w:rPr>
                <w:rFonts w:cs="Times New Roman" w:ascii="Times New Roman" w:hAnsi="Times New Roman"/>
                <w:sz w:val="24"/>
                <w:szCs w:val="28"/>
              </w:rPr>
              <w:t xml:space="preserve">  розвитку та вдосконалення системи харчування у закладах освіти Роздільнянської міської територіальної громади на 2026–2027 роки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»</w:t>
            </w:r>
          </w:p>
        </w:tc>
      </w:tr>
      <w:tr>
        <w:trPr>
          <w:trHeight w:val="52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Розробник Програми/ спів розробник Програми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Відділ освіти Роздільнянської міської ради/ Комунальна установа «Роздільнянський центр освіти»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72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Відповідальний виконавець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Відділ освіти Роздільнянської міської ради</w:t>
            </w:r>
          </w:p>
        </w:tc>
      </w:tr>
      <w:tr>
        <w:trPr>
          <w:trHeight w:val="42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Виконавці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28"/>
              <w:ind w:start="76" w:end="62"/>
              <w:jc w:val="center"/>
              <w:rPr>
                <w:lang w:val="uk-UA"/>
              </w:rPr>
            </w:pPr>
            <w:r>
              <w:rPr>
                <w:lang w:val="uk-UA"/>
              </w:rPr>
              <w:t>Роздільнянська міська рада; Відділ освіти Роздільнянської міської ради; Комунальна установа «Роздільнянський центр освіти»; Заклади освіти Роздільнянської міської ради;</w:t>
            </w:r>
          </w:p>
        </w:tc>
      </w:tr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2026-2027 роки</w:t>
            </w:r>
          </w:p>
        </w:tc>
      </w:tr>
      <w:tr>
        <w:trPr>
          <w:trHeight w:val="3042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Мета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isselectedend"/>
              <w:spacing w:before="0" w:after="0"/>
              <w:jc w:val="both"/>
              <w:rPr/>
            </w:pPr>
            <w:r>
              <w:rPr/>
              <w:t>Метою  створення Програми є забезпечення якісного, безпечного, збалансованого та гарячого харчування дітей у закладах освіти Роздільнянської міської територіальної громади, створення належних умов для організації повноцінного харчування відповідно до встановлених норм і стандартів, а також відновлення, модернізація та оснащення харчоблоків сучасним технологічним обладнанням із впровадженням новітніх технологічних процесів та підвищенням рівня енергоефективності.</w:t>
            </w:r>
          </w:p>
        </w:tc>
      </w:tr>
      <w:tr>
        <w:trPr>
          <w:trHeight w:val="2537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необхідних для реалізації Програми, всього: зокрема:</w:t>
            </w:r>
          </w:p>
          <w:p>
            <w:pPr>
              <w:pStyle w:val="ListParagraph"/>
              <w:spacing w:lineRule="auto" w:line="276"/>
              <w:ind w:start="5"/>
              <w:rPr>
                <w:lang w:val="uk-UA"/>
              </w:rPr>
            </w:pPr>
            <w:r>
              <w:rPr>
                <w:lang w:val="uk-UA"/>
              </w:rPr>
              <w:t>- коштів Державного бюджету;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ind w:hanging="5" w:start="5"/>
              <w:rPr>
                <w:lang w:val="uk-UA"/>
              </w:rPr>
            </w:pPr>
            <w:r>
              <w:rPr>
                <w:lang w:val="uk-UA"/>
              </w:rPr>
              <w:t>- коштів обласного бюджету;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ind w:hanging="5" w:start="5"/>
              <w:rPr>
                <w:lang w:val="uk-UA"/>
              </w:rPr>
            </w:pPr>
            <w:r>
              <w:rPr>
                <w:lang w:val="uk-UA"/>
              </w:rPr>
              <w:t>-</w:t>
            </w:r>
            <w:r>
              <w:rPr>
                <w:sz w:val="14"/>
                <w:szCs w:val="14"/>
                <w:lang w:val="uk-UA"/>
              </w:rPr>
              <w:t xml:space="preserve">  </w:t>
            </w:r>
            <w:r>
              <w:rPr>
                <w:lang w:val="uk-UA"/>
              </w:rPr>
              <w:t>коштів бюджету Роздільнянської міської територіальної громади;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-</w:t>
            </w:r>
            <w:r>
              <w:rPr>
                <w:sz w:val="14"/>
                <w:szCs w:val="14"/>
                <w:lang w:val="uk-UA"/>
              </w:rPr>
              <w:t xml:space="preserve">   </w:t>
            </w:r>
            <w:r>
              <w:rPr>
                <w:lang w:val="uk-UA"/>
              </w:rPr>
              <w:t>інші джерела.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/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</w:t>
            </w:r>
            <w:r>
              <w:rPr>
                <w:lang w:val="uk-UA"/>
              </w:rPr>
              <w:t>40 030,477</w:t>
            </w:r>
          </w:p>
          <w:p>
            <w:pPr>
              <w:pStyle w:val="Normal"/>
              <w:spacing w:lineRule="auto" w:line="276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1403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Отримання персоналом знань щодо організації та забезпечення дітей у закладах освіти безпечним та якісним харчуванням.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Покращення якості харчування дітей.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Профілактика виникнення інфекційних та неінфекційних захворювань дітей.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Створення необхідних умов для забезпечення дітей повноцінним та якісним харчуванням.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Забезпечення харчоблоків кваліфікованими працівниками. Розширення асортименту страв та урізноманітнення меню.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Забезпечення безпечного та якісного харчування та профілактика виникнення епідускладнень серед дітей.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Підвищення рівня гігієнічної обізнаності учасників освітнього процесу.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Посилення контролю за якістю і безпечністю харчових продуктів у закладах освіти.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Посилення профілактики інфекційних захворювань та харчових отруєнь.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Формування навичок здорового способу життя та особистої гігієни.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Підвищення рівня поінформованості населення щодо безпечного харчування дітей.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Забезпечення якісним харчуванням вихованців закладів дошкільної освіти.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Забезпечення якісним харчуванням учнів 1–11 класів.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Формування компетентностей, необхідних для здорового життя.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>Формування засад здорового харчування, що сприятиме гармонійному фізичному та психічному розвитку здобувачів освіти.</w:t>
            </w:r>
          </w:p>
          <w:p>
            <w:pPr>
              <w:pStyle w:val="Normal"/>
              <w:spacing w:lineRule="auto" w:line="276"/>
              <w:jc w:val="both"/>
              <w:rPr>
                <w:lang w:val="uk-UA"/>
              </w:rPr>
            </w:pPr>
            <w:r>
              <w:rPr>
                <w:lang w:val="uk-UA" w:eastAsia="uk-UA"/>
              </w:rPr>
              <w:t>Покращення професійних якостей кухарів та підвищення якості готових страв.</w:t>
            </w:r>
          </w:p>
        </w:tc>
      </w:tr>
      <w:tr>
        <w:trPr>
          <w:trHeight w:val="58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Ключові показники ефективності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Середня вартість харчування на одного учня  в закладі дошкільної освіти, </w:t>
            </w:r>
            <w:r>
              <w:rPr>
                <w:lang w:val="uk-UA"/>
              </w:rPr>
              <w:t>середня вартість харчування на одного учня  в закладі загальної середньої освіти, кількість оновлених харчоблоків,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частка закладів освіти, забезпечених сучасним технологічним обладнанням;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кількість працівників харчоблоків, які пройшли навчання, кількість проведених перевірок якості харчування;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8"/>
        </w:numPr>
        <w:jc w:val="both"/>
        <w:rPr>
          <w:b/>
          <w:lang w:val="uk-UA"/>
        </w:rPr>
      </w:pPr>
      <w:r>
        <w:rPr>
          <w:b/>
          <w:lang w:val="uk-UA"/>
        </w:rPr>
        <w:t>Визначення проблеми, на розв’язання якої спрямована Програма</w:t>
      </w:r>
    </w:p>
    <w:p>
      <w:pPr>
        <w:pStyle w:val="isselectedend"/>
        <w:spacing w:before="280" w:after="280"/>
        <w:jc w:val="both"/>
        <w:rPr/>
      </w:pPr>
      <w:r>
        <w:rPr/>
        <w:t>Програма реформування системи харчування в закладах освіти Роздільнянської міської територіальної громади на період до 2027 року (далі — Програма) розроблена відповідно до законів України «Про освіту», «Про повну загальну середню освіту», «Про основні принципи та вимоги до безпечності та якості харчових продуктів», Концепції реалізації державної політики у сфері реформування загальної середньої освіти «Нова українська школа» на період до 2029 року, постанови Кабінету Міністрів України від 24 березня 2021 року № 305 (зі змінами), розпорядження Кабінету Міністрів України від 27 жовтня 2023 року № 990-р, а також Стратегії розвитку Роздільнянської міської територіальної громади до 2027 року.</w:t>
      </w:r>
    </w:p>
    <w:p>
      <w:pPr>
        <w:pStyle w:val="isselectedend"/>
        <w:spacing w:before="280" w:after="280"/>
        <w:jc w:val="both"/>
        <w:rPr/>
      </w:pPr>
      <w:r>
        <w:rPr/>
        <w:t>Необхідність розроблення Програми зумовлена потребою у створенні належних умов для організації якісного, безпечного та збалансованого, гарячого харчування дітей у закладах освіти громади, формуванні культури здорового харчування, оновленні матеріально-технічної бази харчоблоків та впровадженні сучасних підходів до організації харчування.</w:t>
      </w:r>
    </w:p>
    <w:p>
      <w:pPr>
        <w:pStyle w:val="isselectedend"/>
        <w:spacing w:before="280" w:after="280"/>
        <w:jc w:val="both"/>
        <w:rPr/>
      </w:pPr>
      <w:r>
        <w:rPr/>
        <w:t>У підпорядкуванні відділу освіти Роздільнянської міської ради перебуває 16 закладів загальної середньої освіти та 6 закладів дошкільної освіти. У 2023 році у закладах дошкільної освіти виховувалося 427 дітей, у 2024 році — 383 дитини, у 2025 році — 377 дітей. У закладах загальної середньої освіти у 2023 році навчався 4041 учень, у 2024 році — 3849 учнів, у 2025 році — 3682 учні.</w:t>
      </w:r>
    </w:p>
    <w:p>
      <w:pPr>
        <w:pStyle w:val="isselectedend"/>
        <w:spacing w:before="280" w:after="280"/>
        <w:jc w:val="both"/>
        <w:rPr/>
      </w:pPr>
      <w:r>
        <w:rPr/>
        <w:t>Упродовж 2023–2025 років у закладах освіти громади забезпечувалося безоплатне харчування учнів 1–4 класів та дітей пільгових категорій відповідно до вимог чинного законодавства. Загальна кількість учнів у закладах загальної середньої освіти у 2023 році становила 3849 осіб, з яких 1886 дівчаток та 1963 хлопчики, у 2024 році — 3682 учні, з яких 1804 дівчатка та 1878 хлопчиків, у 2025 році — 3518 учнів, з яких 1724 дівчатка та 1794 хлопчики. У закладах дошкільної освіти харчуванням було охоплено у 2023 році 385 дітей, з яких 188 дівчаток та 197 хлопчиків, у 2024 році — 366 дітей, з яких 179 дівчаток та 187 хлопчиків, у 2025 році — 300 дітей, з яких 147 дівчаток та 153 хлопчики.</w:t>
      </w:r>
    </w:p>
    <w:p>
      <w:pPr>
        <w:pStyle w:val="isselectedend"/>
        <w:spacing w:before="280" w:after="280"/>
        <w:jc w:val="both"/>
        <w:rPr/>
      </w:pPr>
      <w:r>
        <w:rPr/>
        <w:t>Разом із тим, однією з основних проблем залишається недостатній рівень забезпечення дітей саме гарячим харчуванням, що пов’язано з обмеженими можливостями окремих харчоблоків, застарілим матеріально-технічним оснащенням та потребою у проведенні ремонтних робіт і модернізації.</w:t>
      </w:r>
    </w:p>
    <w:p>
      <w:pPr>
        <w:pStyle w:val="isselectedend"/>
        <w:spacing w:before="280" w:after="280"/>
        <w:jc w:val="both"/>
        <w:rPr/>
      </w:pPr>
      <w:r>
        <w:rPr/>
        <w:t>Так, у 2023 році гарячим харчуванням було охоплено 1179 учнів, у 2024 році — 1447 учнів, а у 2025 році — 1061 учня. Інші учні  у 2025 -2026 навчальному році забезпечувалися альтернативною формою харчування — готовими харчовими наборами (сухими пайками). Така ситуація свідчить про необхідність подальшого розвитку системи гарячого харчування у закладах освіти громади.</w:t>
      </w:r>
    </w:p>
    <w:p>
      <w:pPr>
        <w:pStyle w:val="isselectedend"/>
        <w:spacing w:before="280" w:after="280"/>
        <w:jc w:val="both"/>
        <w:rPr/>
      </w:pPr>
      <w:r>
        <w:rPr/>
        <w:t>На сьогодні організація харчування здійснюється у закладах освіти, де функціонує 13 харчоблоків. Частина харчоблоків потребує проведення капітальних та поточних ремонтів, модернізації виробничих приміщень, оновлення технологічного обладнання, кухонного інвентарю та меблів. Наявне обладнання не в повному обсязі відповідає сучасним вимогам щодо організації шкільного харчування, впровадження оновленого меню та принципів системи НАССР.</w:t>
      </w:r>
    </w:p>
    <w:p>
      <w:pPr>
        <w:pStyle w:val="isselectedend"/>
        <w:spacing w:before="280" w:after="280"/>
        <w:jc w:val="both"/>
        <w:rPr/>
      </w:pPr>
      <w:r>
        <w:rPr/>
        <w:t>У межах реалізації заходів у громаді вже проводиться робота щодо оновлення харчоблоків та покращення матеріально-технічного забезпечення. Зокрема, у 2023 році оновлено 1 харчоблок, у 2025 році — 4 харчоблоки. Водночас частка закладів освіти, забезпечених сучасним технологічним обладнанням, збільшилася з 38 відсотків у 2023 році до 56 відсотків у 2024 році та 68 відсотків у 2025 році.</w:t>
      </w:r>
    </w:p>
    <w:p>
      <w:pPr>
        <w:pStyle w:val="isselectedend"/>
        <w:spacing w:before="280" w:after="280"/>
        <w:jc w:val="both"/>
        <w:rPr/>
      </w:pPr>
      <w:r>
        <w:rPr/>
        <w:t>Окремої уваги потребує питання підвищення професійного рівня працівників харчоблоків. На даний час у закладах освіти громади працює 22 кухарі. У 2023 році відповідне навчання та курси підвищення кваліфікації пройшли 8 працівників, у 2024 році — 8 працівників, станом на 2025 рік — 12 працівників.</w:t>
      </w:r>
    </w:p>
    <w:p>
      <w:pPr>
        <w:pStyle w:val="isselectedend"/>
        <w:spacing w:before="280" w:after="280"/>
        <w:jc w:val="both"/>
        <w:rPr/>
      </w:pPr>
      <w:r>
        <w:rPr/>
        <w:t>З метою забезпечення належного професійного рівня працівників харчоблоків та впровадження сучасних підходів до організації харчування дітей у межах реалізації Програми у 2026–2027 роках планується продовження роботи у даному напрямку, зокрема проходження навчання та підвищення кваліфікації працівниками харчоблоків.</w:t>
      </w:r>
    </w:p>
    <w:p>
      <w:pPr>
        <w:pStyle w:val="isselectedend"/>
        <w:spacing w:before="280" w:after="280"/>
        <w:jc w:val="both"/>
        <w:rPr/>
      </w:pPr>
      <w:r>
        <w:rPr/>
        <w:t>Також у 2025 році проведено масштабний майстер-клас з питань організації сучасного та якісного шкільного харчування. У подальшому робота у цьому напрямку продовжуватиметься шляхом організації навчальних заходів, практичних тренінгів, майстер-класів та інших інформаційно-просвітницьких заходів, спрямованих на підвищення професійної компетентності працівників харчоблоків, удосконалення навичок організації безпечного та якісного харчування дітей, а також впровадження сучасних стандартів у сфері шкільного харчування.</w:t>
      </w:r>
    </w:p>
    <w:p>
      <w:pPr>
        <w:pStyle w:val="NormalWeb"/>
        <w:spacing w:before="280" w:after="280"/>
        <w:jc w:val="both"/>
        <w:rPr/>
      </w:pPr>
      <w:r>
        <w:rPr/>
        <w:t>Таким чином, існує необхідність у комплексному підході до реформування системи харчування у закладах освіти громади, оновленні та модернізації харчоблоків, розширенні можливостей для організації гарячого харчування, підвищенні якості та безпечності харчування дітей, а також створенні сучасного освітнього середовища, що сприятиме збереженню та зміцненню здоров’я дітей.</w:t>
      </w:r>
    </w:p>
    <w:p>
      <w:pPr>
        <w:pStyle w:val="ListParagraph"/>
        <w:numPr>
          <w:ilvl w:val="0"/>
          <w:numId w:val="2"/>
        </w:numPr>
        <w:jc w:val="center"/>
        <w:rPr>
          <w:b/>
          <w:lang w:val="uk-UA"/>
        </w:rPr>
      </w:pPr>
      <w:r>
        <w:rPr>
          <w:b/>
          <w:lang w:val="uk-UA"/>
        </w:rPr>
        <w:t>Визначення мети Програми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  <w:t xml:space="preserve">   </w:t>
      </w:r>
    </w:p>
    <w:p>
      <w:pPr>
        <w:pStyle w:val="Normal"/>
        <w:jc w:val="both"/>
        <w:rPr>
          <w:lang w:val="uk-UA" w:eastAsia="uk-UA"/>
        </w:rPr>
      </w:pPr>
      <w:r>
        <w:rPr>
          <w:lang w:val="uk-UA" w:eastAsia="uk-UA"/>
        </w:rPr>
        <w:t>Метою Програми є забезпечення якісного, безпечного, збалансованого та гарячого харчування дітей у закладах освіти Роздільнянської міської територіальної громади, створення належних умов для організації повноцінного харчування відповідно до встановлених норм і стандартів, а також відновлення, модернізація та оснащення харчоблоків сучасним технологічним обладнанням із впровадженням новітніх технологічних процесів та підвищенням рівня енергоефективності.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4.    Обґрунтування завдань і засобів розв’язання проблеми, завдань і заходів, показників результативності</w:t>
      </w:r>
    </w:p>
    <w:p>
      <w:pPr>
        <w:pStyle w:val="isselectedend"/>
        <w:spacing w:before="280" w:after="280"/>
        <w:jc w:val="both"/>
        <w:rPr/>
      </w:pPr>
      <w:r>
        <w:rPr/>
        <w:t>Розв’язання визначених Програмою проблем передбачається шляхом реалізації комплексу організаційних, фінансових, інформаційно-просвітницьких та практичних завдань, зокрема:</w:t>
      </w:r>
    </w:p>
    <w:p>
      <w:pPr>
        <w:pStyle w:val="Normal"/>
        <w:numPr>
          <w:ilvl w:val="0"/>
          <w:numId w:val="5"/>
        </w:numPr>
        <w:spacing w:beforeAutospacing="1" w:after="0"/>
        <w:jc w:val="both"/>
        <w:rPr>
          <w:lang w:val="uk-UA"/>
        </w:rPr>
      </w:pPr>
      <w:r>
        <w:rPr>
          <w:lang w:val="uk-UA"/>
        </w:rPr>
        <w:t>організаційна робота щодо створення умов для забезпечення повноцінного, якісного та безпечного харчування дітей у закладах освіти;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забезпечення належних умов для організації якісного та безпечного харчування дітей у закладах освіти;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проведення комплексу заходів щодо забезпечення дітей у закладах освіти безпечним та якісним харчуванням;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організація та здійснення лабораторного контролю в закладах освіти;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підвищення рівня гігієнічних знань;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забезпечення вимог безпечності та якості харчування учнів (вихованців) закладів дошкільної та загальної середньої освіти;</w:t>
      </w:r>
    </w:p>
    <w:p>
      <w:pPr>
        <w:pStyle w:val="Normal"/>
        <w:numPr>
          <w:ilvl w:val="0"/>
          <w:numId w:val="5"/>
        </w:numPr>
        <w:spacing w:before="0" w:afterAutospacing="1"/>
        <w:jc w:val="both"/>
        <w:rPr>
          <w:lang w:val="uk-UA"/>
        </w:rPr>
      </w:pPr>
      <w:r>
        <w:rPr>
          <w:lang w:val="uk-UA"/>
        </w:rPr>
        <w:t>формування в освітньому середовищі інформаційного поля для розуміння навичок здорового харчування та збереження здоров’я шляхом застосування нових форм передачі знань (навчальні візити, майстер-класи тощо).</w:t>
      </w:r>
    </w:p>
    <w:p>
      <w:pPr>
        <w:pStyle w:val="Normal"/>
        <w:spacing w:beforeAutospacing="1" w:afterAutospacing="1"/>
        <w:jc w:val="both"/>
        <w:rPr>
          <w:lang w:val="uk-UA" w:eastAsia="uk-UA"/>
        </w:rPr>
      </w:pPr>
      <w:r>
        <w:rPr>
          <w:lang w:val="uk-UA" w:eastAsia="uk-UA"/>
        </w:rPr>
        <w:t>Виконання Програми сприятиме покращенню якості організації харчування у закладах освіти громади, створенню безпечних та комфортних умов для дітей, оновленню матеріально-технічної бази харчоблоків, підвищенню рівня відповідності закладів освіти санітарним вимогам та сучасним стандартам безпечності харчування.</w:t>
      </w:r>
    </w:p>
    <w:p>
      <w:pPr>
        <w:pStyle w:val="Normal"/>
        <w:spacing w:beforeAutospacing="1" w:afterAutospacing="1"/>
        <w:jc w:val="both"/>
        <w:rPr>
          <w:lang w:val="uk-UA" w:eastAsia="uk-UA"/>
        </w:rPr>
      </w:pPr>
      <w:r>
        <w:rPr>
          <w:lang w:val="uk-UA" w:eastAsia="uk-UA"/>
        </w:rPr>
        <w:t>Результативність виконання Програми визначатиметься за такими показниками:</w:t>
      </w:r>
    </w:p>
    <w:p>
      <w:pPr>
        <w:pStyle w:val="Normal"/>
        <w:numPr>
          <w:ilvl w:val="0"/>
          <w:numId w:val="3"/>
        </w:numPr>
        <w:spacing w:beforeAutospacing="1" w:after="0"/>
        <w:jc w:val="both"/>
        <w:rPr>
          <w:lang w:val="uk-UA" w:eastAsia="uk-UA"/>
        </w:rPr>
      </w:pPr>
      <w:r>
        <w:rPr>
          <w:lang w:val="uk-UA" w:eastAsia="uk-UA"/>
        </w:rPr>
        <w:t>кількість закладів освіти, охоплених заходами Програми;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дітей, забезпечених гарячим та безкоштовним харчуванням;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харчоблоків, у яких проведено ремонти та модернізацію;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частка закладів освіти, забезпечених сучасним технологічним обладнанням;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закладів освіти, у яких впроваджено систему НАССР;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проведених лабораторних досліджень та перевірок якості харчування;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працівників харчоблоків, які пройшли навчання;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частка дітей, охоплених гарячим харчуванням;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рівень відповідності харчоблоків сучасним вимогам організації харчування;</w:t>
      </w:r>
    </w:p>
    <w:p>
      <w:pPr>
        <w:pStyle w:val="Normal"/>
        <w:numPr>
          <w:ilvl w:val="0"/>
          <w:numId w:val="3"/>
        </w:numPr>
        <w:spacing w:before="0" w:afterAutospacing="1"/>
        <w:jc w:val="both"/>
        <w:rPr>
          <w:lang w:val="uk-UA" w:eastAsia="uk-UA"/>
        </w:rPr>
      </w:pPr>
      <w:r>
        <w:rPr>
          <w:lang w:val="uk-UA" w:eastAsia="uk-UA"/>
        </w:rPr>
        <w:t>рівень дотримання санітарно-гігієнічних вимог та стандартів безпечності харчових продуктів.</w:t>
      </w:r>
    </w:p>
    <w:p>
      <w:pPr>
        <w:pStyle w:val="docdata"/>
        <w:spacing w:beforeAutospacing="0" w:before="0" w:afterAutospacing="0" w:after="0"/>
        <w:ind w:firstLine="567"/>
        <w:jc w:val="both"/>
        <w:rPr/>
      </w:pPr>
      <w:r>
        <w:rPr/>
        <w:t xml:space="preserve"> </w:t>
      </w:r>
      <w:r>
        <w:rPr/>
        <w:t>З</w:t>
      </w:r>
      <w:r>
        <w:rPr>
          <w:color w:val="000000"/>
        </w:rPr>
        <w:t>авдання і заходи реалізації Програми з визначенням обсягів та джерел фінансування наведені у додатку 1.</w:t>
      </w:r>
    </w:p>
    <w:p>
      <w:pPr>
        <w:pStyle w:val="Normal"/>
        <w:ind w:firstLine="567"/>
        <w:jc w:val="both"/>
        <w:rPr>
          <w:lang w:val="uk-UA" w:eastAsia="uk-UA"/>
        </w:rPr>
      </w:pPr>
      <w:r>
        <w:rPr>
          <w:color w:val="000000"/>
          <w:lang w:val="uk-UA" w:eastAsia="uk-UA"/>
        </w:rPr>
        <w:t>Показники результативності  Програми наведені у додатку 2.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  <w:t>5. Очікувані результати виконання Програми</w:t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firstLine="567"/>
        <w:rPr>
          <w:lang w:val="uk-UA"/>
        </w:rPr>
      </w:pPr>
      <w:r>
        <w:rPr>
          <w:lang w:val="uk-UA"/>
        </w:rPr>
        <w:t>Виконання Програми сприятиме:</w:t>
      </w:r>
    </w:p>
    <w:p>
      <w:pPr>
        <w:pStyle w:val="Normal"/>
        <w:ind w:firstLine="567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Отримання персоналом знань щодо організації та забезпечення дітей у закладах освіти безпечним та якісним харчуванням.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Покращення якості харчування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Профілактика виникнення інфекційних та неінфекційних захворювань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Створення необхідних умов для забезпечення дітей повноцінним та якісним харчуванням.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харчоблоків кваліфікованими працівниками. Розширення асортименту страв та урізноманітнення меню.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безпечного та якісного харчування та профілактика виникнення епідускладнень серед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Підвищення рівня гігієнічної обізнаності учасників освітнього процесу.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Посилення контролю за якістю і безпечністю харчових продуктів у закладах освіти.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Посилення профілактики інфекційних захворювань та харчових отруєнь.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Формування навичок здорового способу життя та особистої гігієни.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Підвищення рівня поінформованості населення щодо безпечного харчування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якісним харчуванням вихованців закладів дошкільної освіти.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якісним харчуванням учнів 1–11 класів.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Формування компетентностей, необхідних для здорового життя.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Формування засад здорового харчування, що сприятиме гармонійному фізичному та психічному розвитку здобувачів освіти. </w:t>
      </w:r>
    </w:p>
    <w:p>
      <w:pPr>
        <w:pStyle w:val="ListParagraph"/>
        <w:numPr>
          <w:ilvl w:val="0"/>
          <w:numId w:val="4"/>
        </w:numPr>
        <w:jc w:val="both"/>
        <w:rPr>
          <w:lang w:val="uk-UA"/>
        </w:rPr>
      </w:pPr>
      <w:r>
        <w:rPr>
          <w:lang w:val="uk-UA" w:eastAsia="uk-UA"/>
        </w:rPr>
        <w:t>Покращення професійних якостей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  <w:t>6. Обсяги та джерела фінансування Програми</w:t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ListParagraph"/>
        <w:ind w:firstLine="567" w:start="0"/>
        <w:jc w:val="both"/>
        <w:rPr>
          <w:lang w:val="uk-UA"/>
        </w:rPr>
      </w:pPr>
      <w:r>
        <w:rPr>
          <w:lang w:val="uk-UA"/>
        </w:rPr>
        <w:t>Фінансове забезпечення Програми здійснюється за рахунок коштів бюджету Роздільнянської міської територіальної громади, державного бюджету, а також можуть бути залучені кошти інших джерел не заборонених законодавством.</w:t>
      </w:r>
    </w:p>
    <w:p>
      <w:pPr>
        <w:pStyle w:val="NoSpacing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Ресурсне забезпечення Програми наведено у додатку 4.</w:t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ListParagraph"/>
        <w:ind w:start="786"/>
        <w:jc w:val="center"/>
        <w:rPr>
          <w:b/>
          <w:lang w:val="uk-UA"/>
        </w:rPr>
      </w:pPr>
      <w:r>
        <w:rPr>
          <w:b/>
          <w:lang w:val="uk-UA"/>
        </w:rPr>
        <w:t>7. Строки та етапи виконання Програми</w:t>
      </w:r>
    </w:p>
    <w:p>
      <w:pPr>
        <w:pStyle w:val="ListParagraph"/>
        <w:ind w:start="786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firstLine="567"/>
        <w:jc w:val="both"/>
        <w:rPr>
          <w:lang w:val="uk-UA"/>
        </w:rPr>
      </w:pPr>
      <w:r>
        <w:rPr>
          <w:lang w:val="uk-UA"/>
        </w:rPr>
        <w:t>Виконання Програми передбачається здійснити упродовж одного етапу 2026-2027 років.</w:t>
      </w:r>
    </w:p>
    <w:p>
      <w:pPr>
        <w:pStyle w:val="Normal"/>
        <w:jc w:val="center"/>
        <w:rPr>
          <w:highlight w:val="magenta"/>
          <w:lang w:val="uk-UA"/>
        </w:rPr>
      </w:pPr>
      <w:r>
        <w:rPr>
          <w:highlight w:val="magenta"/>
          <w:lang w:val="uk-UA"/>
        </w:rPr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  <w:t>8. Координація та контроль за ходом виконання Програми</w:t>
      </w:r>
    </w:p>
    <w:p>
      <w:pPr>
        <w:pStyle w:val="ListParagraph"/>
        <w:ind w:start="786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both"/>
        <w:rPr>
          <w:b/>
          <w:lang w:val="uk-UA"/>
        </w:rPr>
      </w:pPr>
      <w:r>
        <w:rPr>
          <w:lang w:val="uk-UA"/>
        </w:rPr>
        <w:t>Координація роботи в закладах освіти Роздільнянської міської  ради</w:t>
      </w:r>
      <w:r>
        <w:rPr>
          <w:b/>
          <w:lang w:val="uk-UA"/>
        </w:rPr>
        <w:t xml:space="preserve"> </w:t>
      </w:r>
      <w:r>
        <w:rPr>
          <w:lang w:val="uk-UA"/>
        </w:rPr>
        <w:t>здійснюється Відділом освіти Роздільнянської міської ради, контроль за виконанням Програми реформування системи шкільного харчування на період до 2027 року здійснюється Відділом освіти Роздільнянської міської ради, згідно з розподілом обов’язків.</w:t>
      </w:r>
    </w:p>
    <w:p>
      <w:pPr>
        <w:pStyle w:val="Normal"/>
        <w:jc w:val="both"/>
        <w:rPr>
          <w:b/>
          <w:lang w:val="uk-UA"/>
        </w:rPr>
      </w:pPr>
      <w:r>
        <w:rPr>
          <w:lang w:val="uk-UA"/>
        </w:rPr>
        <w:t>Відповідальний виконавець для здійснення моніторингу реалізації Програми щороку до 31 січня року, що настає за звітним періодом подає першому заступнику Роздільнянського міського голови, інформацію про стан і результати виконання заходів Програми.</w:t>
      </w:r>
    </w:p>
    <w:p>
      <w:pPr>
        <w:pStyle w:val="Normal"/>
        <w:ind w:firstLine="567"/>
        <w:jc w:val="both"/>
        <w:rPr>
          <w:lang w:val="uk-UA"/>
        </w:rPr>
      </w:pPr>
      <w:r>
        <w:rPr>
          <w:lang w:val="uk-UA"/>
        </w:rPr>
        <w:t>Відповідальний виконавець періодично, але не менш як два рази на рік, інформує територіальну громаду про виконання Програми на офіційному веб сайті  Роздільнянської міської ради.</w:t>
      </w:r>
    </w:p>
    <w:p>
      <w:pPr>
        <w:pStyle w:val="Normal"/>
        <w:spacing w:before="0" w:after="0"/>
        <w:jc w:val="both"/>
        <w:rPr>
          <w:lang w:val="uk-UA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26" w:charSpace="0"/>
        </w:sectPr>
      </w:pPr>
      <w:r>
        <w:rPr>
          <w:lang w:val="uk-UA"/>
        </w:rPr>
      </w:r>
    </w:p>
    <w:p>
      <w:pPr>
        <w:pStyle w:val="Normal"/>
        <w:spacing w:lineRule="auto" w:line="276" w:before="0" w:after="200"/>
        <w:rPr>
          <w:lang w:val="uk-UA"/>
        </w:rPr>
      </w:pPr>
      <w:r>
        <w:rPr>
          <w:lang w:val="uk-UA"/>
        </w:rPr>
      </w:r>
    </w:p>
    <w:p>
      <w:pPr>
        <w:pStyle w:val="Normal"/>
        <w:jc w:val="end"/>
        <w:rPr>
          <w:sz w:val="20"/>
          <w:lang w:val="uk-UA"/>
        </w:rPr>
      </w:pPr>
      <w:r>
        <w:rPr>
          <w:lang w:val="uk-UA"/>
        </w:rPr>
        <w:t>Додаток 1</w:t>
        <w:br/>
      </w:r>
    </w:p>
    <w:p>
      <w:pPr>
        <w:pStyle w:val="Normal"/>
        <w:rPr>
          <w:b/>
          <w:lang w:val="uk-UA"/>
        </w:rPr>
      </w:pPr>
      <w:r>
        <w:rPr>
          <w:b/>
          <w:lang w:val="uk-UA"/>
        </w:rPr>
        <w:t xml:space="preserve">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ЗАВДАННЯ І ЗАХОДИ РЕАЛІЗАЦІЇ ПРОГРАМИ</w:t>
      </w:r>
    </w:p>
    <w:tbl>
      <w:tblPr>
        <w:tblStyle w:val="a9"/>
        <w:tblW w:w="16304" w:type="dxa"/>
        <w:jc w:val="start"/>
        <w:tblInd w:w="-60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5"/>
        <w:gridCol w:w="1984"/>
        <w:gridCol w:w="1844"/>
        <w:gridCol w:w="851"/>
        <w:gridCol w:w="2550"/>
        <w:gridCol w:w="1559"/>
        <w:gridCol w:w="993"/>
        <w:gridCol w:w="993"/>
        <w:gridCol w:w="849"/>
        <w:gridCol w:w="571"/>
        <w:gridCol w:w="989"/>
        <w:gridCol w:w="1135"/>
        <w:gridCol w:w="1561"/>
      </w:tblGrid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№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Завдання</w:t>
            </w:r>
          </w:p>
        </w:tc>
        <w:tc>
          <w:tcPr>
            <w:tcW w:w="184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Зміст заходів</w:t>
            </w:r>
          </w:p>
        </w:tc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Термін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виконаня заходу</w:t>
            </w:r>
          </w:p>
        </w:tc>
        <w:tc>
          <w:tcPr>
            <w:tcW w:w="255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Виконавці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Джерела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фінансування</w:t>
            </w:r>
          </w:p>
        </w:tc>
        <w:tc>
          <w:tcPr>
            <w:tcW w:w="5530" w:type="dxa"/>
            <w:gridSpan w:val="6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Обсяги фінансування по роках, тис. грн.</w:t>
            </w:r>
          </w:p>
        </w:tc>
        <w:tc>
          <w:tcPr>
            <w:tcW w:w="156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Очікуваний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lang w:val="uk-UA" w:bidi="ar-SA"/>
              </w:rPr>
              <w:t>результат</w:t>
            </w:r>
          </w:p>
        </w:tc>
      </w:tr>
      <w:tr>
        <w:trPr>
          <w:trHeight w:val="356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84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55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2026 р.</w:t>
            </w:r>
          </w:p>
        </w:tc>
        <w:tc>
          <w:tcPr>
            <w:tcW w:w="1420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2027 р.</w:t>
            </w:r>
          </w:p>
        </w:tc>
        <w:tc>
          <w:tcPr>
            <w:tcW w:w="2124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lang w:val="uk-UA" w:bidi="ar-SA"/>
              </w:rPr>
              <w:t>Всього</w:t>
            </w:r>
          </w:p>
        </w:tc>
        <w:tc>
          <w:tcPr>
            <w:tcW w:w="156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84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55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План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Факт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План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Факт</w:t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План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Факт</w:t>
            </w:r>
          </w:p>
        </w:tc>
        <w:tc>
          <w:tcPr>
            <w:tcW w:w="156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1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2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3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4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6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7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8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9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10</w:t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11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12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lang w:val="uk-UA"/>
              </w:rPr>
            </w:pPr>
            <w:r>
              <w:rPr>
                <w:kern w:val="0"/>
                <w:sz w:val="20"/>
                <w:lang w:val="uk-UA" w:bidi="ar-SA"/>
              </w:rPr>
              <w:t>13</w:t>
            </w:r>
          </w:p>
        </w:tc>
      </w:tr>
      <w:tr>
        <w:trPr/>
        <w:tc>
          <w:tcPr>
            <w:tcW w:w="42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1.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Організаційна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робота щодо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створення умов для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повноцінного,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якісного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 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закладах освіти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1.1. Організація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проведення нарад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 </w:t>
            </w:r>
            <w:r>
              <w:rPr>
                <w:kern w:val="0"/>
                <w:sz w:val="22"/>
                <w:lang w:val="uk-UA" w:bidi="ar-SA"/>
              </w:rPr>
              <w:t>з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дотримання вимог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діючих санітарних норм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правил на харчоблоках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 ради, Комунальна установа Роздільнянський центр освіти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Отримання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персоналом знань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щодо організації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 дітей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 закладах 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безпечним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</w:t>
            </w:r>
          </w:p>
        </w:tc>
      </w:tr>
      <w:tr>
        <w:trPr>
          <w:trHeight w:val="2814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1.2.</w:t>
            </w:r>
            <w:r>
              <w:rPr>
                <w:kern w:val="0"/>
                <w:lang w:val="uk-UA" w:bidi="ar-SA"/>
              </w:rPr>
              <w:t xml:space="preserve"> Проведення аналізу стану організації харчування у закладах освіти, зокрема щодо дотримання встановлених норм харчування.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 ради, Комунальна установа «Роздільнянський центр освіти»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Покращення якості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</w:t>
            </w:r>
          </w:p>
        </w:tc>
      </w:tr>
      <w:tr>
        <w:trPr>
          <w:trHeight w:val="5243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1.3. Забезпечення розгляду, 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разі потреби, на засіданнях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комісій з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техногенно-екологічної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безпеки та надзвичайних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ситуацій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забезпечення належного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харчування у закладах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освіти та недопущення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випадків гострих кишкових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інфекцій та харчових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отруєнь серед дітей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ради, Комунальна установа «Роздільнянський центр освіти»,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Підвищення рівня безпечності та якості харчування у закладах освіти, посилення контролю за дотриманням санітарно-гігієнічних вимог, запобігання виникненню випадків гострих кишкових інфекцій та харчових отруєнь серед дітей.</w:t>
            </w:r>
          </w:p>
        </w:tc>
      </w:tr>
      <w:tr>
        <w:trPr>
          <w:trHeight w:val="2125" w:hRule="atLeast"/>
        </w:trPr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2.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lang w:val="uk-UA" w:bidi="ar-SA"/>
              </w:rPr>
              <w:t>Забезпечення належних умов для організації якісного та безпечного харчування дітей у закладах освіти.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2.1. Проведення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моніторингу щодо стану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організації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якісного харчування дітей 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закладах освіти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 xml:space="preserve">Відділ освіти Роздільнянської міської ради </w:t>
            </w: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Профілактика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виникнення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інфекційних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неінфекційних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захворювань дітей</w:t>
            </w:r>
          </w:p>
        </w:tc>
      </w:tr>
      <w:tr>
        <w:trPr>
          <w:trHeight w:val="1658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2.2. Реконструкція приміщень майстерні під їдальню КЗ Роздільнянський ліцей № 4»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Відділ освіти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громади.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1 564,494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1 564,494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500,0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2064,494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1 564,494</w:t>
            </w:r>
          </w:p>
        </w:tc>
        <w:tc>
          <w:tcPr>
            <w:tcW w:w="156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Створення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необхідних умов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для 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дітей повноцінним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та 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харчуванням</w:t>
            </w:r>
          </w:p>
        </w:tc>
      </w:tr>
      <w:tr>
        <w:trPr>
          <w:trHeight w:val="1657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lang w:val="uk-UA" w:bidi="ar-SA"/>
              </w:rPr>
              <w:t>2.3 Проведення  капітальних та поточних ремонтів харчоблоків у закладах освіти.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Відділ освіти Роздільнянської міської ради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громади.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1 238,839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1 238,839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16"/>
                <w:szCs w:val="16"/>
                <w:lang w:val="en-US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1238,839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1238,839</w:t>
            </w:r>
          </w:p>
        </w:tc>
        <w:tc>
          <w:tcPr>
            <w:tcW w:w="156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</w:tr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Проведення комплексу заходів щодо забезпечення дітей у закладах освіти безпечним та якісним харчуванням.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3.1.Укомплектування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харчоблоків закладів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 персоналом, який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має відповідну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профільну освіту, та підвищення професійного рівня осіб, відповідальних за організацію харчування.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 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Забезпечення харчоблоків кваліфікованими працівниками та підвищення професійного рівня відповідальних осіб.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3.2. впровадження в закладах освіти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оновлених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затверджених технологій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приготування страв та рецептурних збірників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Розширення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асортименту страв</w:t>
            </w:r>
          </w:p>
        </w:tc>
      </w:tr>
      <w:tr>
        <w:trPr>
          <w:trHeight w:val="2975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3.3. здійснення із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залученням спеціалістів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всіх причетних служб 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відомств,комісійних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перевірок постачання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харчових продуктів до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 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питання додержання ними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вимог санітарного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законодавства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законодавства у сфері безпечності та окремих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показників якості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харчових продуктів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Комунальна установа «Роздільнянський центр освіти» Держпродспоживслужба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Посилення контролю за якістю і безпечністю харчових продуктів у закладах освіти.</w:t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4.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Організація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здійснення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лабораторного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контролю 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закладах освіти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4.1.Забезпечення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проведення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лабораторного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контролю сировини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питної води, які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використовуються для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 за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показниками безпеки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безпечного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якісного харчування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профілактика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виникнення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епідускладнень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серед дітей</w:t>
            </w:r>
          </w:p>
        </w:tc>
      </w:tr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Підвищення рівня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гігієнічних знань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5.1. Проведення занять 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підвищення рівня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гігієнічних знань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працівників харчоблоків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відповідальних осіб за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організацію харчування,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вихованців, учнів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педагогічні працівники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Підвищення рівня гігієнічної обізнаності учасників освітнього процесу.</w:t>
            </w:r>
          </w:p>
        </w:tc>
      </w:tr>
      <w:tr>
        <w:trPr>
          <w:trHeight w:val="972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5.2. Проведення нарад 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працівниками харчоблоків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відповідальними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особами за організацію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 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закладах освіти щодо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профілактики виникнення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групових захворювань на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гострі кишкові інфекції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харчові отруєння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 освіти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Посилення профілактики інфекційних захворювань та харчових отруєнь.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5.3. Проведення роботи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щодо гігієнічного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виховання дітей,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дотримання правил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особистої гігієни,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популяризації здорового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способу життя тощо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педагогічні працівники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Формування навичок здорового способу життя та особистої гігієни.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5.4. 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висвітлення в засобах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масової інформації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актуальних питань щодо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організації безпечного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якісного харчування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дітей в закладах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ради, 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Підвищення рівня поінформованості населення щодо безпечного харчування дітей.</w:t>
            </w:r>
          </w:p>
        </w:tc>
      </w:tr>
      <w:tr>
        <w:trPr>
          <w:trHeight w:val="2783" w:hRule="atLeast"/>
        </w:trPr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6.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 вимог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безпечності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якості харчування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учнів (вихованців)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дошкільної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загальної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середньої освіти</w:t>
            </w:r>
          </w:p>
        </w:tc>
        <w:tc>
          <w:tcPr>
            <w:tcW w:w="1844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6.1.Забезпечення 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 вихованців дошкільної освіти.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85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Роздільнянська міська рада, Відділ освіти Роздільнянської міської ради, Комунальна установа «Роздільнянський центр освіти»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</w:t>
            </w:r>
            <w:r>
              <w:rPr>
                <w:kern w:val="0"/>
                <w:sz w:val="16"/>
                <w:szCs w:val="16"/>
                <w:lang w:val="en-US" w:bidi="ar-SA"/>
              </w:rPr>
              <w:t xml:space="preserve"> 9</w:t>
            </w:r>
            <w:r>
              <w:rPr>
                <w:kern w:val="0"/>
                <w:sz w:val="16"/>
                <w:szCs w:val="16"/>
                <w:lang w:val="uk-UA" w:bidi="ar-SA"/>
              </w:rPr>
              <w:t>00,000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</w:t>
            </w:r>
            <w:r>
              <w:rPr>
                <w:kern w:val="0"/>
                <w:sz w:val="16"/>
                <w:szCs w:val="16"/>
                <w:lang w:val="en-US" w:bidi="ar-SA"/>
              </w:rPr>
              <w:t xml:space="preserve"> 9</w:t>
            </w:r>
            <w:r>
              <w:rPr>
                <w:kern w:val="0"/>
                <w:sz w:val="16"/>
                <w:szCs w:val="16"/>
                <w:lang w:val="uk-UA" w:bidi="ar-SA"/>
              </w:rPr>
              <w:t>00,000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2200,000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5100,000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</w:t>
            </w:r>
            <w:r>
              <w:rPr>
                <w:kern w:val="0"/>
                <w:sz w:val="16"/>
                <w:szCs w:val="16"/>
                <w:lang w:val="en-US" w:bidi="ar-SA"/>
              </w:rPr>
              <w:t xml:space="preserve"> 9</w:t>
            </w:r>
            <w:r>
              <w:rPr>
                <w:kern w:val="0"/>
                <w:sz w:val="16"/>
                <w:szCs w:val="16"/>
                <w:lang w:val="uk-UA" w:bidi="ar-SA"/>
              </w:rPr>
              <w:t>00,000</w:t>
            </w:r>
          </w:p>
        </w:tc>
        <w:tc>
          <w:tcPr>
            <w:tcW w:w="156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 харчуванням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Вихованців дошкільної освіти.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</w:tr>
      <w:tr>
        <w:trPr>
          <w:trHeight w:val="895" w:hRule="atLeast"/>
        </w:trPr>
        <w:tc>
          <w:tcPr>
            <w:tcW w:w="42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85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255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Інші джерела фінансування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1950,000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1950,000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1950,000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3900,000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1950,000</w:t>
            </w:r>
          </w:p>
        </w:tc>
        <w:tc>
          <w:tcPr>
            <w:tcW w:w="156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</w:tr>
      <w:tr>
        <w:trPr>
          <w:trHeight w:val="1700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6.2. Забезпечити учнів 1-11 класів якісним харчуванням закладів загальної середньої освіти.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85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Роздільнянська міська рада, Відділ освіти Роздільнянської міської ради. Комунальна установа «Роздільнянський центр освіти»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en-US"/>
              </w:rPr>
            </w:pPr>
            <w:r>
              <w:rPr>
                <w:kern w:val="0"/>
                <w:sz w:val="16"/>
                <w:szCs w:val="16"/>
                <w:lang w:val="en-US" w:bidi="ar-SA"/>
              </w:rPr>
              <w:t>-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3700,000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3700,000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учнів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1-11 класів.</w:t>
            </w:r>
          </w:p>
        </w:tc>
      </w:tr>
      <w:tr>
        <w:trPr>
          <w:trHeight w:val="2782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85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255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Державний бюджет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en-US" w:bidi="ar-SA"/>
              </w:rPr>
              <w:t>24007</w:t>
            </w:r>
            <w:r>
              <w:rPr>
                <w:kern w:val="0"/>
                <w:sz w:val="16"/>
                <w:szCs w:val="16"/>
                <w:lang w:val="uk-UA" w:bidi="ar-SA"/>
              </w:rPr>
              <w:t>,</w:t>
            </w:r>
            <w:r>
              <w:rPr>
                <w:kern w:val="0"/>
                <w:sz w:val="16"/>
                <w:szCs w:val="16"/>
                <w:lang w:val="en-US" w:bidi="ar-SA"/>
              </w:rPr>
              <w:t xml:space="preserve"> </w:t>
            </w:r>
            <w:r>
              <w:rPr>
                <w:kern w:val="0"/>
                <w:sz w:val="16"/>
                <w:szCs w:val="16"/>
                <w:lang w:val="uk-UA" w:bidi="ar-SA"/>
              </w:rPr>
              <w:t>144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en-US" w:bidi="ar-SA"/>
              </w:rPr>
              <w:t>24007</w:t>
            </w:r>
            <w:r>
              <w:rPr>
                <w:kern w:val="0"/>
                <w:sz w:val="16"/>
                <w:szCs w:val="16"/>
                <w:lang w:val="uk-UA" w:bidi="ar-SA"/>
              </w:rPr>
              <w:t>,</w:t>
            </w:r>
            <w:r>
              <w:rPr>
                <w:kern w:val="0"/>
                <w:sz w:val="16"/>
                <w:szCs w:val="16"/>
                <w:lang w:val="en-US" w:bidi="ar-SA"/>
              </w:rPr>
              <w:t xml:space="preserve"> </w:t>
            </w:r>
            <w:r>
              <w:rPr>
                <w:kern w:val="0"/>
                <w:sz w:val="16"/>
                <w:szCs w:val="16"/>
                <w:lang w:val="uk-UA" w:bidi="ar-SA"/>
              </w:rPr>
              <w:t>144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5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98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en-US" w:bidi="ar-SA"/>
              </w:rPr>
              <w:t>24007</w:t>
            </w:r>
            <w:r>
              <w:rPr>
                <w:kern w:val="0"/>
                <w:sz w:val="16"/>
                <w:szCs w:val="16"/>
                <w:lang w:val="uk-UA" w:bidi="ar-SA"/>
              </w:rPr>
              <w:t>,144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en-US" w:bidi="ar-SA"/>
              </w:rPr>
              <w:t>24007</w:t>
            </w:r>
            <w:r>
              <w:rPr>
                <w:kern w:val="0"/>
                <w:sz w:val="16"/>
                <w:szCs w:val="16"/>
                <w:lang w:val="uk-UA" w:bidi="ar-SA"/>
              </w:rPr>
              <w:t>,144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учнів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1-11 класів.</w:t>
            </w:r>
          </w:p>
        </w:tc>
      </w:tr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  <w:t>7.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 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освітньому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середовищі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інформаційного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поля для розуміння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навичок здорового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збереження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здоров’я шляхом застосування нових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 передачі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знань (навчальні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візити, майстер-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класи (тощо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7.1. Розроблення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здійснення інтерактивних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заходів щодо формування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здорових харчових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звичок для дітей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дошкільного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шкільного віку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компетентносте,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необхідних для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здорового життя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7.2.Забезпечення проведення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роз’яснювальної роботи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під час освітнього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процесу, на батьківських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зборах з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 засад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здорового дитячого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 засад здорового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харчування, що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сприятиме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гармонійному,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фізичному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психічному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розвитку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здобувачів освіти</w:t>
            </w:r>
          </w:p>
        </w:tc>
      </w:tr>
      <w:tr>
        <w:trPr>
          <w:trHeight w:val="849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7.3. Майстер – класи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(майстерність подачі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готових страв)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 освіти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Інші джерела фінансування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20,000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20,000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Урізноманітнення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меню,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покращення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професійних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якостей кухарів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якості готових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страв</w:t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  <w:t>Разом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31 680,477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31660,477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8350,000</w:t>
            </w:r>
          </w:p>
        </w:tc>
        <w:tc>
          <w:tcPr>
            <w:tcW w:w="5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</w:r>
          </w:p>
        </w:tc>
        <w:tc>
          <w:tcPr>
            <w:tcW w:w="9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40  030,477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</w:t>
            </w:r>
            <w:r>
              <w:rPr>
                <w:rFonts w:ascii="Calibri" w:hAnsi="Calibri" w:asciiTheme="minorHAnsi" w:hAnsiTheme="minorHAnsi"/>
                <w:kern w:val="0"/>
                <w:sz w:val="16"/>
                <w:szCs w:val="16"/>
                <w:lang w:val="uk-UA" w:bidi="ar-SA"/>
              </w:rPr>
              <w:t>1</w:t>
            </w:r>
            <w:r>
              <w:rPr>
                <w:kern w:val="0"/>
                <w:sz w:val="16"/>
                <w:szCs w:val="16"/>
                <w:lang w:val="uk-UA" w:bidi="ar-SA"/>
              </w:rPr>
              <w:t>6</w:t>
            </w:r>
            <w:r>
              <w:rPr>
                <w:rFonts w:ascii="Calibri" w:hAnsi="Calibri" w:asciiTheme="minorHAnsi" w:hAnsiTheme="minorHAnsi"/>
                <w:kern w:val="0"/>
                <w:sz w:val="16"/>
                <w:szCs w:val="16"/>
                <w:lang w:val="uk-UA" w:bidi="ar-SA"/>
              </w:rPr>
              <w:t>6</w:t>
            </w:r>
            <w:r>
              <w:rPr>
                <w:kern w:val="0"/>
                <w:sz w:val="16"/>
                <w:szCs w:val="16"/>
                <w:lang w:val="uk-UA" w:bidi="ar-SA"/>
              </w:rPr>
              <w:t>0,477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val="uk-UA"/>
        </w:rPr>
        <w:t>Додаток  2</w:t>
        <w:br/>
        <w:t xml:space="preserve">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ПОКАЗНИКИ РЕЗУЛЬТАТИВНОСТІ ПРОГРАМИ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tbl>
      <w:tblPr>
        <w:tblStyle w:val="a9"/>
        <w:tblW w:w="153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12"/>
        <w:gridCol w:w="9093"/>
        <w:gridCol w:w="1135"/>
        <w:gridCol w:w="1133"/>
        <w:gridCol w:w="141"/>
        <w:gridCol w:w="1081"/>
        <w:gridCol w:w="54"/>
        <w:gridCol w:w="993"/>
        <w:gridCol w:w="140"/>
        <w:gridCol w:w="290"/>
        <w:gridCol w:w="137"/>
        <w:gridCol w:w="645"/>
      </w:tblGrid>
      <w:tr>
        <w:trPr/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№ </w:t>
            </w:r>
            <w:r>
              <w:rPr>
                <w:kern w:val="0"/>
                <w:lang w:val="uk-UA" w:bidi="ar-SA"/>
              </w:rPr>
              <w:t>з/п</w:t>
            </w:r>
          </w:p>
        </w:tc>
        <w:tc>
          <w:tcPr>
            <w:tcW w:w="909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Назва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показника</w:t>
            </w:r>
          </w:p>
        </w:tc>
        <w:tc>
          <w:tcPr>
            <w:tcW w:w="113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Одиниця виміру</w:t>
            </w:r>
          </w:p>
        </w:tc>
        <w:tc>
          <w:tcPr>
            <w:tcW w:w="1274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Вихідні дані на початок дії Програми</w:t>
            </w:r>
          </w:p>
        </w:tc>
        <w:tc>
          <w:tcPr>
            <w:tcW w:w="2128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І етап виконання Програми</w:t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етап</w:t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III етап</w:t>
            </w:r>
          </w:p>
        </w:tc>
      </w:tr>
      <w:tr>
        <w:trPr/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4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2026 рік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2027 рік</w:t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(20_- 20_ роки)</w:t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(20_- 20_ роки)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</w:t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</w:t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7</w:t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8</w:t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І. Показники затрат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закладів загальної середньої та дошкільної освіти  у громаді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дітей, які навчаються у закладах загальної середньої освіти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3568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3408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3518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1769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1654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1724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1799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1754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278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дітей, які навчаються у закладах дошкільної 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328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319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158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147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167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153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562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харчоблоків, які потребують ремонту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Обсяг місцевого фінансування на організацію шкільного харчування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en-US"/>
              </w:rPr>
            </w:pPr>
            <w:r>
              <w:rPr>
                <w:kern w:val="0"/>
                <w:lang w:val="en-US" w:bidi="ar-SA"/>
              </w:rPr>
              <w:t>-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-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3700,0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55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Витрати на харчування одного учня</w:t>
            </w:r>
            <w:r>
              <w:rPr>
                <w:kern w:val="0"/>
                <w:lang w:bidi="ar-SA"/>
              </w:rPr>
              <w:t xml:space="preserve"> 1- 4 </w:t>
            </w:r>
            <w:r>
              <w:rPr>
                <w:kern w:val="0"/>
                <w:lang w:val="uk-UA" w:bidi="ar-SA"/>
              </w:rPr>
              <w:t>класу в ЗЗСО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52,77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50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54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Витрати на харчування одного учня</w:t>
            </w:r>
            <w:r>
              <w:rPr>
                <w:kern w:val="0"/>
                <w:lang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5</w:t>
            </w:r>
            <w:r>
              <w:rPr>
                <w:kern w:val="0"/>
                <w:lang w:bidi="ar-SA"/>
              </w:rPr>
              <w:t>-</w:t>
            </w:r>
            <w:r>
              <w:rPr>
                <w:kern w:val="0"/>
                <w:lang w:val="uk-UA" w:bidi="ar-SA"/>
              </w:rPr>
              <w:t>11</w:t>
            </w:r>
            <w:r>
              <w:rPr>
                <w:kern w:val="0"/>
                <w:lang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класу в ЗЗСО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   </w:t>
            </w:r>
            <w:r>
              <w:rPr>
                <w:kern w:val="0"/>
                <w:lang w:val="uk-UA" w:bidi="ar-SA"/>
              </w:rPr>
              <w:t>грн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52,77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60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7.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Витрати на харчування одного учня в ЗДО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352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8.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Cs w:val="28"/>
                <w:lang w:val="uk-UA"/>
              </w:rPr>
            </w:pPr>
            <w:r>
              <w:rPr>
                <w:kern w:val="0"/>
                <w:szCs w:val="28"/>
                <w:lang w:val="uk-UA" w:bidi="ar-SA"/>
              </w:rPr>
              <w:t>Витрати на реконструкцію приміщення майстерні під їдальню КЗ Роздільнянський ліцей № 4»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16 381,3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1 565,0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500,0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351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9.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Витрати  на п</w:t>
            </w:r>
            <w:r>
              <w:rPr>
                <w:kern w:val="0"/>
                <w:lang w:val="uk-UA" w:bidi="ar-SA"/>
              </w:rPr>
              <w:t>роведення  капітальних та поточних ремонтів харчоблоків у закладах освіти.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27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-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1238,8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-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II. Показники продукту</w:t>
            </w:r>
          </w:p>
        </w:tc>
      </w:tr>
      <w:tr>
        <w:trPr>
          <w:trHeight w:val="90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в закладах загальної середньої освіти, охоплених  харчуванням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3568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3408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3518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1769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1654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1724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278" w:hRule="atLeast"/>
        </w:trPr>
        <w:tc>
          <w:tcPr>
            <w:tcW w:w="51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1799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1754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277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в закладах загальної середньої освіти, охоплених   гарячим харчуванням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1061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kern w:val="0"/>
                <w:lang w:val="uk-UA" w:bidi="ar-SA"/>
              </w:rPr>
              <w:t>3408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kern w:val="0"/>
                <w:lang w:val="uk-UA" w:bidi="ar-SA"/>
              </w:rPr>
              <w:t>3408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40" w:hRule="atLeast"/>
        </w:trPr>
        <w:tc>
          <w:tcPr>
            <w:tcW w:w="51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в закладах дошкільної освіти, охоплених  харчуванням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328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319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4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158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147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4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167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153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90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пільгових категорій, забезпечених безкоштовним харчуванням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633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633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620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9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313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313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306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9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320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320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закладів освіти, у яких впроваджено систему НАССР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13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III. Показники ефективності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Середня вартість харчування на одного учня  в ЗЗСО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56</w:t>
            </w:r>
            <w:r>
              <w:rPr>
                <w:kern w:val="0"/>
                <w:lang w:val="uk-UA" w:bidi="ar-SA"/>
              </w:rPr>
              <w:t>.</w:t>
            </w: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95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56</w:t>
            </w:r>
            <w:r>
              <w:rPr>
                <w:kern w:val="0"/>
                <w:lang w:val="uk-UA" w:bidi="ar-SA"/>
              </w:rPr>
              <w:t>.</w:t>
            </w: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95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56</w:t>
            </w:r>
            <w:r>
              <w:rPr>
                <w:kern w:val="0"/>
                <w:lang w:val="uk-UA" w:bidi="ar-SA"/>
              </w:rPr>
              <w:t>.</w:t>
            </w: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95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Середня вартість харчування на одного учня  в ЗДО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оновлених харчоблоків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asciiTheme="minorHAnsi" w:hAnsiTheme="minorHAnsi"/>
                <w:b/>
                <w:lang w:val="uk-UA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lang w:val="uk-UA" w:bidi="ar-SA"/>
              </w:rPr>
              <w:t>4.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харчоблоків, у яких проведені капітальні/поточні ремонти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од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-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3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asciiTheme="minorHAnsi" w:hAnsiTheme="minorHAnsi"/>
                <w:lang w:val="uk-UA"/>
              </w:rPr>
            </w:pPr>
            <w:r>
              <w:rPr>
                <w:rFonts w:ascii="Calibri" w:hAnsi="Calibri" w:asciiTheme="minorHAnsi" w:hAnsiTheme="minorHAnsi"/>
                <w:kern w:val="0"/>
                <w:lang w:val="uk-UA" w:bidi="ar-SA"/>
              </w:rPr>
              <w:t>3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lang w:val="uk-UA" w:bidi="ar-SA"/>
              </w:rPr>
              <w:t>5</w:t>
            </w:r>
            <w:r>
              <w:rPr>
                <w:b/>
                <w:kern w:val="0"/>
                <w:lang w:val="uk-UA" w:bidi="ar-SA"/>
              </w:rPr>
              <w:t>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закладів освіти, забезпечених сучасним технологічним обладнанням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68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73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lang w:val="uk-UA" w:bidi="ar-SA"/>
              </w:rPr>
              <w:t>6</w:t>
            </w:r>
            <w:r>
              <w:rPr>
                <w:b/>
                <w:kern w:val="0"/>
                <w:lang w:val="uk-UA" w:bidi="ar-SA"/>
              </w:rPr>
              <w:t>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працівників харчоблоків, які пройшли навчання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lang w:val="uk-UA" w:bidi="ar-SA"/>
              </w:rPr>
              <w:t>7</w:t>
            </w:r>
            <w:r>
              <w:rPr>
                <w:b/>
                <w:kern w:val="0"/>
                <w:lang w:val="uk-UA" w:bidi="ar-SA"/>
              </w:rPr>
              <w:t>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проведених перевірок якості харчування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lang w:val="uk-UA" w:bidi="ar-SA"/>
              </w:rPr>
              <w:t>8</w:t>
            </w:r>
            <w:r>
              <w:rPr>
                <w:b/>
                <w:kern w:val="0"/>
                <w:lang w:val="uk-UA" w:bidi="ar-SA"/>
              </w:rPr>
              <w:t>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учнів, охоплених гарячим харчуванням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1061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1152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1256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IV. Показники якості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дітей охоплених харчуванням до кількості дітей, що навчаються у закладі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закладів, що відповідають санітарним вимогам та стандартам безпечності (НАССР)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59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68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харчоблоків, які відповідають сучасним вимогам організації харчування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63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68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end"/>
        <w:rPr>
          <w:sz w:val="20"/>
          <w:lang w:val="uk-UA"/>
        </w:rPr>
      </w:pPr>
      <w:r>
        <w:rPr>
          <w:lang w:val="uk-UA"/>
        </w:rPr>
        <w:t>Додаток 3</w:t>
        <w:br/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РЕСУРСНЕ ЗАБЕЗПЕЧЕННЯ ПРОГРАМИ</w:t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</w:t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</w:t>
      </w:r>
    </w:p>
    <w:tbl>
      <w:tblPr>
        <w:tblStyle w:val="a9"/>
        <w:tblW w:w="14952" w:type="dxa"/>
        <w:jc w:val="start"/>
        <w:tblInd w:w="46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976"/>
        <w:gridCol w:w="1881"/>
        <w:gridCol w:w="1700"/>
        <w:gridCol w:w="4395"/>
      </w:tblGrid>
      <w:tr>
        <w:trPr>
          <w:trHeight w:val="520" w:hRule="atLeast"/>
        </w:trPr>
        <w:tc>
          <w:tcPr>
            <w:tcW w:w="6976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Обсяг коштів, що пропонується залучити на виконання Програми</w:t>
            </w:r>
          </w:p>
        </w:tc>
        <w:tc>
          <w:tcPr>
            <w:tcW w:w="3581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Етапи виконання Програми</w:t>
            </w:r>
          </w:p>
        </w:tc>
        <w:tc>
          <w:tcPr>
            <w:tcW w:w="439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Всього витрат на виконання Програми</w:t>
            </w:r>
          </w:p>
        </w:tc>
      </w:tr>
      <w:tr>
        <w:trPr/>
        <w:tc>
          <w:tcPr>
            <w:tcW w:w="697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2026 рік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2027 рік</w:t>
            </w:r>
          </w:p>
        </w:tc>
        <w:tc>
          <w:tcPr>
            <w:tcW w:w="439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69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</w:t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</w:t>
            </w:r>
          </w:p>
        </w:tc>
      </w:tr>
      <w:tr>
        <w:trPr/>
        <w:tc>
          <w:tcPr>
            <w:tcW w:w="69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Обсяг коштів, всього, зокрема: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31680,477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8 350,000</w:t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40 030,477</w:t>
            </w:r>
          </w:p>
        </w:tc>
      </w:tr>
      <w:tr>
        <w:trPr/>
        <w:tc>
          <w:tcPr>
            <w:tcW w:w="69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Державний бюджет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24 007,144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24 007,144</w:t>
            </w:r>
          </w:p>
        </w:tc>
      </w:tr>
      <w:tr>
        <w:trPr/>
        <w:tc>
          <w:tcPr>
            <w:tcW w:w="69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Обласний бюджет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69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Бюджет Роздільнянської міської територіальної громади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5 703,333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6 400,000</w:t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12 103,333</w:t>
            </w:r>
          </w:p>
        </w:tc>
      </w:tr>
      <w:tr>
        <w:trPr/>
        <w:tc>
          <w:tcPr>
            <w:tcW w:w="69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Інші джерела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1 970,000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1 950,000</w:t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3 920,000</w:t>
            </w:r>
          </w:p>
        </w:tc>
      </w:tr>
    </w:tbl>
    <w:p>
      <w:pPr>
        <w:pStyle w:val="Normal"/>
        <w:ind w:firstLine="708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   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0"/>
        <w:jc w:val="center"/>
        <w:rPr>
          <w:lang w:val="uk-UA"/>
        </w:rPr>
        <w:sectPr>
          <w:type w:val="nextPage"/>
          <w:pgSz w:orient="landscape" w:w="16838" w:h="11906"/>
          <w:pgMar w:left="850" w:right="850" w:gutter="0" w:header="0" w:top="850" w:footer="0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lang w:val="uk-UA"/>
        </w:rPr>
      </w:r>
    </w:p>
    <w:p>
      <w:pPr>
        <w:pStyle w:val="isselectedend"/>
        <w:spacing w:before="280" w:after="280"/>
        <w:rPr/>
      </w:pPr>
      <w:r>
        <w:rPr/>
        <w:t xml:space="preserve">                                                     </w:t>
      </w:r>
      <w:r>
        <w:rPr/>
        <w:t xml:space="preserve">Пояснювальна записка </w:t>
      </w:r>
    </w:p>
    <w:p>
      <w:pPr>
        <w:pStyle w:val="isselectedend"/>
        <w:spacing w:before="280" w:after="280"/>
        <w:jc w:val="both"/>
        <w:rPr/>
      </w:pPr>
      <w:r>
        <w:rPr/>
        <w:br/>
      </w:r>
      <w:r>
        <w:rPr>
          <w:rStyle w:val="Strong"/>
          <w:rFonts w:eastAsia="Arial Unicode MS"/>
        </w:rPr>
        <w:t>до проєкту рішення «Про внесення змін до Програми розвитку та вдосконалення системи харчування у закладах освіти Роздільнянської міської територіальної громади на 2026–2027 роки»</w:t>
      </w:r>
    </w:p>
    <w:p>
      <w:pPr>
        <w:pStyle w:val="isselectedend"/>
        <w:spacing w:before="280" w:after="280"/>
        <w:jc w:val="both"/>
        <w:rPr/>
      </w:pPr>
      <w:r>
        <w:rPr/>
        <w:t>Проєкт рішення підготовлено з метою внесення змін до Програми розвитку та вдосконалення системи харчування у закладах освіти Роздільнянської міської територіальної громади на 2026–2027 роки у частині уточнення назв заходів, обсягів та джерел фінансування.</w:t>
      </w:r>
    </w:p>
    <w:p>
      <w:pPr>
        <w:pStyle w:val="isselectedend"/>
        <w:spacing w:before="280" w:after="280"/>
        <w:jc w:val="both"/>
        <w:rPr/>
      </w:pPr>
      <w:r>
        <w:rPr/>
        <w:t xml:space="preserve">У </w:t>
      </w:r>
      <w:r>
        <w:rPr>
          <w:rStyle w:val="Strong"/>
          <w:rFonts w:eastAsia="Arial Unicode MS"/>
        </w:rPr>
        <w:t>додатку 1 до Програми</w:t>
      </w:r>
      <w:r>
        <w:rPr/>
        <w:t xml:space="preserve">, у межах </w:t>
      </w:r>
      <w:r>
        <w:rPr>
          <w:rStyle w:val="Strong"/>
          <w:rFonts w:eastAsia="Arial Unicode MS"/>
        </w:rPr>
        <w:t>завдання 2 «Забезпечення належних умов для організації якісного та безпечного харчування дітей у закладах освіти»</w:t>
      </w:r>
      <w:r>
        <w:rPr/>
        <w:t xml:space="preserve">, за заходом </w:t>
      </w:r>
      <w:r>
        <w:rPr>
          <w:rStyle w:val="Strong"/>
          <w:rFonts w:eastAsia="Arial Unicode MS"/>
        </w:rPr>
        <w:t>2.2</w:t>
      </w:r>
      <w:r>
        <w:rPr/>
        <w:t xml:space="preserve"> відбулася зміна назви напряму:  «Реконструкція приміщень майстерні під їдальню КЗ "Роздільнянський ліцей №4"» зазначається назва відповідно до фактичного напряму використання коштів. Також уточнюється обсяг фінансування зазначеного заходу у межах затверджених бюджетних призначень. Раніше було зазначено </w:t>
      </w:r>
      <w:r>
        <w:rPr>
          <w:rStyle w:val="Strong"/>
          <w:rFonts w:eastAsia="Arial Unicode MS"/>
        </w:rPr>
        <w:t>1 564,5 тис. грн</w:t>
      </w:r>
      <w:r>
        <w:rPr/>
        <w:t xml:space="preserve">, фактичний обсяг становить </w:t>
      </w:r>
      <w:r>
        <w:rPr>
          <w:rStyle w:val="Strong"/>
          <w:rFonts w:eastAsia="Arial Unicode MS"/>
        </w:rPr>
        <w:t>1 564,494 тис. грн</w:t>
      </w:r>
      <w:r>
        <w:rPr/>
        <w:t xml:space="preserve">, у зв’язку з чим проводиться технічне уточнення суми на </w:t>
      </w:r>
      <w:r>
        <w:rPr>
          <w:rStyle w:val="Strong"/>
          <w:rFonts w:eastAsia="Arial Unicode MS"/>
        </w:rPr>
        <w:t>6 грн</w:t>
      </w:r>
      <w:r>
        <w:rPr/>
        <w:t>. в межах бюджетних призначень.</w:t>
      </w:r>
    </w:p>
    <w:p>
      <w:pPr>
        <w:pStyle w:val="isselectedend"/>
        <w:spacing w:before="280" w:after="280"/>
        <w:jc w:val="both"/>
        <w:rPr/>
      </w:pPr>
      <w:r>
        <w:rPr/>
        <w:t xml:space="preserve">За заходом </w:t>
      </w:r>
      <w:r>
        <w:rPr>
          <w:rStyle w:val="Strong"/>
          <w:rFonts w:eastAsia="Arial Unicode MS"/>
        </w:rPr>
        <w:t>2.3 «Проведення капітальних та поточних ремонтів харчоблоків у закладах освіти»</w:t>
      </w:r>
      <w:r>
        <w:rPr/>
        <w:t xml:space="preserve"> передбачається фінансування у сумі </w:t>
      </w:r>
      <w:r>
        <w:rPr>
          <w:rStyle w:val="Strong"/>
          <w:rFonts w:eastAsia="Arial Unicode MS"/>
        </w:rPr>
        <w:t>638 839 грн</w:t>
      </w:r>
      <w:r>
        <w:rPr/>
        <w:t>, у тому числі:</w:t>
      </w:r>
    </w:p>
    <w:p>
      <w:pPr>
        <w:pStyle w:val="Normal"/>
        <w:numPr>
          <w:ilvl w:val="0"/>
          <w:numId w:val="6"/>
        </w:numPr>
        <w:spacing w:beforeAutospacing="1" w:after="0"/>
        <w:jc w:val="both"/>
        <w:rPr/>
      </w:pPr>
      <w:r>
        <w:rPr>
          <w:rStyle w:val="Strong"/>
        </w:rPr>
        <w:t>219 524 грн</w:t>
      </w:r>
      <w:r>
        <w:rPr/>
        <w:t xml:space="preserve"> – проведення поточного ремонту харчоблоку КЗ «Роздільнянський ліцей №3»;</w:t>
      </w:r>
    </w:p>
    <w:p>
      <w:pPr>
        <w:pStyle w:val="Normal"/>
        <w:numPr>
          <w:ilvl w:val="0"/>
          <w:numId w:val="6"/>
        </w:numPr>
        <w:spacing w:before="0" w:after="0"/>
        <w:jc w:val="both"/>
        <w:rPr/>
      </w:pPr>
      <w:r>
        <w:rPr>
          <w:rStyle w:val="Strong"/>
        </w:rPr>
        <w:t>100 000 грн</w:t>
      </w:r>
      <w:r>
        <w:rPr/>
        <w:t xml:space="preserve"> – виготовлення проєктно-кошторисної документації для КЗ «Кам’янський ліцей» та КЗ «Роздільнянський міський ліцей №1 Роздільнянської міської ради»;</w:t>
      </w:r>
    </w:p>
    <w:p>
      <w:pPr>
        <w:pStyle w:val="Normal"/>
        <w:numPr>
          <w:ilvl w:val="0"/>
          <w:numId w:val="6"/>
        </w:numPr>
        <w:spacing w:before="0" w:after="0"/>
        <w:jc w:val="both"/>
        <w:rPr/>
      </w:pPr>
      <w:r>
        <w:rPr>
          <w:rStyle w:val="Strong"/>
        </w:rPr>
        <w:t>92 830 грн</w:t>
      </w:r>
      <w:r>
        <w:rPr/>
        <w:t xml:space="preserve"> – послуги з встановлення системи вентиляції у харчоблоці КЗ «ЗДО «Веселка»;</w:t>
      </w:r>
    </w:p>
    <w:p>
      <w:pPr>
        <w:pStyle w:val="Normal"/>
        <w:numPr>
          <w:ilvl w:val="0"/>
          <w:numId w:val="6"/>
        </w:numPr>
        <w:spacing w:before="0" w:after="0"/>
        <w:jc w:val="both"/>
        <w:rPr/>
      </w:pPr>
      <w:r>
        <w:rPr>
          <w:rStyle w:val="Strong"/>
        </w:rPr>
        <w:t>31 833 грн</w:t>
      </w:r>
      <w:r>
        <w:rPr/>
        <w:t xml:space="preserve"> – підключення резервного електропостачання до харчоблоку КЗ «ЗДО «Оленка»»;</w:t>
      </w:r>
    </w:p>
    <w:p>
      <w:pPr>
        <w:pStyle w:val="Normal"/>
        <w:numPr>
          <w:ilvl w:val="0"/>
          <w:numId w:val="6"/>
        </w:numPr>
        <w:spacing w:before="0" w:afterAutospacing="1"/>
        <w:jc w:val="both"/>
        <w:rPr/>
      </w:pPr>
      <w:r>
        <w:rPr>
          <w:rStyle w:val="Strong"/>
        </w:rPr>
        <w:t>194 652 грн</w:t>
      </w:r>
      <w:r>
        <w:rPr/>
        <w:t xml:space="preserve"> – поточний ремонт мережі вентиляції КЗ «Роздільнянський міський ліцей №2» та Кошарського ліцею.</w:t>
      </w:r>
    </w:p>
    <w:p>
      <w:pPr>
        <w:pStyle w:val="isselectedend"/>
        <w:spacing w:before="280" w:after="280"/>
        <w:jc w:val="both"/>
        <w:rPr/>
      </w:pPr>
      <w:r>
        <w:rPr/>
        <w:t xml:space="preserve">У межах </w:t>
      </w:r>
      <w:r>
        <w:rPr>
          <w:rStyle w:val="Strong"/>
          <w:rFonts w:eastAsia="Arial Unicode MS"/>
        </w:rPr>
        <w:t>завдання 6 «Забезпечення вимог безпечності та якості харчування учнів (вихованців) закладів дошкільної та загальної середньої освіти»</w:t>
      </w:r>
      <w:r>
        <w:rPr/>
        <w:t xml:space="preserve"> уточнюються обсяги фінансування окремих заходів.</w:t>
      </w:r>
    </w:p>
    <w:p>
      <w:pPr>
        <w:pStyle w:val="isselectedend"/>
        <w:spacing w:before="280" w:after="280"/>
        <w:jc w:val="both"/>
        <w:rPr/>
      </w:pPr>
      <w:r>
        <w:rPr/>
        <w:t xml:space="preserve">За заходом </w:t>
      </w:r>
      <w:r>
        <w:rPr>
          <w:rStyle w:val="Strong"/>
          <w:rFonts w:eastAsia="Arial Unicode MS"/>
        </w:rPr>
        <w:t>6.1 «Забезпечення якісним харчуванням вихованців дошкільної освіти»</w:t>
      </w:r>
      <w:r>
        <w:rPr/>
        <w:t xml:space="preserve"> передбачається збільшення обсягу фінансування на </w:t>
      </w:r>
      <w:r>
        <w:rPr>
          <w:rStyle w:val="Strong"/>
          <w:rFonts w:eastAsia="Arial Unicode MS"/>
        </w:rPr>
        <w:t>900 000 грн</w:t>
      </w:r>
      <w:r>
        <w:rPr/>
        <w:t>.</w:t>
      </w:r>
    </w:p>
    <w:p>
      <w:pPr>
        <w:pStyle w:val="isselectedend"/>
        <w:spacing w:before="280" w:after="280"/>
        <w:jc w:val="both"/>
        <w:rPr/>
      </w:pPr>
      <w:r>
        <w:rPr/>
        <w:t xml:space="preserve">За заходом </w:t>
      </w:r>
      <w:r>
        <w:rPr>
          <w:rStyle w:val="Strong"/>
          <w:rFonts w:eastAsia="Arial Unicode MS"/>
        </w:rPr>
        <w:t>6.2 «Забезпечити учнів 1–11 класів якісним харчуванням у закладах загальної середньої освіти»</w:t>
      </w:r>
      <w:r>
        <w:rPr/>
        <w:t xml:space="preserve"> передбачається збільшення фінансування на </w:t>
      </w:r>
      <w:r>
        <w:rPr>
          <w:rStyle w:val="Strong"/>
          <w:rFonts w:eastAsia="Arial Unicode MS"/>
        </w:rPr>
        <w:t>7 483 900 грн</w:t>
      </w:r>
      <w:r>
        <w:rPr/>
        <w:t xml:space="preserve"> за рахунок коштів державної субвенції. Таким чином, загальний обсяг фінансування за цим заходом збільшується з </w:t>
      </w:r>
      <w:r>
        <w:rPr>
          <w:rStyle w:val="Strong"/>
          <w:rFonts w:eastAsia="Arial Unicode MS"/>
        </w:rPr>
        <w:t>16 523,244  грн до 24 007,144 грн</w:t>
      </w:r>
      <w:r>
        <w:rPr/>
        <w:t xml:space="preserve">. (раніше у програмі було зазначено сума 16 523,2 тис. грн.). </w:t>
      </w:r>
    </w:p>
    <w:p>
      <w:pPr>
        <w:pStyle w:val="isselectedend"/>
        <w:spacing w:before="280" w:after="280"/>
        <w:ind w:firstLine="567"/>
        <w:jc w:val="both"/>
        <w:rPr/>
      </w:pPr>
      <w:r>
        <w:rPr/>
        <w:t xml:space="preserve">Одночасно за заходом 6.2 передбачається </w:t>
      </w:r>
      <w:r>
        <w:rPr>
          <w:rStyle w:val="Strong"/>
          <w:rFonts w:eastAsia="Arial Unicode MS"/>
        </w:rPr>
        <w:t>зменшення видатків місцевого бюджету на 3 500 000 грн</w:t>
      </w:r>
      <w:r>
        <w:rPr/>
        <w:t xml:space="preserve"> у зв’язку з надходженням коштів державної субвенції на забезпечення харчування учнів.</w:t>
      </w:r>
    </w:p>
    <w:p>
      <w:pPr>
        <w:pStyle w:val="isselectedend"/>
        <w:spacing w:before="280" w:after="280"/>
        <w:jc w:val="both"/>
        <w:rPr/>
      </w:pPr>
      <w:r>
        <w:rPr/>
        <w:t xml:space="preserve">У межах </w:t>
      </w:r>
      <w:r>
        <w:rPr>
          <w:rStyle w:val="Strong"/>
          <w:rFonts w:eastAsia="Arial Unicode MS"/>
        </w:rPr>
        <w:t>завдання 7</w:t>
      </w:r>
      <w:r>
        <w:rPr/>
        <w:t xml:space="preserve">, за заходом </w:t>
      </w:r>
      <w:r>
        <w:rPr>
          <w:rStyle w:val="Strong"/>
          <w:rFonts w:eastAsia="Arial Unicode MS"/>
        </w:rPr>
        <w:t>7.3 «Майстер-класи (майстерність подачі готових страв)»</w:t>
      </w:r>
      <w:r>
        <w:rPr/>
        <w:t xml:space="preserve">, змінюється </w:t>
      </w:r>
      <w:r>
        <w:rPr>
          <w:rStyle w:val="Strong"/>
          <w:rFonts w:eastAsia="Arial Unicode MS"/>
        </w:rPr>
        <w:t>джерело фінансування – інші джерела фінансування</w:t>
      </w:r>
      <w:r>
        <w:rPr/>
        <w:t>.</w:t>
      </w:r>
    </w:p>
    <w:p>
      <w:pPr>
        <w:pStyle w:val="NormalWeb"/>
        <w:spacing w:before="280" w:after="280"/>
        <w:jc w:val="both"/>
        <w:rPr/>
      </w:pPr>
      <w:r>
        <w:rPr/>
        <w:t>Внесення зазначених змін сприятиме забезпеченню належних умов для організації харчування дітей, покращенню матеріально-технічного стану харчоблоків, дотриманню вимог безпечності та якості харчування, а також ефективному використанню коштів місцевого та державного</w:t>
      </w:r>
    </w:p>
    <w:p>
      <w:pPr>
        <w:pStyle w:val="NormalWeb"/>
        <w:spacing w:before="280" w:after="280"/>
        <w:jc w:val="both"/>
        <w:rPr/>
      </w:pPr>
      <w:r>
        <w:rPr/>
        <w:t xml:space="preserve">У результаті внесення змін </w:t>
      </w:r>
      <w:r>
        <w:rPr>
          <w:rStyle w:val="Strong"/>
          <w:rFonts w:eastAsia="Arial Unicode MS"/>
        </w:rPr>
        <w:t>загальний обсяг фінансування Програми на 2026–2027 роки становитиме 40 030,477 тис. грн</w:t>
      </w:r>
      <w:r>
        <w:rPr/>
        <w:t>.</w:t>
      </w:r>
    </w:p>
    <w:p>
      <w:pPr>
        <w:pStyle w:val="NormalWeb"/>
        <w:spacing w:before="280" w:after="280"/>
        <w:jc w:val="both"/>
        <w:rPr/>
      </w:pPr>
      <w:r>
        <w:rPr/>
        <w:t>Внесення зазначених змін забезпечить належні умови для організації харчування, покращення матеріально-технічного стану харчоблоків, дотримання вимог безпечності та якості харчування, а також ефективне використання коштів місцевого та державного бюджетів.</w:t>
      </w:r>
    </w:p>
    <w:p>
      <w:pPr>
        <w:pStyle w:val="NormalWeb"/>
        <w:spacing w:before="280" w:after="280"/>
        <w:rPr>
          <w:rStyle w:val="Strong"/>
          <w:rFonts w:eastAsia="Arial Unicode MS"/>
        </w:rPr>
      </w:pPr>
      <w:r>
        <w:rPr>
          <w:rFonts w:eastAsia="Arial Unicode MS"/>
        </w:rPr>
      </w:r>
    </w:p>
    <w:p>
      <w:pPr>
        <w:pStyle w:val="Normal"/>
        <w:rPr>
          <w:lang w:val="uk-UA"/>
        </w:rPr>
      </w:pPr>
      <w:r>
        <w:rPr>
          <w:lang w:val="uk-UA"/>
        </w:rPr>
        <w:t>Начальник Відділу освіти                                                                   Анастасія ЗАЯЦЬ</w:t>
      </w:r>
    </w:p>
    <w:p>
      <w:pPr>
        <w:pStyle w:val="Normal"/>
        <w:rPr/>
      </w:pPr>
      <w:r>
        <w:rPr/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0"/>
        <w:jc w:val="center"/>
        <w:rPr>
          <w:lang w:val="uk-UA"/>
        </w:rPr>
        <w:sectPr>
          <w:type w:val="nextPage"/>
          <w:pgSz w:w="11906" w:h="16838"/>
          <w:pgMar w:left="851" w:right="850" w:gutter="0" w:header="0" w:top="850" w:footer="0" w:bottom="850"/>
          <w:pgNumType w:fmt="decimal"/>
          <w:formProt w:val="false"/>
          <w:textDirection w:val="lrTb"/>
          <w:docGrid w:type="default" w:linePitch="326" w:charSpace="0"/>
        </w:sect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  <w:bookmarkStart w:id="0" w:name="_GoBack"/>
      <w:bookmarkEnd w:id="0"/>
    </w:p>
    <w:sectPr>
      <w:type w:val="nextPage"/>
      <w:pgSz w:orient="landscape" w:w="16838" w:h="11906"/>
      <w:pgMar w:left="850" w:right="850" w:gutter="0" w:header="0" w:top="426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8"/>
      <w:numFmt w:val="bullet"/>
      <w:lvlText w:val="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260" w:hanging="540"/>
      </w:pPr>
      <w:rPr/>
    </w:lvl>
    <w:lvl w:ilvl="2">
      <w:start w:val="2"/>
      <w:numFmt w:val="decimal"/>
      <w:isLgl/>
      <w:lvlText w:val="%1.%2.%3."/>
      <w:lvlJc w:val="start"/>
      <w:pPr>
        <w:tabs>
          <w:tab w:val="num" w:pos="0"/>
        </w:tabs>
        <w:ind w:start="144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72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80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08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2160" w:hanging="144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44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520" w:hanging="180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2"/>
    <w:lvlOverride w:ilvl="0">
      <w:startOverride w:val="2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6d2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3d6d20"/>
    <w:pPr>
      <w:keepNext w:val="true"/>
      <w:jc w:val="center"/>
      <w:outlineLvl w:val="1"/>
    </w:pPr>
    <w:rPr>
      <w:rFonts w:eastAsia="Arial Unicode MS"/>
      <w:sz w:val="28"/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semiHidden/>
    <w:qFormat/>
    <w:rsid w:val="003d6d20"/>
    <w:rPr>
      <w:rFonts w:ascii="Times New Roman" w:hAnsi="Times New Roman" w:eastAsia="Arial Unicode MS" w:cs="Times New Roman"/>
      <w:sz w:val="28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3d6d20"/>
    <w:rPr>
      <w:rFonts w:ascii="Tahoma" w:hAnsi="Tahoma" w:eastAsia="Times New Roman" w:cs="Tahoma"/>
      <w:sz w:val="16"/>
      <w:szCs w:val="16"/>
      <w:lang w:val="ru-RU" w:eastAsia="ru-RU"/>
    </w:rPr>
  </w:style>
  <w:style w:type="character" w:styleId="Style14" w:customStyle="1">
    <w:name w:val="Без интервала Знак"/>
    <w:link w:val="NoSpacing"/>
    <w:qFormat/>
    <w:locked/>
    <w:rsid w:val="003d6d20"/>
    <w:rPr>
      <w:rFonts w:ascii="Calibri" w:hAnsi="Calibri" w:eastAsia="Calibri" w:cs="Arial"/>
    </w:rPr>
  </w:style>
  <w:style w:type="character" w:styleId="Strong">
    <w:name w:val="Strong"/>
    <w:basedOn w:val="DefaultParagraphFont"/>
    <w:uiPriority w:val="22"/>
    <w:qFormat/>
    <w:rsid w:val="003d6d20"/>
    <w:rPr>
      <w:b/>
      <w:bCs/>
    </w:rPr>
  </w:style>
  <w:style w:type="character" w:styleId="NoSpacingChar" w:customStyle="1">
    <w:name w:val="No Spacing Char"/>
    <w:link w:val="1"/>
    <w:qFormat/>
    <w:locked/>
    <w:rsid w:val="00e84e4d"/>
    <w:rPr>
      <w:rFonts w:ascii="Calibri" w:hAnsi="Calibri" w:eastAsia="Times New Roman" w:cs="Times New Roman"/>
      <w:kern w:val="2"/>
    </w:rPr>
  </w:style>
  <w:style w:type="character" w:styleId="whitespace-normal" w:customStyle="1">
    <w:name w:val="whitespace-normal"/>
    <w:basedOn w:val="DefaultParagraphFont"/>
    <w:qFormat/>
    <w:rsid w:val="0061377a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3d6d20"/>
    <w:pPr>
      <w:spacing w:beforeAutospacing="1" w:afterAutospacing="1"/>
    </w:pPr>
    <w:rPr>
      <w:lang w:val="uk-UA" w:eastAsia="uk-U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3d6d20"/>
    <w:pPr/>
    <w:rPr>
      <w:rFonts w:ascii="Tahoma" w:hAnsi="Tahoma" w:cs="Tahoma"/>
      <w:sz w:val="16"/>
      <w:szCs w:val="16"/>
    </w:rPr>
  </w:style>
  <w:style w:type="paragraph" w:styleId="NoSpacing">
    <w:name w:val="No Spacing"/>
    <w:link w:val="Style14"/>
    <w:qFormat/>
    <w:rsid w:val="003d6d20"/>
    <w:pPr>
      <w:widowControl/>
      <w:bidi w:val="0"/>
      <w:spacing w:lineRule="auto" w:line="240" w:before="0" w:after="0"/>
      <w:jc w:val="start"/>
    </w:pPr>
    <w:rPr>
      <w:rFonts w:ascii="Calibri" w:hAnsi="Calibri" w:eastAsia="Calibri" w:cs="Arial" w:asciiTheme="minorHAns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ListParagraph">
    <w:name w:val="List Paragraph"/>
    <w:basedOn w:val="Normal"/>
    <w:uiPriority w:val="34"/>
    <w:qFormat/>
    <w:rsid w:val="003d6d20"/>
    <w:pPr>
      <w:spacing w:before="0" w:after="0"/>
      <w:ind w:start="720"/>
      <w:contextualSpacing/>
    </w:pPr>
    <w:rPr/>
  </w:style>
  <w:style w:type="paragraph" w:styleId="isselectedend" w:customStyle="1">
    <w:name w:val="isselectedend"/>
    <w:basedOn w:val="Normal"/>
    <w:qFormat/>
    <w:rsid w:val="005b1b02"/>
    <w:pPr>
      <w:spacing w:beforeAutospacing="1" w:afterAutospacing="1"/>
    </w:pPr>
    <w:rPr>
      <w:lang w:val="uk-UA" w:eastAsia="uk-UA"/>
    </w:rPr>
  </w:style>
  <w:style w:type="paragraph" w:styleId="docdata" w:customStyle="1">
    <w:name w:val="docdata"/>
    <w:basedOn w:val="Normal"/>
    <w:qFormat/>
    <w:rsid w:val="005d0ea0"/>
    <w:pPr>
      <w:spacing w:beforeAutospacing="1" w:afterAutospacing="1"/>
    </w:pPr>
    <w:rPr>
      <w:lang w:val="uk-UA" w:eastAsia="uk-UA"/>
    </w:rPr>
  </w:style>
  <w:style w:type="paragraph" w:styleId="1" w:customStyle="1">
    <w:name w:val="Без інтервалів1"/>
    <w:link w:val="NoSpacingChar"/>
    <w:qFormat/>
    <w:rsid w:val="00e84e4d"/>
    <w:pPr>
      <w:widowControl/>
      <w:bidi w:val="0"/>
      <w:spacing w:lineRule="auto" w:line="240" w:before="0" w:after="0"/>
      <w:jc w:val="start"/>
    </w:pPr>
    <w:rPr>
      <w:rFonts w:ascii="Calibri" w:hAnsi="Calibri" w:eastAsia="Times New Roman" w:cs="Times New Roman" w:asciiTheme="minorHAnsi" w:hAnsiTheme="minorHAnsi"/>
      <w:color w:val="auto"/>
      <w:kern w:val="2"/>
      <w:sz w:val="22"/>
      <w:szCs w:val="22"/>
      <w:lang w:val="uk-UA" w:eastAsia="en-US" w:bidi="ar-SA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d6d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30F3A-714C-4AFE-9556-5017A20AB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Application>LibreOffice/26.2.6.3$Windows_x86 LibreOffice_project/8221e31b3ac356a1623c672912a3d2b492f7e3d1</Application>
  <AppVersion>15.0000</AppVersion>
  <Pages>20</Pages>
  <Words>3670</Words>
  <Characters>24619</Characters>
  <CharactersWithSpaces>28276</CharactersWithSpaces>
  <Paragraphs>861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2026-08-13T06:42:00Z</dcterms:created>
  <dc:creator>Користувач</dc:creator>
  <dc:description/>
  <dc:language>uk-UA</dc:language>
  <cp:lastModifiedBy/>
  <cp:lastPrinted>2026-09-25T11:13:00Z</cp:lastPrinted>
  <dcterms:modified xsi:type="dcterms:W3CDTF">2026-11-04T09:25:10Z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