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b/>
          <w:i/>
        </w:rPr>
      </w:pPr>
      <w:r>
        <w:rPr/>
      </w:r>
    </w:p>
    <w:tbl>
      <w:tblPr>
        <w:tblW w:w="1023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387"/>
        <w:gridCol w:w="4847"/>
      </w:tblGrid>
      <w:tr>
        <w:trPr/>
        <w:tc>
          <w:tcPr>
            <w:tcW w:w="5387" w:type="dxa"/>
            <w:tcBorders/>
            <w:shd w:color="auto" w:fill="auto" w:val="clear"/>
          </w:tcPr>
          <w:p>
            <w:pPr>
              <w:pStyle w:val="Normal"/>
              <w:jc w:val="both"/>
              <w:rPr/>
            </w:pPr>
            <w:r>
              <w:rPr/>
            </w:r>
          </w:p>
        </w:tc>
        <w:tc>
          <w:tcPr>
            <w:tcW w:w="4847" w:type="dxa"/>
            <w:tcBorders/>
            <w:shd w:color="auto" w:fill="auto" w:val="clear"/>
          </w:tcPr>
          <w:p>
            <w:pPr>
              <w:pStyle w:val="Normal"/>
              <w:jc w:val="both"/>
              <w:rPr>
                <w:b/>
              </w:rPr>
            </w:pPr>
            <w:r>
              <w:rPr>
                <w:b/>
              </w:rPr>
              <w:t>ЗАТВЕРДЖЕНО</w:t>
            </w:r>
          </w:p>
          <w:p>
            <w:pPr>
              <w:pStyle w:val="Normal"/>
              <w:jc w:val="both"/>
              <w:rPr/>
            </w:pPr>
            <w:r>
              <w:rPr/>
              <w:t>Рішення Роздільнянської міської ради</w:t>
            </w:r>
          </w:p>
          <w:p>
            <w:pPr>
              <w:pStyle w:val="Normal"/>
              <w:jc w:val="both"/>
              <w:rPr/>
            </w:pPr>
            <w:r>
              <w:rPr/>
              <w:t>Одеської області</w:t>
            </w:r>
          </w:p>
          <w:p>
            <w:pPr>
              <w:pStyle w:val="Normal"/>
              <w:jc w:val="both"/>
              <w:rPr/>
            </w:pPr>
            <w:r>
              <w:rPr/>
              <w:t xml:space="preserve">23 вересня 2026 року </w:t>
            </w:r>
          </w:p>
          <w:p>
            <w:pPr>
              <w:pStyle w:val="Normal"/>
              <w:jc w:val="both"/>
              <w:rPr/>
            </w:pPr>
            <w:r>
              <w:rPr/>
              <w:t>№</w:t>
            </w:r>
            <w:hyperlink r:id="rId2">
              <w:r>
                <w:rPr>
                  <w:rStyle w:val="Hyperlink"/>
                </w:rPr>
                <w:t>5513-VIII</w:t>
              </w:r>
            </w:hyperlink>
          </w:p>
          <w:p>
            <w:pPr>
              <w:pStyle w:val="Normal"/>
              <w:jc w:val="both"/>
              <w:rPr>
                <w:sz w:val="2"/>
                <w:szCs w:val="2"/>
              </w:rPr>
            </w:pPr>
            <w:r>
              <w:rPr>
                <w:sz w:val="2"/>
                <w:szCs w:val="2"/>
              </w:rPr>
            </w:r>
          </w:p>
        </w:tc>
      </w:tr>
    </w:tbl>
    <w:p>
      <w:pPr>
        <w:pStyle w:val="Normal"/>
        <w:jc w:val="both"/>
        <w:rPr/>
      </w:pPr>
      <w:r>
        <w:rPr/>
      </w:r>
    </w:p>
    <w:p>
      <w:pPr>
        <w:pStyle w:val="Normal"/>
        <w:jc w:val="both"/>
        <w:rPr/>
      </w:pPr>
      <w:r>
        <w:rPr/>
        <w:t>ПРОЄКТ</w:t>
      </w:r>
    </w:p>
    <w:p>
      <w:pPr>
        <w:pStyle w:val="Normal"/>
        <w:jc w:val="center"/>
        <w:rPr>
          <w:b/>
        </w:rPr>
      </w:pPr>
      <w:r>
        <w:rPr>
          <w:b/>
        </w:rPr>
        <w:t>Додаткова угода № 1</w:t>
      </w:r>
    </w:p>
    <w:p>
      <w:pPr>
        <w:pStyle w:val="Normal"/>
        <w:jc w:val="center"/>
        <w:rPr>
          <w:b/>
        </w:rPr>
      </w:pPr>
      <w:r>
        <w:rPr>
          <w:b/>
        </w:rPr>
        <w:t>договору оренди нерухомого або іншого окремо індивідуально визначеного майна, що належить до комунальної власності Роздільнянської міської територіальної громади від 14 лютого 2022 року, укладеного між Роздільнянською міською радою та Роздільнянською районною державною адміністрацією, у редакції від 26 листопада 2025 року</w:t>
      </w:r>
    </w:p>
    <w:p>
      <w:pPr>
        <w:pStyle w:val="Normal"/>
        <w:rPr>
          <w:b/>
        </w:rPr>
      </w:pPr>
      <w:r>
        <w:rPr>
          <w:b/>
        </w:rPr>
      </w:r>
    </w:p>
    <w:tbl>
      <w:tblPr>
        <w:tblStyle w:val="a5"/>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c>
          <w:tcPr>
            <w:tcW w:w="4839" w:type="dxa"/>
            <w:tcBorders>
              <w:top w:val="nil"/>
              <w:start w:val="nil"/>
              <w:bottom w:val="nil"/>
              <w:end w:val="nil"/>
            </w:tcBorders>
          </w:tcPr>
          <w:p>
            <w:pPr>
              <w:pStyle w:val="Normal"/>
              <w:widowControl/>
              <w:spacing w:before="0" w:after="0"/>
              <w:jc w:val="both"/>
              <w:rPr>
                <w:kern w:val="0"/>
                <w:lang w:bidi="ar-SA"/>
              </w:rPr>
            </w:pPr>
            <w:r>
              <w:rPr>
                <w:kern w:val="0"/>
                <w:lang w:bidi="ar-SA"/>
              </w:rPr>
              <w:t>м. Роздільна</w:t>
            </w:r>
          </w:p>
        </w:tc>
        <w:tc>
          <w:tcPr>
            <w:tcW w:w="4840" w:type="dxa"/>
            <w:tcBorders>
              <w:top w:val="nil"/>
              <w:start w:val="nil"/>
              <w:bottom w:val="nil"/>
              <w:end w:val="nil"/>
            </w:tcBorders>
          </w:tcPr>
          <w:p>
            <w:pPr>
              <w:pStyle w:val="Normal"/>
              <w:widowControl/>
              <w:spacing w:before="0" w:after="0"/>
              <w:jc w:val="end"/>
              <w:rPr>
                <w:kern w:val="0"/>
                <w:lang w:bidi="ar-SA"/>
              </w:rPr>
            </w:pPr>
            <w:r>
              <w:rPr>
                <w:kern w:val="0"/>
                <w:lang w:bidi="ar-SA"/>
              </w:rPr>
              <w:t>«____» ___________ 2026 р.</w:t>
            </w:r>
          </w:p>
        </w:tc>
      </w:tr>
      <w:tr>
        <w:trPr/>
        <w:tc>
          <w:tcPr>
            <w:tcW w:w="4839" w:type="dxa"/>
            <w:tcBorders>
              <w:top w:val="nil"/>
              <w:start w:val="nil"/>
              <w:bottom w:val="nil"/>
              <w:end w:val="nil"/>
            </w:tcBorders>
          </w:tcPr>
          <w:p>
            <w:pPr>
              <w:pStyle w:val="Normal"/>
              <w:widowControl/>
              <w:spacing w:before="0" w:after="0"/>
              <w:jc w:val="both"/>
              <w:rPr>
                <w:kern w:val="0"/>
                <w:lang w:bidi="ar-SA"/>
              </w:rPr>
            </w:pPr>
            <w:r>
              <w:rPr>
                <w:kern w:val="0"/>
                <w:lang w:bidi="ar-SA"/>
              </w:rPr>
            </w:r>
          </w:p>
        </w:tc>
        <w:tc>
          <w:tcPr>
            <w:tcW w:w="4840" w:type="dxa"/>
            <w:tcBorders>
              <w:top w:val="nil"/>
              <w:start w:val="nil"/>
              <w:bottom w:val="nil"/>
              <w:end w:val="nil"/>
            </w:tcBorders>
          </w:tcPr>
          <w:p>
            <w:pPr>
              <w:pStyle w:val="Normal"/>
              <w:widowControl/>
              <w:spacing w:before="0" w:after="0"/>
              <w:jc w:val="end"/>
              <w:rPr>
                <w:kern w:val="0"/>
                <w:lang w:bidi="ar-SA"/>
              </w:rPr>
            </w:pPr>
            <w:r>
              <w:rPr>
                <w:kern w:val="0"/>
                <w:lang w:bidi="ar-SA"/>
              </w:rPr>
            </w:r>
          </w:p>
        </w:tc>
      </w:tr>
      <w:tr>
        <w:trPr/>
        <w:tc>
          <w:tcPr>
            <w:tcW w:w="4839" w:type="dxa"/>
            <w:tcBorders>
              <w:top w:val="nil"/>
              <w:start w:val="nil"/>
              <w:bottom w:val="nil"/>
              <w:end w:val="nil"/>
            </w:tcBorders>
          </w:tcPr>
          <w:p>
            <w:pPr>
              <w:pStyle w:val="Normal"/>
              <w:widowControl/>
              <w:spacing w:before="0" w:after="0"/>
              <w:jc w:val="both"/>
              <w:rPr>
                <w:sz w:val="2"/>
                <w:szCs w:val="2"/>
              </w:rPr>
            </w:pPr>
            <w:r>
              <w:rPr>
                <w:kern w:val="0"/>
                <w:sz w:val="2"/>
                <w:szCs w:val="2"/>
                <w:lang w:bidi="ar-SA"/>
              </w:rPr>
            </w:r>
          </w:p>
        </w:tc>
        <w:tc>
          <w:tcPr>
            <w:tcW w:w="4840" w:type="dxa"/>
            <w:tcBorders>
              <w:top w:val="nil"/>
              <w:start w:val="nil"/>
              <w:bottom w:val="nil"/>
              <w:end w:val="nil"/>
            </w:tcBorders>
          </w:tcPr>
          <w:p>
            <w:pPr>
              <w:pStyle w:val="Normal"/>
              <w:widowControl/>
              <w:spacing w:before="0" w:after="0"/>
              <w:jc w:val="end"/>
              <w:rPr>
                <w:sz w:val="2"/>
                <w:szCs w:val="2"/>
              </w:rPr>
            </w:pPr>
            <w:r>
              <w:rPr>
                <w:kern w:val="0"/>
                <w:sz w:val="2"/>
                <w:szCs w:val="2"/>
                <w:lang w:bidi="ar-SA"/>
              </w:rPr>
            </w:r>
          </w:p>
        </w:tc>
      </w:tr>
    </w:tbl>
    <w:p>
      <w:pPr>
        <w:pStyle w:val="Normal"/>
        <w:jc w:val="both"/>
        <w:rPr/>
      </w:pPr>
      <w:r>
        <w:rPr/>
      </w:r>
    </w:p>
    <w:p>
      <w:pPr>
        <w:pStyle w:val="Normal"/>
        <w:ind w:firstLine="720"/>
        <w:jc w:val="both"/>
        <w:rPr/>
      </w:pPr>
      <w:r>
        <w:rPr/>
        <w:t xml:space="preserve">Ми, що нижче підписалися, </w:t>
      </w:r>
      <w:r>
        <w:rPr>
          <w:b/>
        </w:rPr>
        <w:t>Роздільнянська міська рада Одеської області</w:t>
      </w:r>
      <w:r>
        <w:rPr/>
        <w:t xml:space="preserve">, код ЄДРПОУ 33356925, в особі Роздільнянського міського голови </w:t>
      </w:r>
      <w:r>
        <w:rPr>
          <w:b/>
        </w:rPr>
        <w:t>Шовкалюка Валерія Олександровича</w:t>
      </w:r>
      <w:r>
        <w:rPr/>
        <w:t xml:space="preserve">, що діє на підставі Закону України «Про місцеве самоврядування в Україні» (надалі – </w:t>
      </w:r>
      <w:r>
        <w:rPr>
          <w:b/>
          <w:i/>
        </w:rPr>
        <w:t>Орендодавець</w:t>
      </w:r>
      <w:r>
        <w:rPr/>
        <w:t xml:space="preserve">), та </w:t>
      </w:r>
      <w:r>
        <w:rPr>
          <w:b/>
        </w:rPr>
        <w:t>Роздільнянська районна державна адміністрація Одеської області</w:t>
      </w:r>
      <w:r>
        <w:rPr/>
        <w:t xml:space="preserve">, код ЄДРПОУ </w:t>
      </w:r>
      <w:r>
        <w:rPr>
          <w:shd w:fill="FFFFFF" w:val="clear"/>
        </w:rPr>
        <w:t>04056859</w:t>
      </w:r>
      <w:r>
        <w:rPr/>
        <w:t xml:space="preserve">, в особі голови Роздільнянської районної державної адміністрації </w:t>
      </w:r>
      <w:r>
        <w:rPr>
          <w:b/>
        </w:rPr>
        <w:t>Ковальського Вадима Олексійовича</w:t>
      </w:r>
      <w:r>
        <w:rPr/>
        <w:t xml:space="preserve">, що дії на підставі Закону України «Про місцеві державні адміністрації» (надалі – </w:t>
      </w:r>
      <w:r>
        <w:rPr>
          <w:b/>
          <w:i/>
        </w:rPr>
        <w:t>Орендар</w:t>
      </w:r>
      <w:r>
        <w:rPr/>
        <w:t xml:space="preserve">) (надалі за текстом угоди – </w:t>
      </w:r>
      <w:r>
        <w:rPr>
          <w:b/>
          <w:i/>
        </w:rPr>
        <w:t>Сторони</w:t>
      </w:r>
      <w:r>
        <w:rPr/>
        <w:t xml:space="preserve">), керуючись ст.ст. 651, 654 Цивільного кодексу України,  ст.ст. 15, 18 Закону України «Про оренду державного та комунального майна», п.п. 134 - 135 Порядку передачі в оренду державного та комунального майна, затвердженого постановою Кабінету Міністрів України від 03 червня 2020 року № 483, відповідно до п.п. 12.3, 12.4 договору оренди нерухомого або іншого окремо індивідуально визначеного майна, що належить до комунальної власності Роздільнянської міської територіальної громади від 14 лютого 2022 року, укладеного між Роздільнянською міською радою та Роздільнянською районною державною адміністрацією, у редакції від 26 листопада 2025 року (надалі – </w:t>
      </w:r>
      <w:r>
        <w:rPr>
          <w:b/>
          <w:i/>
        </w:rPr>
        <w:t>Договір</w:t>
      </w:r>
      <w:r>
        <w:rPr/>
        <w:t>), уклали дану додаткову угоду № 1 до Договору про наступне:</w:t>
      </w:r>
    </w:p>
    <w:p>
      <w:pPr>
        <w:pStyle w:val="Normal"/>
        <w:jc w:val="both"/>
        <w:rPr/>
      </w:pPr>
      <w:r>
        <w:rPr/>
        <w:t xml:space="preserve"> </w:t>
      </w:r>
    </w:p>
    <w:p>
      <w:pPr>
        <w:pStyle w:val="Normal"/>
        <w:jc w:val="both"/>
        <w:rPr/>
      </w:pPr>
      <w:r>
        <w:rPr/>
        <w:t>1. Сторони домовились внести наступні зміни до Договору, а саме:</w:t>
      </w:r>
    </w:p>
    <w:p>
      <w:pPr>
        <w:pStyle w:val="Normal"/>
        <w:jc w:val="both"/>
        <w:rPr/>
      </w:pPr>
      <w:r>
        <w:rPr/>
        <w:t>- пп. 12.1 п. 12 Договору викласти у наступній редакції:</w:t>
      </w:r>
    </w:p>
    <w:p>
      <w:pPr>
        <w:pStyle w:val="Normal"/>
        <w:jc w:val="both"/>
        <w:rPr/>
      </w:pPr>
      <w:r>
        <w:rPr/>
      </w:r>
    </w:p>
    <w:tbl>
      <w:tblPr>
        <w:tblStyle w:val="a5"/>
        <w:tblW w:w="949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128"/>
        <w:gridCol w:w="8365"/>
      </w:tblGrid>
      <w:tr>
        <w:trPr/>
        <w:tc>
          <w:tcPr>
            <w:tcW w:w="1128" w:type="dxa"/>
            <w:tcBorders/>
          </w:tcPr>
          <w:p>
            <w:pPr>
              <w:pStyle w:val="Normal"/>
              <w:widowControl/>
              <w:spacing w:before="0" w:after="0"/>
              <w:jc w:val="both"/>
              <w:rPr>
                <w:kern w:val="0"/>
                <w:lang w:bidi="ar-SA"/>
              </w:rPr>
            </w:pPr>
            <w:r>
              <w:rPr>
                <w:kern w:val="0"/>
                <w:lang w:bidi="ar-SA"/>
              </w:rPr>
              <w:t>12.1</w:t>
            </w:r>
          </w:p>
        </w:tc>
        <w:tc>
          <w:tcPr>
            <w:tcW w:w="8365" w:type="dxa"/>
            <w:tcBorders/>
          </w:tcPr>
          <w:p>
            <w:pPr>
              <w:pStyle w:val="Normal"/>
              <w:widowControl/>
              <w:spacing w:before="0" w:after="0"/>
              <w:jc w:val="both"/>
              <w:rPr>
                <w:kern w:val="0"/>
                <w:lang w:bidi="ar-SA"/>
              </w:rPr>
            </w:pPr>
            <w:r>
              <w:rPr>
                <w:kern w:val="0"/>
                <w:lang w:bidi="ar-SA"/>
              </w:rPr>
              <w:t>Цей договір діє до «31» грудня 2031 року включно</w:t>
            </w:r>
          </w:p>
        </w:tc>
      </w:tr>
    </w:tbl>
    <w:p>
      <w:pPr>
        <w:pStyle w:val="Normal"/>
        <w:jc w:val="both"/>
        <w:rPr/>
      </w:pPr>
      <w:r>
        <w:rPr/>
      </w:r>
    </w:p>
    <w:p>
      <w:pPr>
        <w:pStyle w:val="Normal"/>
        <w:jc w:val="both"/>
        <w:rPr/>
      </w:pPr>
      <w:r>
        <w:rPr/>
        <w:t>- п. 17 Договору викласти у наступній редакції:</w:t>
      </w:r>
    </w:p>
    <w:p>
      <w:pPr>
        <w:pStyle w:val="Normal"/>
        <w:jc w:val="both"/>
        <w:rPr/>
      </w:pPr>
      <w:r>
        <w:rPr/>
      </w:r>
    </w:p>
    <w:tbl>
      <w:tblPr>
        <w:tblStyle w:val="a5"/>
        <w:tblW w:w="991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128"/>
        <w:gridCol w:w="2836"/>
        <w:gridCol w:w="2683"/>
        <w:gridCol w:w="3271"/>
      </w:tblGrid>
      <w:tr>
        <w:trPr>
          <w:trHeight w:val="1618" w:hRule="atLeast"/>
        </w:trPr>
        <w:tc>
          <w:tcPr>
            <w:tcW w:w="1128" w:type="dxa"/>
            <w:tcBorders/>
          </w:tcPr>
          <w:p>
            <w:pPr>
              <w:pStyle w:val="Normal"/>
              <w:widowControl/>
              <w:spacing w:before="0" w:after="0"/>
              <w:jc w:val="both"/>
              <w:rPr>
                <w:kern w:val="0"/>
                <w:lang w:bidi="ar-SA"/>
              </w:rPr>
            </w:pPr>
            <w:r>
              <w:rPr>
                <w:kern w:val="0"/>
                <w:lang w:bidi="ar-SA"/>
              </w:rPr>
              <w:t>17</w:t>
            </w:r>
          </w:p>
        </w:tc>
        <w:tc>
          <w:tcPr>
            <w:tcW w:w="2836" w:type="dxa"/>
            <w:tcBorders/>
          </w:tcPr>
          <w:p>
            <w:pPr>
              <w:pStyle w:val="Normal"/>
              <w:widowControl/>
              <w:spacing w:before="0" w:after="0"/>
              <w:jc w:val="both"/>
              <w:rPr>
                <w:kern w:val="0"/>
                <w:lang w:bidi="ar-SA"/>
              </w:rPr>
            </w:pPr>
            <w:r>
              <w:rPr>
                <w:kern w:val="0"/>
                <w:lang w:bidi="ar-SA"/>
              </w:rPr>
              <w:t>Дата заяви Орендаря про продовження договору оренди, поданої Орендодавцю:</w:t>
            </w:r>
          </w:p>
          <w:p>
            <w:pPr>
              <w:pStyle w:val="Normal"/>
              <w:widowControl/>
              <w:spacing w:before="0" w:after="0"/>
              <w:jc w:val="both"/>
              <w:rPr>
                <w:kern w:val="0"/>
                <w:lang w:bidi="ar-SA"/>
              </w:rPr>
            </w:pPr>
            <w:r>
              <w:rPr>
                <w:kern w:val="0"/>
                <w:lang w:bidi="ar-SA"/>
              </w:rPr>
              <w:t xml:space="preserve">«10» вересня 2026 р. </w:t>
            </w:r>
          </w:p>
          <w:p>
            <w:pPr>
              <w:pStyle w:val="Normal"/>
              <w:widowControl/>
              <w:spacing w:before="0" w:after="0"/>
              <w:jc w:val="both"/>
              <w:rPr>
                <w:kern w:val="0"/>
                <w:lang w:bidi="ar-SA"/>
              </w:rPr>
            </w:pPr>
            <w:r>
              <w:rPr>
                <w:kern w:val="0"/>
                <w:lang w:bidi="ar-SA"/>
              </w:rPr>
              <w:t xml:space="preserve">№ </w:t>
            </w:r>
            <w:r>
              <w:rPr>
                <w:kern w:val="0"/>
                <w:lang w:bidi="ar-SA"/>
              </w:rPr>
              <w:t>904/1/04/01-29</w:t>
            </w:r>
          </w:p>
        </w:tc>
        <w:tc>
          <w:tcPr>
            <w:tcW w:w="2683" w:type="dxa"/>
            <w:tcBorders/>
          </w:tcPr>
          <w:p>
            <w:pPr>
              <w:pStyle w:val="Normal"/>
              <w:widowControl/>
              <w:spacing w:before="0" w:after="0"/>
              <w:jc w:val="both"/>
              <w:rPr>
                <w:kern w:val="0"/>
                <w:lang w:bidi="ar-SA"/>
              </w:rPr>
            </w:pPr>
            <w:r>
              <w:rPr>
                <w:kern w:val="0"/>
                <w:lang w:bidi="ar-SA"/>
              </w:rPr>
              <w:t>дата і вихідний номер довідки Балансоутримувача, передбаченої частиною шостою статті 18 Закону</w:t>
            </w:r>
          </w:p>
          <w:p>
            <w:pPr>
              <w:pStyle w:val="Normal"/>
              <w:widowControl/>
              <w:spacing w:before="0" w:after="0"/>
              <w:jc w:val="both"/>
              <w:rPr>
                <w:kern w:val="0"/>
                <w:lang w:bidi="ar-SA"/>
              </w:rPr>
            </w:pPr>
            <w:r>
              <w:rPr>
                <w:kern w:val="0"/>
                <w:lang w:bidi="ar-SA"/>
              </w:rPr>
              <w:t xml:space="preserve">«16» вересня 2026 р. </w:t>
            </w:r>
          </w:p>
          <w:p>
            <w:pPr>
              <w:pStyle w:val="Normal"/>
              <w:widowControl/>
              <w:spacing w:before="0" w:after="0"/>
              <w:jc w:val="both"/>
              <w:rPr>
                <w:kern w:val="0"/>
                <w:lang w:bidi="ar-SA"/>
              </w:rPr>
            </w:pPr>
            <w:r>
              <w:rPr>
                <w:kern w:val="0"/>
                <w:lang w:bidi="ar-SA"/>
              </w:rPr>
              <w:t xml:space="preserve">№ </w:t>
            </w:r>
            <w:r>
              <w:rPr>
                <w:kern w:val="0"/>
                <w:lang w:bidi="ar-SA"/>
              </w:rPr>
              <w:t>2</w:t>
            </w:r>
          </w:p>
        </w:tc>
        <w:tc>
          <w:tcPr>
            <w:tcW w:w="3271" w:type="dxa"/>
            <w:tcBorders/>
          </w:tcPr>
          <w:p>
            <w:pPr>
              <w:pStyle w:val="Normal"/>
              <w:widowControl/>
              <w:spacing w:before="0" w:after="0"/>
              <w:jc w:val="both"/>
              <w:rPr>
                <w:kern w:val="0"/>
                <w:lang w:bidi="ar-SA"/>
              </w:rPr>
            </w:pPr>
            <w:r>
              <w:rPr>
                <w:kern w:val="0"/>
                <w:lang w:bidi="ar-SA"/>
              </w:rPr>
              <w:t>дата і номер рішення (наказу) Орендодавця про продовження договору оренди</w:t>
            </w:r>
          </w:p>
          <w:p>
            <w:pPr>
              <w:pStyle w:val="Normal"/>
              <w:widowControl/>
              <w:spacing w:before="0" w:after="0"/>
              <w:jc w:val="both"/>
              <w:rPr>
                <w:kern w:val="0"/>
                <w:lang w:bidi="ar-SA"/>
              </w:rPr>
            </w:pPr>
            <w:r>
              <w:rPr>
                <w:kern w:val="0"/>
                <w:lang w:bidi="ar-SA"/>
              </w:rPr>
              <w:t>«23» вересня 2026 р.</w:t>
            </w:r>
          </w:p>
          <w:p>
            <w:pPr>
              <w:pStyle w:val="Normal"/>
              <w:widowControl/>
              <w:spacing w:before="0" w:after="0"/>
              <w:jc w:val="both"/>
              <w:rPr>
                <w:lang w:val="en-US"/>
              </w:rPr>
            </w:pPr>
            <w:r>
              <w:rPr>
                <w:kern w:val="0"/>
                <w:lang w:bidi="ar-SA"/>
              </w:rPr>
              <w:t xml:space="preserve">№ </w:t>
            </w:r>
            <w:r>
              <w:rPr>
                <w:kern w:val="0"/>
                <w:lang w:bidi="ar-SA"/>
              </w:rPr>
              <w:t>_____-</w:t>
            </w:r>
            <w:r>
              <w:rPr>
                <w:kern w:val="0"/>
                <w:lang w:val="en-US" w:bidi="ar-SA"/>
              </w:rPr>
              <w:t>VIII</w:t>
            </w:r>
          </w:p>
          <w:p>
            <w:pPr>
              <w:pStyle w:val="Normal"/>
              <w:widowControl/>
              <w:spacing w:before="0" w:after="0"/>
              <w:jc w:val="both"/>
              <w:rPr>
                <w:lang w:val="en-US"/>
              </w:rPr>
            </w:pPr>
            <w:r>
              <w:rPr>
                <w:kern w:val="0"/>
                <w:lang w:val="en-US" w:bidi="ar-SA"/>
              </w:rPr>
            </w:r>
          </w:p>
        </w:tc>
      </w:tr>
    </w:tbl>
    <w:p>
      <w:pPr>
        <w:pStyle w:val="Normal"/>
        <w:jc w:val="both"/>
        <w:rPr/>
      </w:pPr>
      <w:r>
        <w:rPr/>
      </w:r>
    </w:p>
    <w:p>
      <w:pPr>
        <w:pStyle w:val="Normal"/>
        <w:jc w:val="both"/>
        <w:rPr/>
      </w:pPr>
      <w:r>
        <w:rPr/>
        <w:t>2. Усі інші умови Договору залишаються без змін і Сторони підтверджують по ним свої зобов’язання.</w:t>
      </w:r>
    </w:p>
    <w:p>
      <w:pPr>
        <w:pStyle w:val="Normal"/>
        <w:jc w:val="both"/>
        <w:rPr/>
      </w:pPr>
      <w:r>
        <w:rPr/>
        <w:t>3. Ця Додаткова угода набирає чинності з моменту її підписання Сторонами і діє до повного виконання зобов’язань по Договору.</w:t>
      </w:r>
    </w:p>
    <w:p>
      <w:pPr>
        <w:pStyle w:val="Normal"/>
        <w:jc w:val="both"/>
        <w:rPr/>
      </w:pPr>
      <w:r>
        <w:rPr/>
        <w:t>4. Дана Додаткова угода становить невід’ємну частину Договору.</w:t>
      </w:r>
    </w:p>
    <w:p>
      <w:pPr>
        <w:pStyle w:val="Normal"/>
        <w:jc w:val="both"/>
        <w:rPr/>
      </w:pPr>
      <w:r>
        <w:rPr/>
        <w:t xml:space="preserve">5. Дана Додаткова угода укладена в двох дійсних примірниках на українській мові, по одному примірнику для кожної із Сторін, кожен з яких має однакову юридичну силу. </w:t>
      </w:r>
    </w:p>
    <w:p>
      <w:pPr>
        <w:pStyle w:val="Normal"/>
        <w:rPr/>
      </w:pPr>
      <w:r>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Segoe UI">
    <w:charset w:val="cc" w:characterSet="windows-1251"/>
    <w:family w:val="swiss"/>
    <w:pitch w:val="variable"/>
  </w:font>
  <w:font w:name="Liberation Sans">
    <w:altName w:val="Arial"/>
    <w:charset w:val="cc" w:characterSet="windows-1251"/>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456ff"/>
    <w:pPr>
      <w:widowControl/>
      <w:bidi w:val="0"/>
      <w:spacing w:lineRule="auto" w:line="240" w:before="0" w:after="0"/>
      <w:jc w:val="start"/>
    </w:pPr>
    <w:rPr>
      <w:rFonts w:ascii="Times New Roman" w:hAnsi="Times New Roman" w:eastAsia="Batang" w:cs="Times New Roman"/>
      <w:color w:val="auto"/>
      <w:kern w:val="0"/>
      <w:sz w:val="24"/>
      <w:szCs w:val="24"/>
      <w:lang w:val="uk-UA" w:eastAsia="ru-RU" w:bidi="ar-SA"/>
    </w:rPr>
  </w:style>
  <w:style w:type="paragraph" w:styleId="Heading1">
    <w:name w:val="heading 1"/>
    <w:basedOn w:val="Normal"/>
    <w:next w:val="Normal"/>
    <w:link w:val="1"/>
    <w:qFormat/>
    <w:rsid w:val="00c456ff"/>
    <w:pPr>
      <w:keepNext w:val="true"/>
      <w:spacing w:before="240" w:after="60"/>
      <w:outlineLvl w:val="0"/>
    </w:pPr>
    <w:rPr>
      <w:rFonts w:ascii="Arial" w:hAnsi="Arial" w:eastAsia="Times New Roman" w:cs="Arial"/>
      <w:b/>
      <w:bCs/>
      <w:kern w:val="2"/>
      <w:sz w:val="32"/>
      <w:szCs w:val="3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c456ff"/>
    <w:rPr>
      <w:rFonts w:ascii="Arial" w:hAnsi="Arial" w:eastAsia="Times New Roman" w:cs="Arial"/>
      <w:b/>
      <w:bCs/>
      <w:kern w:val="2"/>
      <w:sz w:val="32"/>
      <w:szCs w:val="32"/>
      <w:lang w:val="uk-UA" w:eastAsia="ru-RU"/>
    </w:rPr>
  </w:style>
  <w:style w:type="character" w:styleId="Style13" w:customStyle="1">
    <w:name w:val="Основной текст Знак"/>
    <w:basedOn w:val="DefaultParagraphFont"/>
    <w:qFormat/>
    <w:rsid w:val="00c456ff"/>
    <w:rPr>
      <w:rFonts w:ascii="Times New Roman" w:hAnsi="Times New Roman" w:eastAsia="Times New Roman" w:cs="Times New Roman"/>
      <w:i/>
      <w:iCs/>
      <w:sz w:val="28"/>
      <w:szCs w:val="24"/>
      <w:lang w:val="uk-UA" w:eastAsia="ru-RU"/>
    </w:rPr>
  </w:style>
  <w:style w:type="character" w:styleId="Style14" w:customStyle="1">
    <w:name w:val="Текст выноски Знак"/>
    <w:basedOn w:val="DefaultParagraphFont"/>
    <w:link w:val="BalloonText"/>
    <w:uiPriority w:val="99"/>
    <w:semiHidden/>
    <w:qFormat/>
    <w:rsid w:val="008c6cef"/>
    <w:rPr>
      <w:rFonts w:ascii="Segoe UI" w:hAnsi="Segoe UI" w:eastAsia="Batang" w:cs="Segoe UI"/>
      <w:sz w:val="18"/>
      <w:szCs w:val="18"/>
      <w:lang w:val="uk-UA" w:eastAsia="ru-RU"/>
    </w:rPr>
  </w:style>
  <w:style w:type="character" w:styleId="Hyperlink">
    <w:name w:val="Hyperlink"/>
    <w:rPr>
      <w:color w:val="000080"/>
      <w:u w:val="single"/>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3"/>
    <w:rsid w:val="00c456ff"/>
    <w:pPr>
      <w:jc w:val="center"/>
    </w:pPr>
    <w:rPr>
      <w:rFonts w:eastAsia="Times New Roman"/>
      <w:i/>
      <w:iCs/>
      <w:sz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BalloonText">
    <w:name w:val="Balloon Text"/>
    <w:basedOn w:val="Normal"/>
    <w:link w:val="Style14"/>
    <w:uiPriority w:val="99"/>
    <w:semiHidden/>
    <w:unhideWhenUsed/>
    <w:qFormat/>
    <w:rsid w:val="008c6cef"/>
    <w:pPr/>
    <w:rPr>
      <w:rFonts w:ascii="Segoe UI" w:hAnsi="Segoe UI" w:cs="Segoe UI"/>
      <w:sz w:val="18"/>
      <w:szCs w:val="18"/>
    </w:rPr>
  </w:style>
  <w:style w:type="numbering" w:styleId="Style17"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39"/>
    <w:rsid w:val="00c456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3kyvt7es"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121</TotalTime>
  <Application>LibreOffice/26.2.6.3$Windows_x86 LibreOffice_project/8221e31b3ac356a1623c672912a3d2b492f7e3d1</Application>
  <AppVersion>15.0000</AppVersion>
  <Pages>2</Pages>
  <Words>388</Words>
  <Characters>2413</Characters>
  <CharactersWithSpaces>2781</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2026-09-11T11:30:00Z</dcterms:created>
  <dc:creator>User</dc:creator>
  <dc:description/>
  <dc:language>uk-UA</dc:language>
  <cp:lastModifiedBy/>
  <cp:lastPrinted>2026-09-28T10:44:00Z</cp:lastPrinted>
  <dcterms:modified xsi:type="dcterms:W3CDTF">2026-11-04T15:20:39Z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