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0387D" w14:textId="77777777" w:rsidR="00932F3C" w:rsidRDefault="00932F3C">
      <w:pPr>
        <w:shd w:val="clear" w:color="auto" w:fill="FFFFFF"/>
        <w:ind w:right="33"/>
        <w:jc w:val="both"/>
        <w:textAlignment w:val="baseline"/>
        <w:rPr>
          <w:lang w:val="uk-UA"/>
        </w:rPr>
      </w:pPr>
      <w:r>
        <w:rPr>
          <w:b/>
          <w:lang w:val="uk-UA"/>
        </w:rPr>
        <w:t>Замовник:</w:t>
      </w:r>
    </w:p>
    <w:p w14:paraId="5F8039C5" w14:textId="77777777" w:rsidR="00AC0798" w:rsidRDefault="00AC0798">
      <w:pPr>
        <w:shd w:val="clear" w:color="auto" w:fill="FFFFFF"/>
        <w:ind w:right="33"/>
        <w:jc w:val="both"/>
        <w:textAlignment w:val="baseline"/>
        <w:rPr>
          <w:lang w:val="uk-UA"/>
        </w:rPr>
      </w:pPr>
      <w:r>
        <w:rPr>
          <w:lang w:val="uk-UA"/>
        </w:rPr>
        <w:t xml:space="preserve">Виконавчий комітет </w:t>
      </w:r>
      <w:proofErr w:type="spellStart"/>
      <w:r>
        <w:rPr>
          <w:lang w:val="uk-UA"/>
        </w:rPr>
        <w:t>Дмитрівської</w:t>
      </w:r>
      <w:proofErr w:type="spellEnd"/>
      <w:r>
        <w:rPr>
          <w:lang w:val="uk-UA"/>
        </w:rPr>
        <w:t xml:space="preserve"> сільської ради</w:t>
      </w:r>
      <w:r w:rsidR="00932F3C">
        <w:rPr>
          <w:lang w:val="uk-UA"/>
        </w:rPr>
        <w:t xml:space="preserve"> </w:t>
      </w:r>
      <w:proofErr w:type="spellStart"/>
      <w:r w:rsidR="00932F3C">
        <w:rPr>
          <w:lang w:val="uk-UA"/>
        </w:rPr>
        <w:t>Бучанського</w:t>
      </w:r>
      <w:proofErr w:type="spellEnd"/>
      <w:r w:rsidR="00932F3C">
        <w:rPr>
          <w:lang w:val="uk-UA"/>
        </w:rPr>
        <w:t xml:space="preserve"> району </w:t>
      </w:r>
      <w:r>
        <w:rPr>
          <w:lang w:val="uk-UA"/>
        </w:rPr>
        <w:t>Київської області</w:t>
      </w:r>
    </w:p>
    <w:p w14:paraId="123408C0" w14:textId="244DBD21" w:rsidR="00932F3C" w:rsidRDefault="00932F3C">
      <w:pPr>
        <w:shd w:val="clear" w:color="auto" w:fill="FFFFFF"/>
        <w:ind w:right="33"/>
        <w:jc w:val="both"/>
        <w:textAlignment w:val="baseline"/>
        <w:rPr>
          <w:b/>
          <w:color w:val="333333"/>
          <w:lang w:val="uk-UA"/>
        </w:rPr>
      </w:pPr>
      <w:r>
        <w:rPr>
          <w:lang w:val="uk-UA"/>
        </w:rPr>
        <w:t>(08112, Киї</w:t>
      </w:r>
      <w:r w:rsidR="00AC0798">
        <w:rPr>
          <w:lang w:val="uk-UA"/>
        </w:rPr>
        <w:t xml:space="preserve">вська обл., </w:t>
      </w:r>
      <w:proofErr w:type="spellStart"/>
      <w:r w:rsidR="00AC0798">
        <w:rPr>
          <w:lang w:val="uk-UA"/>
        </w:rPr>
        <w:t>Бучанський</w:t>
      </w:r>
      <w:proofErr w:type="spellEnd"/>
      <w:r w:rsidR="00AC0798">
        <w:rPr>
          <w:lang w:val="uk-UA"/>
        </w:rPr>
        <w:t xml:space="preserve"> р-н, с.</w:t>
      </w:r>
      <w:r>
        <w:rPr>
          <w:lang w:val="uk-UA"/>
        </w:rPr>
        <w:t xml:space="preserve"> Дмитрівка, вул. Садова, 2).</w:t>
      </w:r>
    </w:p>
    <w:p w14:paraId="71407275" w14:textId="77777777" w:rsidR="00932F3C" w:rsidRDefault="00932F3C">
      <w:pPr>
        <w:shd w:val="clear" w:color="auto" w:fill="FFFFFF"/>
        <w:ind w:right="33"/>
        <w:jc w:val="both"/>
        <w:textAlignment w:val="baseline"/>
        <w:rPr>
          <w:b/>
          <w:color w:val="333333"/>
          <w:lang w:val="uk-UA"/>
        </w:rPr>
      </w:pPr>
    </w:p>
    <w:p w14:paraId="5073E1FF" w14:textId="77777777" w:rsidR="00932F3C" w:rsidRDefault="00932F3C">
      <w:pPr>
        <w:shd w:val="clear" w:color="auto" w:fill="FFFFFF"/>
        <w:ind w:right="33"/>
        <w:jc w:val="both"/>
        <w:textAlignment w:val="baseline"/>
        <w:rPr>
          <w:bCs/>
          <w:lang w:val="uk-UA"/>
        </w:rPr>
      </w:pPr>
      <w:r>
        <w:rPr>
          <w:b/>
          <w:lang w:val="uk-UA"/>
        </w:rPr>
        <w:t>Назва документа державного планування:</w:t>
      </w:r>
    </w:p>
    <w:p w14:paraId="29C2805F" w14:textId="0D35E769" w:rsidR="00932F3C" w:rsidRPr="00C56A10" w:rsidRDefault="00AC0798" w:rsidP="00DC4980">
      <w:pPr>
        <w:suppressAutoHyphens w:val="0"/>
        <w:autoSpaceDE w:val="0"/>
        <w:autoSpaceDN w:val="0"/>
        <w:adjustRightInd w:val="0"/>
        <w:spacing w:line="240" w:lineRule="exact"/>
        <w:ind w:right="199"/>
        <w:jc w:val="both"/>
        <w:rPr>
          <w:lang w:val="uk-UA"/>
        </w:rPr>
      </w:pPr>
      <w:r>
        <w:rPr>
          <w:lang w:val="uk-UA"/>
        </w:rPr>
        <w:t>«</w:t>
      </w:r>
      <w:r w:rsidR="00C56A10" w:rsidRPr="00C56A10">
        <w:rPr>
          <w:lang w:val="uk-UA"/>
        </w:rPr>
        <w:t>Детальний план території</w:t>
      </w:r>
      <w:r w:rsidR="00DC4980" w:rsidRPr="00DC4980">
        <w:t xml:space="preserve"> </w:t>
      </w:r>
      <w:r w:rsidR="00DC4980" w:rsidRPr="00DC4980">
        <w:rPr>
          <w:lang w:val="uk-UA"/>
        </w:rPr>
        <w:t xml:space="preserve">для розташування </w:t>
      </w:r>
      <w:proofErr w:type="spellStart"/>
      <w:r w:rsidR="00DC4980" w:rsidRPr="00DC4980">
        <w:rPr>
          <w:lang w:val="uk-UA"/>
        </w:rPr>
        <w:t>офісно</w:t>
      </w:r>
      <w:proofErr w:type="spellEnd"/>
      <w:r w:rsidR="00DC4980" w:rsidRPr="00DC4980">
        <w:rPr>
          <w:lang w:val="uk-UA"/>
        </w:rPr>
        <w:t xml:space="preserve">-торгівельних приміщень в селі Личанка </w:t>
      </w:r>
      <w:r>
        <w:rPr>
          <w:lang w:val="uk-UA"/>
        </w:rPr>
        <w:t>Бучанського району</w:t>
      </w:r>
      <w:r w:rsidR="00DC4980" w:rsidRPr="00DC4980">
        <w:rPr>
          <w:lang w:val="uk-UA"/>
        </w:rPr>
        <w:t xml:space="preserve"> К</w:t>
      </w:r>
      <w:r w:rsidR="00DC4980">
        <w:rPr>
          <w:lang w:val="uk-UA"/>
        </w:rPr>
        <w:t>иївської області</w:t>
      </w:r>
      <w:r>
        <w:rPr>
          <w:lang w:val="uk-UA"/>
        </w:rPr>
        <w:t>».</w:t>
      </w:r>
    </w:p>
    <w:p w14:paraId="25C383EC" w14:textId="77777777" w:rsidR="00932F3C" w:rsidRDefault="00932F3C">
      <w:pPr>
        <w:shd w:val="clear" w:color="auto" w:fill="FFFFFF"/>
        <w:ind w:right="33"/>
        <w:jc w:val="both"/>
        <w:textAlignment w:val="baseline"/>
        <w:rPr>
          <w:lang w:val="uk-UA"/>
        </w:rPr>
      </w:pPr>
      <w:r>
        <w:rPr>
          <w:b/>
          <w:lang w:val="uk-UA"/>
        </w:rPr>
        <w:t>Основні цілі документа державного планування, його зв’язок з іншими документами державного планування</w:t>
      </w:r>
    </w:p>
    <w:p w14:paraId="58A8AC2E" w14:textId="2185A6DA" w:rsidR="00932F3C" w:rsidRPr="00C56A10" w:rsidRDefault="00932F3C" w:rsidP="00DC4980">
      <w:pPr>
        <w:suppressAutoHyphens w:val="0"/>
        <w:autoSpaceDE w:val="0"/>
        <w:autoSpaceDN w:val="0"/>
        <w:adjustRightInd w:val="0"/>
        <w:spacing w:line="240" w:lineRule="exact"/>
        <w:ind w:right="199"/>
        <w:jc w:val="both"/>
        <w:rPr>
          <w:lang w:val="uk-UA"/>
        </w:rPr>
      </w:pPr>
      <w:r>
        <w:rPr>
          <w:lang w:val="uk-UA"/>
        </w:rPr>
        <w:t xml:space="preserve">Відповідно до пункту 3 частини першої статті 1 Закону України «Про стратегічну екологічну оцінку» до документів державного планування відноситься містобудівна документація. </w:t>
      </w:r>
      <w:r w:rsidR="00F90C8F">
        <w:rPr>
          <w:lang w:val="uk-UA"/>
        </w:rPr>
        <w:t xml:space="preserve">Пункт </w:t>
      </w:r>
      <w:r>
        <w:rPr>
          <w:lang w:val="uk-UA"/>
        </w:rPr>
        <w:t>1 частини першої статті 16 Закону України «Про регулювання містобудівної діяльності»</w:t>
      </w:r>
      <w:r w:rsidR="00F90C8F">
        <w:rPr>
          <w:lang w:val="uk-UA"/>
        </w:rPr>
        <w:t xml:space="preserve"> визначає</w:t>
      </w:r>
      <w:r>
        <w:rPr>
          <w:lang w:val="uk-UA"/>
        </w:rPr>
        <w:t>,</w:t>
      </w:r>
      <w:r w:rsidR="00F90C8F">
        <w:rPr>
          <w:lang w:val="uk-UA"/>
        </w:rPr>
        <w:t xml:space="preserve"> що</w:t>
      </w:r>
      <w:r>
        <w:rPr>
          <w:lang w:val="uk-UA"/>
        </w:rPr>
        <w:t xml:space="preserve"> планування територій на місцевому рівні здійснюється шляхом розроблення та затвердження комплексних планів просторового розвитку територій територіальних громад, генеральних планів населених пунктів і детальних планів території, їх оновлення та вне</w:t>
      </w:r>
      <w:r w:rsidR="00F90C8F">
        <w:rPr>
          <w:lang w:val="uk-UA"/>
        </w:rPr>
        <w:t>сення змін до них. Згідно з</w:t>
      </w:r>
      <w:r>
        <w:rPr>
          <w:lang w:val="uk-UA"/>
        </w:rPr>
        <w:t xml:space="preserve"> рішення</w:t>
      </w:r>
      <w:r w:rsidR="00F90C8F">
        <w:rPr>
          <w:lang w:val="uk-UA"/>
        </w:rPr>
        <w:t>м</w:t>
      </w:r>
      <w:r>
        <w:rPr>
          <w:lang w:val="uk-UA"/>
        </w:rPr>
        <w:t xml:space="preserve"> </w:t>
      </w:r>
      <w:r w:rsidR="00F90C8F">
        <w:rPr>
          <w:lang w:val="uk-UA"/>
        </w:rPr>
        <w:t xml:space="preserve">71 сесії 8 скликання </w:t>
      </w:r>
      <w:proofErr w:type="spellStart"/>
      <w:r>
        <w:rPr>
          <w:lang w:val="uk-UA"/>
        </w:rPr>
        <w:t>Дмитрівської</w:t>
      </w:r>
      <w:proofErr w:type="spellEnd"/>
      <w:r>
        <w:rPr>
          <w:lang w:val="uk-UA"/>
        </w:rPr>
        <w:t xml:space="preserve"> сільської ради </w:t>
      </w:r>
      <w:r w:rsidR="00F90C8F">
        <w:rPr>
          <w:lang w:val="uk-UA"/>
        </w:rPr>
        <w:t xml:space="preserve">від 24.02.2026 № 9/71 </w:t>
      </w:r>
      <w:r w:rsidR="00C56A10" w:rsidRPr="002108A8">
        <w:rPr>
          <w:lang w:val="uk-UA"/>
        </w:rPr>
        <w:t>«</w:t>
      </w:r>
      <w:r w:rsidR="00840E47" w:rsidRPr="002108A8">
        <w:rPr>
          <w:lang w:val="uk-UA"/>
        </w:rPr>
        <w:t xml:space="preserve">Про розроблення детального плану території </w:t>
      </w:r>
      <w:r w:rsidR="00DC4980" w:rsidRPr="00DC4980">
        <w:rPr>
          <w:lang w:val="uk-UA"/>
        </w:rPr>
        <w:t xml:space="preserve">для розташування </w:t>
      </w:r>
      <w:proofErr w:type="spellStart"/>
      <w:r w:rsidR="00DC4980" w:rsidRPr="00DC4980">
        <w:rPr>
          <w:lang w:val="uk-UA"/>
        </w:rPr>
        <w:t>офісно</w:t>
      </w:r>
      <w:proofErr w:type="spellEnd"/>
      <w:r w:rsidR="00DC4980" w:rsidRPr="00DC4980">
        <w:rPr>
          <w:lang w:val="uk-UA"/>
        </w:rPr>
        <w:t>-торгівельних приміщень в селі Личанка Бучансь</w:t>
      </w:r>
      <w:r w:rsidR="00F90C8F">
        <w:rPr>
          <w:lang w:val="uk-UA"/>
        </w:rPr>
        <w:t>кого району</w:t>
      </w:r>
      <w:r w:rsidR="00DC4980">
        <w:rPr>
          <w:lang w:val="uk-UA"/>
        </w:rPr>
        <w:t xml:space="preserve"> Київської області</w:t>
      </w:r>
      <w:r>
        <w:rPr>
          <w:lang w:val="uk-UA"/>
        </w:rPr>
        <w:t xml:space="preserve">» </w:t>
      </w:r>
      <w:r w:rsidR="00284F50">
        <w:rPr>
          <w:lang w:val="uk-UA"/>
        </w:rPr>
        <w:t xml:space="preserve">на замовлення виконавчого комітету </w:t>
      </w:r>
      <w:proofErr w:type="spellStart"/>
      <w:r w:rsidR="00284F50">
        <w:rPr>
          <w:lang w:val="uk-UA"/>
        </w:rPr>
        <w:t>Дмитрівської</w:t>
      </w:r>
      <w:proofErr w:type="spellEnd"/>
      <w:r w:rsidR="00284F50">
        <w:rPr>
          <w:lang w:val="uk-UA"/>
        </w:rPr>
        <w:t xml:space="preserve"> сільської ради </w:t>
      </w:r>
      <w:r>
        <w:rPr>
          <w:lang w:val="uk-UA"/>
        </w:rPr>
        <w:t>розробляє</w:t>
      </w:r>
      <w:r w:rsidR="00F90C8F">
        <w:rPr>
          <w:lang w:val="uk-UA"/>
        </w:rPr>
        <w:t>ться</w:t>
      </w:r>
      <w:r>
        <w:rPr>
          <w:lang w:val="uk-UA"/>
        </w:rPr>
        <w:t xml:space="preserve"> </w:t>
      </w:r>
      <w:proofErr w:type="spellStart"/>
      <w:r>
        <w:rPr>
          <w:lang w:val="uk-UA"/>
        </w:rPr>
        <w:t>проєкт</w:t>
      </w:r>
      <w:proofErr w:type="spellEnd"/>
      <w:r>
        <w:rPr>
          <w:lang w:val="uk-UA"/>
        </w:rPr>
        <w:t xml:space="preserve"> </w:t>
      </w:r>
      <w:r w:rsidR="00284F50">
        <w:rPr>
          <w:lang w:val="uk-UA"/>
        </w:rPr>
        <w:t>«</w:t>
      </w:r>
      <w:r w:rsidR="00B82AB0" w:rsidRPr="002108A8">
        <w:rPr>
          <w:lang w:val="uk-UA"/>
        </w:rPr>
        <w:t>Детального плану території</w:t>
      </w:r>
      <w:r w:rsidR="00840E47" w:rsidRPr="002108A8">
        <w:rPr>
          <w:lang w:val="uk-UA"/>
        </w:rPr>
        <w:t xml:space="preserve"> </w:t>
      </w:r>
      <w:r w:rsidR="00DC4980" w:rsidRPr="00DC4980">
        <w:rPr>
          <w:lang w:val="uk-UA"/>
        </w:rPr>
        <w:t xml:space="preserve">для розташування </w:t>
      </w:r>
      <w:proofErr w:type="spellStart"/>
      <w:r w:rsidR="00DC4980" w:rsidRPr="00DC4980">
        <w:rPr>
          <w:lang w:val="uk-UA"/>
        </w:rPr>
        <w:t>офісно</w:t>
      </w:r>
      <w:proofErr w:type="spellEnd"/>
      <w:r w:rsidR="00DC4980" w:rsidRPr="00DC4980">
        <w:rPr>
          <w:lang w:val="uk-UA"/>
        </w:rPr>
        <w:t xml:space="preserve">-торгівельних приміщень в селі </w:t>
      </w:r>
      <w:proofErr w:type="spellStart"/>
      <w:r w:rsidR="00DC4980" w:rsidRPr="00DC4980">
        <w:rPr>
          <w:lang w:val="uk-UA"/>
        </w:rPr>
        <w:t>Личанка</w:t>
      </w:r>
      <w:proofErr w:type="spellEnd"/>
      <w:r w:rsidR="00DC4980" w:rsidRPr="00DC4980">
        <w:rPr>
          <w:lang w:val="uk-UA"/>
        </w:rPr>
        <w:t xml:space="preserve"> </w:t>
      </w:r>
      <w:proofErr w:type="spellStart"/>
      <w:r w:rsidR="00DC4980" w:rsidRPr="00DC4980">
        <w:rPr>
          <w:lang w:val="uk-UA"/>
        </w:rPr>
        <w:t>Бучансь</w:t>
      </w:r>
      <w:r w:rsidR="00284F50">
        <w:rPr>
          <w:lang w:val="uk-UA"/>
        </w:rPr>
        <w:t>кого</w:t>
      </w:r>
      <w:proofErr w:type="spellEnd"/>
      <w:r w:rsidR="00284F50">
        <w:rPr>
          <w:lang w:val="uk-UA"/>
        </w:rPr>
        <w:t xml:space="preserve"> району</w:t>
      </w:r>
      <w:r w:rsidR="00DC4980">
        <w:rPr>
          <w:lang w:val="uk-UA"/>
        </w:rPr>
        <w:t xml:space="preserve"> Київської області</w:t>
      </w:r>
      <w:r w:rsidR="00284F50">
        <w:rPr>
          <w:lang w:val="uk-UA"/>
        </w:rPr>
        <w:t>»</w:t>
      </w:r>
      <w:r w:rsidR="00DC4980">
        <w:rPr>
          <w:lang w:val="uk-UA"/>
        </w:rPr>
        <w:t xml:space="preserve"> </w:t>
      </w:r>
      <w:r w:rsidR="00DC4980" w:rsidRPr="00DC4980">
        <w:rPr>
          <w:lang w:val="uk-UA"/>
        </w:rPr>
        <w:t>(на земельних ділянках з кадастровими номерами 3222484601:01:002:0325, 3222484601:01:002:0100, 3222484601:01:002:0218)</w:t>
      </w:r>
      <w:r>
        <w:rPr>
          <w:lang w:val="uk-UA"/>
        </w:rPr>
        <w:t>. Основною метою проєкту є  уточнення планувальної структури і функціонального призначення території, просторової композиції, параметрів забудови та ландшафтної організації, визначення містобудівних умов та обмежень, визначення всіх планувальних обмежень використання території згідно з державними будівельними нормами, визначення параметрів і формування принципів планувальної організації</w:t>
      </w:r>
      <w:r w:rsidR="00DD0A16" w:rsidRPr="00DD0A16">
        <w:rPr>
          <w:lang w:val="uk-UA"/>
        </w:rPr>
        <w:t xml:space="preserve"> адміністративно-офісної забудови</w:t>
      </w:r>
      <w:r>
        <w:rPr>
          <w:lang w:val="uk-UA"/>
        </w:rPr>
        <w:t xml:space="preserve"> та підлягає стратегічній екологічній оцінці. </w:t>
      </w:r>
    </w:p>
    <w:p w14:paraId="59E24A6F" w14:textId="77777777" w:rsidR="00932F3C" w:rsidRDefault="00932F3C">
      <w:pPr>
        <w:shd w:val="clear" w:color="auto" w:fill="FFFFFF"/>
        <w:ind w:right="33"/>
        <w:jc w:val="both"/>
        <w:textAlignment w:val="baseline"/>
        <w:rPr>
          <w:color w:val="000000"/>
          <w:lang w:val="uk-UA"/>
        </w:rPr>
      </w:pPr>
    </w:p>
    <w:p w14:paraId="594E697A" w14:textId="77777777" w:rsidR="00932F3C" w:rsidRDefault="00932F3C">
      <w:pPr>
        <w:shd w:val="clear" w:color="auto" w:fill="FFFFFF"/>
        <w:ind w:right="33"/>
        <w:jc w:val="both"/>
        <w:textAlignment w:val="baseline"/>
        <w:rPr>
          <w:lang w:val="uk-UA"/>
        </w:rPr>
      </w:pPr>
      <w:r>
        <w:rPr>
          <w:b/>
          <w:lang w:val="uk-UA"/>
        </w:rPr>
        <w:t>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14:paraId="30314F67" w14:textId="1DF94411" w:rsidR="00932F3C" w:rsidRPr="00C56A10" w:rsidRDefault="00932F3C" w:rsidP="00B82AB0">
      <w:pPr>
        <w:overflowPunct w:val="0"/>
        <w:autoSpaceDE w:val="0"/>
        <w:spacing w:after="60"/>
        <w:ind w:right="-1"/>
        <w:jc w:val="both"/>
        <w:textAlignment w:val="baseline"/>
        <w:rPr>
          <w:b/>
          <w:lang w:val="uk-UA"/>
        </w:rPr>
      </w:pPr>
      <w:r>
        <w:rPr>
          <w:lang w:val="uk-UA"/>
        </w:rPr>
        <w:t>Відповідно до статті 2 ЗУ «Про стратегічну екологічну оцінку»</w:t>
      </w:r>
      <w:r w:rsidR="00284F50">
        <w:rPr>
          <w:lang w:val="uk-UA"/>
        </w:rPr>
        <w:t>,</w:t>
      </w:r>
      <w:r>
        <w:rPr>
          <w:lang w:val="uk-UA"/>
        </w:rPr>
        <w:t xml:space="preserve"> даний закон регулює відносини у сфері оцінки наслідків для довкілля, у тому числі для здоров'я населення, виконання документів державного планування та поширюється на документи державного планування, які стосуються сільського господарства, лісового господарства, рибного господарства, енергетики, промисловості, транспорту, поводження з відходами, використання водних ресурсів, охорони довкілля, телекомунікацій, туризму, містобудування або землеустрою (схеми) та виконання яких передбачатиме реалізацію видів діяльності (або які містять види діяльності та об'єкти), щодо яких законодавством передбачено здійснення процедури оцінки впливу на довкілля, або які вимагають оцінки, зважаючи на ймовірні наслідки для територій та об'єктів природно-заповідного фонду та екологічної мережі, крім тих, що стосуються створення або розширення територій та об'єктів природно-заповідного фонду. Види планованої діяльності та об'єкти, які можуть мати значний вплив на довкілля та підлягають оцінці впливу на довкілля, визначені ЗУ «Про оцінку впливу на довкілля». </w:t>
      </w:r>
      <w:r w:rsidR="0046251B" w:rsidRPr="00426275">
        <w:rPr>
          <w:lang w:val="uk-UA"/>
        </w:rPr>
        <w:t xml:space="preserve">Для об’єктів господарської діяльності важливим є визначення класу небезпеки та встановлення </w:t>
      </w:r>
      <w:r w:rsidR="0046251B" w:rsidRPr="00C56A10">
        <w:rPr>
          <w:lang w:val="uk-UA"/>
        </w:rPr>
        <w:t xml:space="preserve">розміру санітарно-захисної зони. </w:t>
      </w:r>
      <w:r w:rsidRPr="00C56A10">
        <w:rPr>
          <w:lang w:val="uk-UA"/>
        </w:rPr>
        <w:t>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 третьої. Така планована діяльність підлягає оцінці впливу на довкілля до прийняття рішення пр</w:t>
      </w:r>
      <w:r w:rsidRPr="00045227">
        <w:rPr>
          <w:lang w:val="uk-UA"/>
        </w:rPr>
        <w:t>о провадження планованої діяльності. Так, детальним планом території передбачено</w:t>
      </w:r>
      <w:r w:rsidR="006A1E53">
        <w:rPr>
          <w:lang w:val="uk-UA"/>
        </w:rPr>
        <w:t xml:space="preserve"> </w:t>
      </w:r>
      <w:r w:rsidR="006A1E53" w:rsidRPr="006A1E53">
        <w:rPr>
          <w:lang w:val="uk-UA"/>
        </w:rPr>
        <w:t xml:space="preserve">розташування </w:t>
      </w:r>
      <w:proofErr w:type="spellStart"/>
      <w:r w:rsidR="006A1E53" w:rsidRPr="006A1E53">
        <w:rPr>
          <w:lang w:val="uk-UA"/>
        </w:rPr>
        <w:t>офісно</w:t>
      </w:r>
      <w:proofErr w:type="spellEnd"/>
      <w:r w:rsidR="006A1E53" w:rsidRPr="006A1E53">
        <w:rPr>
          <w:lang w:val="uk-UA"/>
        </w:rPr>
        <w:t xml:space="preserve">-торгівельних приміщень </w:t>
      </w:r>
      <w:r w:rsidR="0046251B" w:rsidRPr="00045227">
        <w:rPr>
          <w:lang w:val="uk-UA"/>
        </w:rPr>
        <w:t>з об’єктами обслуговуван</w:t>
      </w:r>
      <w:r w:rsidR="0046251B" w:rsidRPr="00C56A10">
        <w:rPr>
          <w:lang w:val="uk-UA"/>
        </w:rPr>
        <w:t>ня</w:t>
      </w:r>
      <w:r w:rsidR="0046251B" w:rsidRPr="00C56A10">
        <w:rPr>
          <w:bCs/>
          <w:lang w:val="uk-UA" w:eastAsia="uk-UA"/>
        </w:rPr>
        <w:t>.</w:t>
      </w:r>
    </w:p>
    <w:p w14:paraId="56BB0C9B" w14:textId="77777777" w:rsidR="006E6684" w:rsidRPr="00C56A10" w:rsidRDefault="006E6684">
      <w:pPr>
        <w:shd w:val="clear" w:color="auto" w:fill="FFFFFF"/>
        <w:ind w:right="33"/>
        <w:jc w:val="both"/>
        <w:textAlignment w:val="baseline"/>
        <w:rPr>
          <w:b/>
          <w:lang w:val="uk-UA"/>
        </w:rPr>
      </w:pPr>
    </w:p>
    <w:p w14:paraId="6EBFF357" w14:textId="2F512311" w:rsidR="00932F3C" w:rsidRDefault="00932F3C">
      <w:pPr>
        <w:shd w:val="clear" w:color="auto" w:fill="FFFFFF"/>
        <w:ind w:right="33"/>
        <w:jc w:val="both"/>
        <w:textAlignment w:val="baseline"/>
        <w:rPr>
          <w:lang w:val="uk-UA"/>
        </w:rPr>
      </w:pPr>
      <w:r>
        <w:rPr>
          <w:b/>
          <w:lang w:val="uk-UA"/>
        </w:rPr>
        <w:t>Інформація про ймовірні наслідки: а) для довкілля, у тому числі для здоров’я населення; б) для територій з природоохоронним статусом; в) транскордонні наслідки для довкілля, у тому числі для здоров’я населення</w:t>
      </w:r>
    </w:p>
    <w:p w14:paraId="54E7310A" w14:textId="5CE17F42" w:rsidR="00932F3C" w:rsidRPr="006A1E53" w:rsidRDefault="00932F3C" w:rsidP="006A1E53">
      <w:pPr>
        <w:shd w:val="clear" w:color="auto" w:fill="FFFFFF"/>
        <w:ind w:right="33"/>
        <w:jc w:val="both"/>
        <w:textAlignment w:val="baseline"/>
        <w:rPr>
          <w:bCs/>
          <w:lang w:val="uk-UA"/>
        </w:rPr>
      </w:pPr>
      <w:r>
        <w:rPr>
          <w:lang w:val="uk-UA"/>
        </w:rPr>
        <w:lastRenderedPageBreak/>
        <w:t xml:space="preserve">Детальний план розробляється з урахуванням природно-кліматичних умов, існуючого рельєфу території, особливостей прилеглої території та забудови, з додержанням технологічних і санітарних розривів, з урахуванням взаємозв’язку основних та допоміжних будівель і споруд: а) для довкілля, у тому числі для здоров’я населення: в ході здійснення СЕО мають бути оцінені ймовірні наслідки реалізації документа державного планування </w:t>
      </w:r>
      <w:r w:rsidR="0046251B">
        <w:rPr>
          <w:lang w:val="uk-UA"/>
        </w:rPr>
        <w:t>«</w:t>
      </w:r>
      <w:r w:rsidR="0046251B">
        <w:rPr>
          <w:bCs/>
          <w:lang w:val="uk-UA"/>
        </w:rPr>
        <w:t>Детальний план території</w:t>
      </w:r>
      <w:r w:rsidR="006A1E53" w:rsidRPr="006A1E53">
        <w:rPr>
          <w:lang w:val="uk-UA"/>
        </w:rPr>
        <w:t xml:space="preserve"> </w:t>
      </w:r>
      <w:r w:rsidR="006A1E53" w:rsidRPr="006A1E53">
        <w:rPr>
          <w:bCs/>
          <w:lang w:val="uk-UA"/>
        </w:rPr>
        <w:t xml:space="preserve">для розташування </w:t>
      </w:r>
      <w:proofErr w:type="spellStart"/>
      <w:r w:rsidR="006A1E53" w:rsidRPr="006A1E53">
        <w:rPr>
          <w:bCs/>
          <w:lang w:val="uk-UA"/>
        </w:rPr>
        <w:t>офісно</w:t>
      </w:r>
      <w:proofErr w:type="spellEnd"/>
      <w:r w:rsidR="006A1E53" w:rsidRPr="006A1E53">
        <w:rPr>
          <w:bCs/>
          <w:lang w:val="uk-UA"/>
        </w:rPr>
        <w:t xml:space="preserve">-торгівельних приміщень в селі </w:t>
      </w:r>
      <w:proofErr w:type="spellStart"/>
      <w:r w:rsidR="006A1E53" w:rsidRPr="006A1E53">
        <w:rPr>
          <w:bCs/>
          <w:lang w:val="uk-UA"/>
        </w:rPr>
        <w:t>Личанка</w:t>
      </w:r>
      <w:proofErr w:type="spellEnd"/>
      <w:r w:rsidR="006A1E53" w:rsidRPr="006A1E53">
        <w:rPr>
          <w:bCs/>
          <w:lang w:val="uk-UA"/>
        </w:rPr>
        <w:t xml:space="preserve"> </w:t>
      </w:r>
      <w:proofErr w:type="spellStart"/>
      <w:r w:rsidR="006A1E53" w:rsidRPr="006A1E53">
        <w:rPr>
          <w:bCs/>
          <w:lang w:val="uk-UA"/>
        </w:rPr>
        <w:t>Бучансь</w:t>
      </w:r>
      <w:r w:rsidR="00233783">
        <w:rPr>
          <w:bCs/>
          <w:lang w:val="uk-UA"/>
        </w:rPr>
        <w:t>кого</w:t>
      </w:r>
      <w:proofErr w:type="spellEnd"/>
      <w:r w:rsidR="00233783">
        <w:rPr>
          <w:bCs/>
          <w:lang w:val="uk-UA"/>
        </w:rPr>
        <w:t xml:space="preserve"> району</w:t>
      </w:r>
      <w:r w:rsidR="006A1E53">
        <w:rPr>
          <w:bCs/>
          <w:lang w:val="uk-UA"/>
        </w:rPr>
        <w:t xml:space="preserve"> Київської області» </w:t>
      </w:r>
      <w:r w:rsidR="006A1E53" w:rsidRPr="006A1E53">
        <w:rPr>
          <w:bCs/>
          <w:lang w:val="uk-UA"/>
        </w:rPr>
        <w:t>(на земельних ділянках з кадастровими номерами 3222484601:01:002:0325, 3222484601:01:002:0100, 3222484601:01:002:0218)</w:t>
      </w:r>
      <w:r>
        <w:rPr>
          <w:lang w:val="uk-UA"/>
        </w:rPr>
        <w:t>, мають бути оцінені наслідки для таких компонентів довкілля: ґрунти, атмосферне повітря, водні ресурси, стан біорізноманіття. Під час здійснення СЕО, варто оцінити ймовірні наслідки від об’єктів інфраструктури, що пропонуються, на здоров’я населення. б) для територій з природоохоронним статусом – відсутні. в) транскордонні наслідки для довкілля, у тому числі для здоров’я населення – відсутні.</w:t>
      </w:r>
    </w:p>
    <w:p w14:paraId="44511DC8" w14:textId="77777777" w:rsidR="00932F3C" w:rsidRDefault="00932F3C">
      <w:pPr>
        <w:shd w:val="clear" w:color="auto" w:fill="FFFFFF"/>
        <w:tabs>
          <w:tab w:val="left" w:pos="946"/>
        </w:tabs>
        <w:ind w:right="33"/>
        <w:jc w:val="both"/>
        <w:rPr>
          <w:lang w:val="uk-UA"/>
        </w:rPr>
      </w:pPr>
    </w:p>
    <w:p w14:paraId="76F050A1" w14:textId="77777777" w:rsidR="00932F3C" w:rsidRDefault="00932F3C">
      <w:pPr>
        <w:shd w:val="clear" w:color="auto" w:fill="FFFFFF"/>
        <w:tabs>
          <w:tab w:val="left" w:pos="946"/>
        </w:tabs>
        <w:ind w:right="33"/>
        <w:jc w:val="both"/>
      </w:pPr>
      <w:r>
        <w:rPr>
          <w:b/>
          <w:lang w:val="uk-UA"/>
        </w:rPr>
        <w:t>Виправдані альтернативи, які необхідно розглянути, у тому числі якщо документ державного планування не буде затверджено</w:t>
      </w:r>
    </w:p>
    <w:p w14:paraId="7C521B8F" w14:textId="00D6F31B" w:rsidR="00932F3C" w:rsidRPr="006A1E53" w:rsidRDefault="00932F3C" w:rsidP="006A1E53">
      <w:pPr>
        <w:pStyle w:val="11"/>
        <w:tabs>
          <w:tab w:val="left" w:pos="157"/>
        </w:tabs>
        <w:ind w:right="33"/>
        <w:jc w:val="both"/>
        <w:textAlignment w:val="baseline"/>
        <w:rPr>
          <w:bCs/>
        </w:rPr>
      </w:pPr>
      <w:r>
        <w:t xml:space="preserve">В процесі здійснення стратегічної екологічної оцінки будуть розглянуті наступні альтернативи: Альтернатива 1: «Нульовий сценарій» - тобто опис, прогнозування та оцінка ситуації у випадку незатвердження зазначеного документа державного планування; Альтернатива 2: Затвердження  </w:t>
      </w:r>
      <w:r w:rsidR="0046251B">
        <w:rPr>
          <w:bCs/>
        </w:rPr>
        <w:t>Детального плану території</w:t>
      </w:r>
      <w:r w:rsidR="006A1E53" w:rsidRPr="006A1E53">
        <w:t xml:space="preserve"> </w:t>
      </w:r>
      <w:r w:rsidR="006A1E53" w:rsidRPr="006A1E53">
        <w:rPr>
          <w:bCs/>
        </w:rPr>
        <w:t xml:space="preserve">для розташування </w:t>
      </w:r>
      <w:proofErr w:type="spellStart"/>
      <w:r w:rsidR="006A1E53" w:rsidRPr="006A1E53">
        <w:rPr>
          <w:bCs/>
        </w:rPr>
        <w:t>офісно</w:t>
      </w:r>
      <w:proofErr w:type="spellEnd"/>
      <w:r w:rsidR="006A1E53" w:rsidRPr="006A1E53">
        <w:rPr>
          <w:bCs/>
        </w:rPr>
        <w:t>-торгівельних приміщень в селі Личанка Бучансь</w:t>
      </w:r>
      <w:r w:rsidR="006A1E53">
        <w:rPr>
          <w:bCs/>
        </w:rPr>
        <w:t xml:space="preserve">кого району, Київської області </w:t>
      </w:r>
      <w:r w:rsidR="006A1E53" w:rsidRPr="006A1E53">
        <w:rPr>
          <w:bCs/>
        </w:rPr>
        <w:t>(на земельних ділянках з кадастровими номерами 3222484601:01:002:0325, 3222484601:01:002:0100, 3222484601:01:002:0218)</w:t>
      </w:r>
      <w:r>
        <w:t xml:space="preserve">. Альтернатива 3: </w:t>
      </w:r>
      <w:r w:rsidR="006A1E53">
        <w:t>Т</w:t>
      </w:r>
      <w:r w:rsidR="006A1E53" w:rsidRPr="006930D4">
        <w:rPr>
          <w:rFonts w:eastAsiaTheme="minorHAnsi"/>
          <w:lang w:eastAsia="ru-RU"/>
        </w:rPr>
        <w:t>ериторіальна альтернатива</w:t>
      </w:r>
      <w:r>
        <w:t>.</w:t>
      </w:r>
      <w:r w:rsidR="0046251B">
        <w:t xml:space="preserve"> </w:t>
      </w:r>
      <w:r w:rsidR="0046251B" w:rsidRPr="0047472B">
        <w:t>Обґрунтування вибору вказаних альтернативних сценаріїв буде відображено у Звіті про стратегічну еколог</w:t>
      </w:r>
      <w:r w:rsidR="0046251B" w:rsidRPr="00426275">
        <w:t>ічну оцінку.</w:t>
      </w:r>
    </w:p>
    <w:p w14:paraId="74F82C84" w14:textId="77777777" w:rsidR="00932F3C" w:rsidRDefault="00932F3C">
      <w:pPr>
        <w:pStyle w:val="11"/>
        <w:tabs>
          <w:tab w:val="left" w:pos="157"/>
        </w:tabs>
        <w:spacing w:before="0" w:after="0"/>
        <w:ind w:right="33" w:firstLine="155"/>
        <w:jc w:val="both"/>
        <w:textAlignment w:val="baseline"/>
        <w:rPr>
          <w:highlight w:val="yellow"/>
        </w:rPr>
      </w:pPr>
    </w:p>
    <w:p w14:paraId="6FD0AF9F" w14:textId="77777777" w:rsidR="00932F3C" w:rsidRDefault="00932F3C" w:rsidP="0046251B">
      <w:pPr>
        <w:pStyle w:val="11"/>
        <w:tabs>
          <w:tab w:val="left" w:pos="157"/>
        </w:tabs>
        <w:spacing w:before="0" w:after="0"/>
        <w:ind w:right="33"/>
        <w:jc w:val="both"/>
        <w:textAlignment w:val="baseline"/>
      </w:pPr>
      <w:r>
        <w:rPr>
          <w:b/>
        </w:rPr>
        <w:t>Дослідження, які необхідно провести, методи і критерії, що використовуватимуться під час стратегічної екологічної оцінки</w:t>
      </w:r>
    </w:p>
    <w:p w14:paraId="33EE67B7" w14:textId="77777777" w:rsidR="00932F3C" w:rsidRDefault="00932F3C">
      <w:pPr>
        <w:pStyle w:val="11"/>
        <w:tabs>
          <w:tab w:val="left" w:pos="157"/>
        </w:tabs>
        <w:spacing w:before="0" w:after="0"/>
        <w:ind w:right="33"/>
        <w:jc w:val="both"/>
        <w:textAlignment w:val="baseline"/>
      </w:pPr>
      <w:r>
        <w:t xml:space="preserve">Під час виконання СЕО детального плану території будуть проведені: цільовий аналіз (формування блоку цілей охорони довкілля і подальший аналіз всіх елементів на відповідність цим цілям); SWOT- аналіз (аналіз сильних і слабких сторін з точки зору екологічної ситуації). З метою всебічного дослідження існуючого стану довкілля та стану здоров’я населення будуть використані дані натурних досліджень, моніторингу стану довкілля Департаменту охорони здоров’я Київської ОДА, доповіді про стан довкілля, стан здоров’я населення, статистична інформація тощо. Передбачається: збір та аналіз інформації про поточний стан складових довкілля (атмосферне повітря, водний басейн); проведення досліджень стану атмосферного повітря, шумового тиску транспортних потоків в межах території проєктування; використання методики оцінки впливу рівня забруднення атмосферного повітря на здоров’я населення; проведення консультацій з громадськістю щодо екологічних цілей (процедура громадських обговорень); проведення оцінки впливу на складові довкілля та на стан здоров’я населення. Критерії рівнів забруднення: шумового тиску – рівні звуку відносно допустимих еквівалентних та максимальних; атмосферного повітря відносно гранично допустимих концентрацій забруднюючих речовин. Для здійснення СЕО використовуватимуться зазначені методи, буде проведено аналіз статистичних даних стану довкілля та стану здоров’я населення, у тому числі буде здійснено: а) збір та аналіз інформації про поточний стан складових довкілля, включаючи значення ключових екологічних показників, у тому числі: вибіркові (за територією) дослідження стану атмосферного повітря в межах території проєктування; використання методики оцінки впливу рівня забруднення атмосферного повітря на здоров’я населення; критерії рівнів забруднення довкілля відносно гранично допустимих концентрацій забруднюючих речовин середньодобових (ГДК </w:t>
      </w:r>
      <w:proofErr w:type="spellStart"/>
      <w:r>
        <w:t>с.д</w:t>
      </w:r>
      <w:proofErr w:type="spellEnd"/>
      <w:r>
        <w:t>.); б) проведення аналізу слабких та сильних сторін з точки зору екологічної ситуації; в) проведення консультацій з громадськістю щодо екологічних цілей г) проведення оцінки впливу містобудівної документації на складові довкілля та на стан здоров’я й добробут населення; д) моніторинг фактичного впливу на довкілля.</w:t>
      </w:r>
    </w:p>
    <w:p w14:paraId="5C0DA22F" w14:textId="77777777" w:rsidR="00932F3C" w:rsidRDefault="00932F3C">
      <w:pPr>
        <w:pStyle w:val="11"/>
        <w:tabs>
          <w:tab w:val="left" w:pos="157"/>
        </w:tabs>
        <w:spacing w:before="0" w:after="0"/>
        <w:ind w:right="33"/>
        <w:jc w:val="both"/>
        <w:textAlignment w:val="baseline"/>
      </w:pPr>
    </w:p>
    <w:p w14:paraId="1213C296" w14:textId="77777777" w:rsidR="00932F3C" w:rsidRDefault="00932F3C" w:rsidP="0046251B">
      <w:pPr>
        <w:pStyle w:val="11"/>
        <w:tabs>
          <w:tab w:val="left" w:pos="157"/>
        </w:tabs>
        <w:spacing w:before="0" w:after="0"/>
        <w:ind w:right="33"/>
        <w:jc w:val="both"/>
        <w:textAlignment w:val="baseline"/>
      </w:pPr>
      <w:r>
        <w:rPr>
          <w:b/>
        </w:rPr>
        <w:t>Заходи, які передбачається розглянути для запобігання, зменшення та пом’якшення негативних наслідків виконання документа державного планування</w:t>
      </w:r>
    </w:p>
    <w:p w14:paraId="1B1CC258" w14:textId="77777777" w:rsidR="00932F3C" w:rsidRDefault="00932F3C">
      <w:pPr>
        <w:pStyle w:val="20"/>
        <w:shd w:val="clear" w:color="auto" w:fill="auto"/>
        <w:tabs>
          <w:tab w:val="left" w:pos="157"/>
        </w:tabs>
        <w:spacing w:before="0" w:line="240" w:lineRule="auto"/>
        <w:ind w:right="33"/>
        <w:jc w:val="both"/>
        <w:rPr>
          <w:sz w:val="24"/>
          <w:szCs w:val="24"/>
        </w:rPr>
      </w:pPr>
      <w:r>
        <w:rPr>
          <w:sz w:val="24"/>
          <w:szCs w:val="24"/>
        </w:rPr>
        <w:t xml:space="preserve">Для запобігання негативному впливу на довкілля та здоров'я населення передбачені такі заходи: проведення комплексного благоустрою території, в </w:t>
      </w:r>
      <w:proofErr w:type="spellStart"/>
      <w:r>
        <w:rPr>
          <w:sz w:val="24"/>
          <w:szCs w:val="24"/>
        </w:rPr>
        <w:t>т.ч</w:t>
      </w:r>
      <w:proofErr w:type="spellEnd"/>
      <w:r>
        <w:rPr>
          <w:sz w:val="24"/>
          <w:szCs w:val="24"/>
        </w:rPr>
        <w:t xml:space="preserve">., озеленення території зеленими насадженнями загального та обмеженого користування; заходи щодо забезпечення належного поводження з відходами; операції щодо збирання, зберігання, транспортування та утилізації відходів повинні здійснюватися з дотриманням норм екологічної безпеки та законодавства України, застосування сучасних інженерних технологій при </w:t>
      </w:r>
      <w:proofErr w:type="spellStart"/>
      <w:r>
        <w:rPr>
          <w:sz w:val="24"/>
          <w:szCs w:val="24"/>
        </w:rPr>
        <w:t>проєктуванні</w:t>
      </w:r>
      <w:proofErr w:type="spellEnd"/>
      <w:r>
        <w:rPr>
          <w:sz w:val="24"/>
          <w:szCs w:val="24"/>
        </w:rPr>
        <w:t xml:space="preserve"> інженерних мереж водопостачання та водовідведення тощо.  При </w:t>
      </w:r>
      <w:proofErr w:type="spellStart"/>
      <w:r>
        <w:rPr>
          <w:sz w:val="24"/>
          <w:szCs w:val="24"/>
        </w:rPr>
        <w:t>проєктуванні</w:t>
      </w:r>
      <w:proofErr w:type="spellEnd"/>
      <w:r>
        <w:rPr>
          <w:sz w:val="24"/>
          <w:szCs w:val="24"/>
        </w:rPr>
        <w:t xml:space="preserve"> будуть враховані протипожежні норми та вимоги санітарних норм і правил. На території забороняється розведення вогнищ, спалювання відходів. На всіх етапах реалізації містобудівної документації </w:t>
      </w:r>
      <w:proofErr w:type="spellStart"/>
      <w:r>
        <w:rPr>
          <w:sz w:val="24"/>
          <w:szCs w:val="24"/>
        </w:rPr>
        <w:t>проєктні</w:t>
      </w:r>
      <w:proofErr w:type="spellEnd"/>
      <w:r>
        <w:rPr>
          <w:sz w:val="24"/>
          <w:szCs w:val="24"/>
        </w:rPr>
        <w:t xml:space="preserve"> рішення будуть здійснюватися у відповідності з нормами і правилами охорони навколишнього середовища і вимог екологічної безпеки, в тому числі вимоги Закону України «Про охорону земель»; Закону України «Про охорону навколишнього природного середовища»; Закону України «Про охорону атмосферного повітря» тощо.</w:t>
      </w:r>
    </w:p>
    <w:p w14:paraId="3958793E" w14:textId="77777777" w:rsidR="00932F3C" w:rsidRDefault="00932F3C">
      <w:pPr>
        <w:pStyle w:val="11"/>
        <w:tabs>
          <w:tab w:val="left" w:pos="157"/>
        </w:tabs>
        <w:spacing w:before="0" w:after="0"/>
        <w:ind w:right="33" w:firstLine="155"/>
        <w:jc w:val="both"/>
        <w:textAlignment w:val="baseline"/>
      </w:pPr>
    </w:p>
    <w:p w14:paraId="1230201C" w14:textId="77777777" w:rsidR="00932F3C" w:rsidRDefault="00932F3C">
      <w:pPr>
        <w:pStyle w:val="11"/>
        <w:tabs>
          <w:tab w:val="left" w:pos="157"/>
        </w:tabs>
        <w:spacing w:before="0" w:after="0"/>
        <w:ind w:right="33"/>
        <w:jc w:val="both"/>
        <w:textAlignment w:val="baseline"/>
      </w:pPr>
      <w:r>
        <w:rPr>
          <w:b/>
        </w:rPr>
        <w:t>Пропозиції щодо структури та змісту звіту про стратегічну екологічну оцінку</w:t>
      </w:r>
    </w:p>
    <w:p w14:paraId="5B4C8AD1" w14:textId="77777777" w:rsidR="00932F3C" w:rsidRDefault="00932F3C">
      <w:pPr>
        <w:pStyle w:val="220"/>
        <w:shd w:val="clear" w:color="auto" w:fill="auto"/>
        <w:spacing w:before="0" w:after="0" w:line="240" w:lineRule="auto"/>
        <w:ind w:right="33"/>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rPr>
        <w:t>Звіт про стратегічну екологічну оцінку буде виконано в обсягах, визначених ст. 11 Закону України «Про стратегічну екологічну оцінку», ст.2 Закону України «Про регулювання містобудівної діяльності» з урахуванням наявної публічної інформації (з урахуванням обмеженого доступу на період дії воєнного стану).</w:t>
      </w:r>
    </w:p>
    <w:p w14:paraId="22765A0E" w14:textId="77777777" w:rsidR="00932F3C" w:rsidRDefault="00932F3C">
      <w:pPr>
        <w:pStyle w:val="220"/>
        <w:shd w:val="clear" w:color="auto" w:fill="auto"/>
        <w:spacing w:before="0" w:after="0" w:line="240" w:lineRule="auto"/>
        <w:ind w:right="33"/>
        <w:rPr>
          <w:rFonts w:ascii="Times New Roman" w:eastAsia="Times New Roman" w:hAnsi="Times New Roman" w:cs="Times New Roman"/>
          <w:b/>
          <w:sz w:val="24"/>
          <w:szCs w:val="24"/>
          <w:lang w:eastAsia="ru-RU"/>
        </w:rPr>
      </w:pPr>
    </w:p>
    <w:p w14:paraId="316994AB" w14:textId="77777777" w:rsidR="00932F3C" w:rsidRDefault="00932F3C">
      <w:pPr>
        <w:pStyle w:val="220"/>
        <w:shd w:val="clear" w:color="auto" w:fill="auto"/>
        <w:spacing w:before="0" w:after="0" w:line="240" w:lineRule="auto"/>
        <w:ind w:right="33"/>
      </w:pPr>
      <w:r>
        <w:rPr>
          <w:rFonts w:ascii="Times New Roman" w:eastAsia="Times New Roman" w:hAnsi="Times New Roman" w:cs="Times New Roman"/>
          <w:b/>
          <w:sz w:val="24"/>
          <w:szCs w:val="24"/>
          <w:lang w:eastAsia="ru-RU"/>
        </w:rPr>
        <w:t>Орган, до якого подаються зауваження та пропозиції та строки їх подання</w:t>
      </w:r>
    </w:p>
    <w:p w14:paraId="3A7925D5" w14:textId="77777777" w:rsidR="00932F3C" w:rsidRDefault="00932F3C">
      <w:pPr>
        <w:shd w:val="clear" w:color="auto" w:fill="FFFFFF"/>
        <w:ind w:right="33"/>
        <w:jc w:val="both"/>
        <w:textAlignment w:val="baseline"/>
        <w:rPr>
          <w:color w:val="333333"/>
          <w:sz w:val="22"/>
          <w:szCs w:val="22"/>
          <w:lang w:val="uk-UA"/>
        </w:rPr>
      </w:pPr>
      <w:r>
        <w:rPr>
          <w:lang w:val="uk-UA"/>
        </w:rPr>
        <w:t>Зауваження і пропозиції до заяви про визначення обсягу стратегічної екологічної оцінки надаються до Дмитрівської сільської ради на адресу: 08112, Київська обл., Бучанський р-н, село  Дмитрівка, вул. Садова, 2 та на e-</w:t>
      </w:r>
      <w:proofErr w:type="spellStart"/>
      <w:r>
        <w:rPr>
          <w:lang w:val="uk-UA"/>
        </w:rPr>
        <w:t>mail</w:t>
      </w:r>
      <w:proofErr w:type="spellEnd"/>
      <w:r>
        <w:rPr>
          <w:lang w:val="uk-UA"/>
        </w:rPr>
        <w:t xml:space="preserve">:  </w:t>
      </w:r>
      <w:hyperlink r:id="rId5" w:history="1">
        <w:r>
          <w:rPr>
            <w:rStyle w:val="a6"/>
            <w:bCs/>
            <w:lang w:val="en-US"/>
          </w:rPr>
          <w:t>archi</w:t>
        </w:r>
        <w:r>
          <w:rPr>
            <w:rStyle w:val="a6"/>
            <w:bCs/>
            <w:lang w:val="uk-UA"/>
          </w:rPr>
          <w:t>@dtg.gov.ua</w:t>
        </w:r>
      </w:hyperlink>
    </w:p>
    <w:p w14:paraId="54AD41AE" w14:textId="77777777" w:rsidR="00932F3C" w:rsidRDefault="00932F3C">
      <w:pPr>
        <w:shd w:val="clear" w:color="auto" w:fill="FFFFFF"/>
        <w:ind w:right="33" w:firstLine="155"/>
        <w:textAlignment w:val="baseline"/>
        <w:rPr>
          <w:color w:val="333333"/>
          <w:sz w:val="22"/>
          <w:szCs w:val="22"/>
          <w:lang w:val="uk-UA"/>
        </w:rPr>
      </w:pPr>
    </w:p>
    <w:p w14:paraId="15BDA03B" w14:textId="1E85A037" w:rsidR="00932F3C" w:rsidRDefault="00932F3C">
      <w:pPr>
        <w:pStyle w:val="220"/>
        <w:shd w:val="clear" w:color="auto" w:fill="auto"/>
        <w:spacing w:before="0" w:after="0" w:line="240" w:lineRule="auto"/>
        <w:ind w:right="3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Повідомлення про оприлюднення Заяви про визначення обсягу СЕО:</w:t>
      </w:r>
    </w:p>
    <w:p w14:paraId="07601F19" w14:textId="77777777" w:rsidR="00C61F9E" w:rsidRDefault="00C61F9E">
      <w:pPr>
        <w:pStyle w:val="220"/>
        <w:shd w:val="clear" w:color="auto" w:fill="auto"/>
        <w:spacing w:before="0" w:after="0" w:line="240" w:lineRule="auto"/>
        <w:ind w:right="33"/>
        <w:rPr>
          <w:color w:val="000000"/>
          <w:szCs w:val="24"/>
        </w:rPr>
      </w:pPr>
    </w:p>
    <w:p w14:paraId="26B8C01E" w14:textId="4162364D" w:rsidR="00932F3C" w:rsidRPr="00C61F9E" w:rsidRDefault="00284F50" w:rsidP="00C61F9E">
      <w:pPr>
        <w:pStyle w:val="ae"/>
        <w:ind w:left="0" w:right="33" w:firstLine="0"/>
        <w:rPr>
          <w:rFonts w:eastAsia="Arial"/>
          <w:lang w:eastAsia="uk-UA" w:bidi="uk-UA"/>
        </w:rPr>
      </w:pPr>
      <w:r>
        <w:rPr>
          <w:szCs w:val="24"/>
        </w:rPr>
        <w:t>Відповідно до ч.5 ст.</w:t>
      </w:r>
      <w:r w:rsidR="00932F3C">
        <w:rPr>
          <w:szCs w:val="24"/>
        </w:rPr>
        <w:t>10 Закону України «Про стратегічну екологічну оцінку» строк громадського обговорення (надання пропозицій та зауважень) заяви про визначення обсягу стратегічної екологічної оцінки визначено 10 днів з дня її оприлюднення на офіційному сайті Дмитрівської сільської</w:t>
      </w:r>
      <w:r w:rsidR="00932F3C" w:rsidRPr="000A6A09">
        <w:rPr>
          <w:szCs w:val="24"/>
        </w:rPr>
        <w:t xml:space="preserve"> </w:t>
      </w:r>
      <w:r w:rsidR="00932F3C">
        <w:rPr>
          <w:szCs w:val="24"/>
        </w:rPr>
        <w:t xml:space="preserve">ради https://dtg.gov.ua//.  Відповідно до ч. 6 ст. 10 Закону України «Про стратегічну екологічну оцінку» строк консультацій щодо визначення обсягу стратегічної екологічної оцінки документу державного </w:t>
      </w:r>
      <w:r w:rsidR="00897015">
        <w:rPr>
          <w:szCs w:val="24"/>
        </w:rPr>
        <w:t>планування «</w:t>
      </w:r>
      <w:r w:rsidR="0046251B" w:rsidRPr="00897015">
        <w:rPr>
          <w:szCs w:val="24"/>
        </w:rPr>
        <w:t>Детальний</w:t>
      </w:r>
      <w:r w:rsidR="0046251B" w:rsidRPr="000A6A09">
        <w:rPr>
          <w:szCs w:val="24"/>
        </w:rPr>
        <w:t xml:space="preserve"> план території</w:t>
      </w:r>
      <w:r w:rsidR="000A6A09">
        <w:rPr>
          <w:szCs w:val="24"/>
        </w:rPr>
        <w:t xml:space="preserve"> </w:t>
      </w:r>
      <w:r w:rsidR="00C61F9E" w:rsidRPr="00C61F9E">
        <w:rPr>
          <w:rFonts w:eastAsia="Arial"/>
          <w:lang w:eastAsia="uk-UA" w:bidi="uk-UA"/>
        </w:rPr>
        <w:t xml:space="preserve">для розташування </w:t>
      </w:r>
      <w:proofErr w:type="spellStart"/>
      <w:r w:rsidR="00C61F9E" w:rsidRPr="00C61F9E">
        <w:rPr>
          <w:rFonts w:eastAsia="Arial"/>
          <w:lang w:eastAsia="uk-UA" w:bidi="uk-UA"/>
        </w:rPr>
        <w:t>офісно</w:t>
      </w:r>
      <w:proofErr w:type="spellEnd"/>
      <w:r w:rsidR="00C61F9E" w:rsidRPr="00C61F9E">
        <w:rPr>
          <w:rFonts w:eastAsia="Arial"/>
          <w:lang w:eastAsia="uk-UA" w:bidi="uk-UA"/>
        </w:rPr>
        <w:t>-торгівельних приміщень в селі Личан</w:t>
      </w:r>
      <w:r w:rsidR="00233783">
        <w:rPr>
          <w:rFonts w:eastAsia="Arial"/>
          <w:lang w:eastAsia="uk-UA" w:bidi="uk-UA"/>
        </w:rPr>
        <w:t>ка Бучанського району</w:t>
      </w:r>
      <w:r w:rsidR="00C61F9E" w:rsidRPr="00C61F9E">
        <w:rPr>
          <w:rFonts w:eastAsia="Arial"/>
          <w:lang w:eastAsia="uk-UA" w:bidi="uk-UA"/>
        </w:rPr>
        <w:t xml:space="preserve"> Київської області</w:t>
      </w:r>
      <w:r w:rsidR="00C61F9E">
        <w:rPr>
          <w:rFonts w:eastAsia="Arial"/>
          <w:lang w:eastAsia="uk-UA" w:bidi="uk-UA"/>
        </w:rPr>
        <w:t xml:space="preserve">» </w:t>
      </w:r>
      <w:r w:rsidR="00C61F9E" w:rsidRPr="00C61F9E">
        <w:rPr>
          <w:rFonts w:eastAsia="Arial"/>
          <w:lang w:eastAsia="uk-UA" w:bidi="uk-UA"/>
        </w:rPr>
        <w:t>(на земельних ділянках з кадастровими номерами 3222484601:01:002:0325, 3222484601:01:002:0100, 3222484601:01:002:0218)</w:t>
      </w:r>
      <w:r w:rsidR="00932F3C">
        <w:rPr>
          <w:szCs w:val="24"/>
        </w:rPr>
        <w:t>,</w:t>
      </w:r>
      <w:r w:rsidR="00932F3C" w:rsidRPr="000A6A09">
        <w:rPr>
          <w:szCs w:val="24"/>
        </w:rPr>
        <w:t xml:space="preserve"> </w:t>
      </w:r>
      <w:r w:rsidR="00932F3C">
        <w:rPr>
          <w:szCs w:val="24"/>
        </w:rPr>
        <w:t>передбачено 10 днів з дня отримання органами виконавчої влади такої заяви.</w:t>
      </w:r>
    </w:p>
    <w:p w14:paraId="18AEF9B8" w14:textId="77777777" w:rsidR="00932F3C" w:rsidRDefault="00932F3C" w:rsidP="00C61F9E">
      <w:pPr>
        <w:pStyle w:val="ae"/>
        <w:spacing w:after="0"/>
        <w:ind w:left="0" w:right="33" w:firstLine="0"/>
        <w:rPr>
          <w:szCs w:val="24"/>
        </w:rPr>
      </w:pPr>
    </w:p>
    <w:p w14:paraId="0BAED1E0" w14:textId="021A9FD0" w:rsidR="00932F3C" w:rsidRPr="00B82AB0" w:rsidRDefault="00932F3C">
      <w:pPr>
        <w:ind w:right="33"/>
        <w:jc w:val="both"/>
        <w:rPr>
          <w:lang w:val="uk-UA"/>
        </w:rPr>
      </w:pPr>
      <w:r>
        <w:rPr>
          <w:color w:val="000000"/>
          <w:lang w:val="uk-UA" w:eastAsia="uk-UA" w:bidi="uk-UA"/>
        </w:rPr>
        <w:t xml:space="preserve"> </w:t>
      </w:r>
      <w:r w:rsidR="001309A4">
        <w:rPr>
          <w:color w:val="000000"/>
          <w:lang w:val="uk-UA" w:eastAsia="uk-UA" w:bidi="uk-UA"/>
        </w:rPr>
        <w:t>02.07.2026</w:t>
      </w:r>
      <w:bookmarkStart w:id="0" w:name="_GoBack"/>
      <w:bookmarkEnd w:id="0"/>
    </w:p>
    <w:sectPr w:rsidR="00932F3C" w:rsidRPr="00B82AB0">
      <w:pgSz w:w="11906" w:h="16838"/>
      <w:pgMar w:top="851" w:right="566"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5"/>
    <w:lvl w:ilvl="0">
      <w:start w:val="1"/>
      <w:numFmt w:val="bullet"/>
      <w:pStyle w:val="-1"/>
      <w:lvlText w:val=""/>
      <w:lvlJc w:val="left"/>
      <w:pPr>
        <w:tabs>
          <w:tab w:val="num" w:pos="927"/>
        </w:tabs>
        <w:ind w:left="851" w:hanging="284"/>
      </w:pPr>
      <w:rPr>
        <w:rFonts w:ascii="Symbol" w:hAnsi="Symbol" w:cs="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B49"/>
    <w:rsid w:val="00045227"/>
    <w:rsid w:val="000A6A09"/>
    <w:rsid w:val="001309A4"/>
    <w:rsid w:val="002108A8"/>
    <w:rsid w:val="00233783"/>
    <w:rsid w:val="00284F50"/>
    <w:rsid w:val="0029296C"/>
    <w:rsid w:val="003201A1"/>
    <w:rsid w:val="0046251B"/>
    <w:rsid w:val="006A1E53"/>
    <w:rsid w:val="006E6684"/>
    <w:rsid w:val="0074424E"/>
    <w:rsid w:val="00840E47"/>
    <w:rsid w:val="008434E2"/>
    <w:rsid w:val="00897015"/>
    <w:rsid w:val="00932F3C"/>
    <w:rsid w:val="009E2858"/>
    <w:rsid w:val="00AC0798"/>
    <w:rsid w:val="00B6273F"/>
    <w:rsid w:val="00B82AB0"/>
    <w:rsid w:val="00C56A10"/>
    <w:rsid w:val="00C61F9E"/>
    <w:rsid w:val="00D63638"/>
    <w:rsid w:val="00DC4980"/>
    <w:rsid w:val="00DD0A16"/>
    <w:rsid w:val="00DF3310"/>
    <w:rsid w:val="00F55C43"/>
    <w:rsid w:val="00F822E9"/>
    <w:rsid w:val="00F90C8F"/>
    <w:rsid w:val="00FF6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749AB5A"/>
  <w15:chartTrackingRefBased/>
  <w15:docId w15:val="{7CF0AE1D-2688-D343-B5BC-E3B1947DA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3">
    <w:name w:val="heading 3"/>
    <w:basedOn w:val="a"/>
    <w:next w:val="a0"/>
    <w:qFormat/>
    <w:pPr>
      <w:numPr>
        <w:ilvl w:val="2"/>
        <w:numId w:val="1"/>
      </w:numPr>
      <w:spacing w:before="280" w:after="280"/>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Wingdings" w:hAnsi="Wingdings" w:cs="Wingdings" w:hint="default"/>
      <w:sz w:val="20"/>
    </w:rPr>
  </w:style>
  <w:style w:type="character" w:customStyle="1" w:styleId="WW8Num2z0">
    <w:name w:val="WW8Num2z0"/>
    <w:rPr>
      <w:rFonts w:ascii="Wingdings" w:hAnsi="Wingdings" w:cs="Wingdings" w:hint="default"/>
      <w:sz w:val="20"/>
    </w:rPr>
  </w:style>
  <w:style w:type="character" w:customStyle="1" w:styleId="WW8Num3z0">
    <w:name w:val="WW8Num3z0"/>
    <w:rPr>
      <w:rFonts w:hint="default"/>
    </w:rPr>
  </w:style>
  <w:style w:type="character" w:customStyle="1" w:styleId="WW8Num4z0">
    <w:name w:val="WW8Num4z0"/>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uk-UA" w:bidi="uk-UA"/>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uk-UA" w:bidi="uk-UA"/>
    </w:rPr>
  </w:style>
  <w:style w:type="character" w:customStyle="1" w:styleId="1">
    <w:name w:val="Основной шрифт абзаца1"/>
  </w:style>
  <w:style w:type="character" w:customStyle="1" w:styleId="a4">
    <w:name w:val="Текст выноски Знак"/>
    <w:rPr>
      <w:rFonts w:ascii="Tahoma" w:eastAsia="Times New Roman" w:hAnsi="Tahoma" w:cs="Tahoma"/>
      <w:sz w:val="16"/>
      <w:szCs w:val="16"/>
    </w:rPr>
  </w:style>
  <w:style w:type="character" w:customStyle="1" w:styleId="2">
    <w:name w:val="Основной текст (2)_"/>
    <w:rPr>
      <w:rFonts w:ascii="Times New Roman" w:eastAsia="Times New Roman" w:hAnsi="Times New Roman" w:cs="Times New Roman"/>
      <w:sz w:val="28"/>
      <w:szCs w:val="28"/>
      <w:shd w:val="clear" w:color="auto" w:fill="FFFFFF"/>
    </w:rPr>
  </w:style>
  <w:style w:type="character" w:styleId="a5">
    <w:name w:val="Emphasis"/>
    <w:qFormat/>
    <w:rPr>
      <w:i/>
      <w:iCs/>
    </w:rPr>
  </w:style>
  <w:style w:type="character" w:styleId="a6">
    <w:name w:val="Hyperlink"/>
    <w:rPr>
      <w:color w:val="0066CC"/>
      <w:u w:val="single"/>
    </w:rPr>
  </w:style>
  <w:style w:type="character" w:customStyle="1" w:styleId="210pt">
    <w:name w:val="Основной текст (2) + 10 p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shd w:val="clear" w:color="auto" w:fill="FFFFFF"/>
      <w:vertAlign w:val="baseline"/>
      <w:lang w:val="uk-UA" w:bidi="uk-UA"/>
    </w:rPr>
  </w:style>
  <w:style w:type="character" w:customStyle="1" w:styleId="210pt0">
    <w:name w:val="Основной текст (2) + 10 pt;Полужирный"/>
    <w:rPr>
      <w:rFonts w:ascii="Times New Roman" w:eastAsia="Times New Roman" w:hAnsi="Times New Roman" w:cs="Times New Roman"/>
      <w:b/>
      <w:bCs/>
      <w:i w:val="0"/>
      <w:iCs w:val="0"/>
      <w:caps w:val="0"/>
      <w:smallCaps w:val="0"/>
      <w:strike w:val="0"/>
      <w:dstrike w:val="0"/>
      <w:color w:val="000000"/>
      <w:spacing w:val="0"/>
      <w:w w:val="100"/>
      <w:position w:val="0"/>
      <w:sz w:val="20"/>
      <w:szCs w:val="20"/>
      <w:u w:val="none"/>
      <w:shd w:val="clear" w:color="auto" w:fill="FFFFFF"/>
      <w:vertAlign w:val="baseline"/>
      <w:lang w:val="uk-UA" w:bidi="uk-UA"/>
    </w:rPr>
  </w:style>
  <w:style w:type="character" w:customStyle="1" w:styleId="a7">
    <w:name w:val="Колонтитул"/>
    <w:rPr>
      <w:rFonts w:ascii="Times New Roman" w:eastAsia="Times New Roman" w:hAnsi="Times New Roman" w:cs="Times New Roman"/>
      <w:b w:val="0"/>
      <w:bCs w:val="0"/>
      <w:i w:val="0"/>
      <w:iCs w:val="0"/>
      <w:caps w:val="0"/>
      <w:smallCaps w:val="0"/>
      <w:strike w:val="0"/>
      <w:dstrike w:val="0"/>
      <w:color w:val="000000"/>
      <w:spacing w:val="0"/>
      <w:w w:val="100"/>
      <w:position w:val="0"/>
      <w:sz w:val="8"/>
      <w:szCs w:val="8"/>
      <w:u w:val="none"/>
      <w:vertAlign w:val="baseline"/>
      <w:lang w:val="ru-RU" w:bidi="ru-RU"/>
    </w:rPr>
  </w:style>
  <w:style w:type="character" w:customStyle="1" w:styleId="a8">
    <w:name w:val="проект текст Т Знак"/>
    <w:rPr>
      <w:rFonts w:ascii="Times New Roman" w:eastAsia="Times New Roman" w:hAnsi="Times New Roman" w:cs="Times New Roman"/>
      <w:color w:val="000000"/>
      <w:sz w:val="24"/>
      <w:lang w:val="uk-UA"/>
    </w:rPr>
  </w:style>
  <w:style w:type="character" w:customStyle="1" w:styleId="30">
    <w:name w:val="Заголовок 3 Знак"/>
    <w:rPr>
      <w:rFonts w:ascii="Times New Roman" w:eastAsia="Times New Roman" w:hAnsi="Times New Roman" w:cs="Times New Roman"/>
      <w:b/>
      <w:bCs/>
      <w:sz w:val="27"/>
      <w:szCs w:val="27"/>
    </w:rPr>
  </w:style>
  <w:style w:type="character" w:customStyle="1" w:styleId="a9">
    <w:name w:val="Основной текст Знак"/>
    <w:rPr>
      <w:rFonts w:ascii="Times New Roman" w:eastAsia="Times New Roman" w:hAnsi="Times New Roman" w:cs="Times New Roman"/>
      <w:sz w:val="28"/>
      <w:lang w:val="uk-UA"/>
    </w:rPr>
  </w:style>
  <w:style w:type="character" w:customStyle="1" w:styleId="22">
    <w:name w:val="Заголовок №2 (2)_"/>
    <w:rPr>
      <w:rFonts w:ascii="Arial" w:eastAsia="Arial" w:hAnsi="Arial" w:cs="Arial"/>
      <w:sz w:val="21"/>
      <w:szCs w:val="21"/>
      <w:shd w:val="clear" w:color="auto" w:fill="FFFFFF"/>
    </w:rPr>
  </w:style>
  <w:style w:type="paragraph" w:customStyle="1" w:styleId="10">
    <w:name w:val="Заголовок1"/>
    <w:basedOn w:val="a"/>
    <w:next w:val="a0"/>
    <w:pPr>
      <w:keepNext/>
      <w:spacing w:before="240" w:after="120"/>
    </w:pPr>
    <w:rPr>
      <w:rFonts w:ascii="Liberation Sans" w:eastAsia="Microsoft YaHei" w:hAnsi="Liberation Sans" w:cs="Arial"/>
      <w:sz w:val="28"/>
      <w:szCs w:val="28"/>
    </w:rPr>
  </w:style>
  <w:style w:type="paragraph" w:styleId="a0">
    <w:name w:val="Body Text"/>
    <w:basedOn w:val="a"/>
    <w:pPr>
      <w:jc w:val="both"/>
    </w:pPr>
    <w:rPr>
      <w:sz w:val="28"/>
      <w:szCs w:val="20"/>
      <w:lang w:val="uk-UA"/>
    </w:rPr>
  </w:style>
  <w:style w:type="paragraph" w:styleId="aa">
    <w:name w:val="List"/>
    <w:basedOn w:val="a0"/>
    <w:rPr>
      <w:rFonts w:cs="Arial"/>
    </w:rPr>
  </w:style>
  <w:style w:type="paragraph" w:styleId="ab">
    <w:name w:val="caption"/>
    <w:basedOn w:val="a"/>
    <w:qFormat/>
    <w:pPr>
      <w:suppressLineNumbers/>
      <w:spacing w:before="120" w:after="120"/>
    </w:pPr>
    <w:rPr>
      <w:rFonts w:cs="Arial"/>
      <w:i/>
      <w:iCs/>
    </w:rPr>
  </w:style>
  <w:style w:type="paragraph" w:customStyle="1" w:styleId="ac">
    <w:name w:val="Покажчик"/>
    <w:basedOn w:val="a"/>
    <w:pPr>
      <w:suppressLineNumbers/>
    </w:pPr>
    <w:rPr>
      <w:rFonts w:cs="Arial"/>
    </w:rPr>
  </w:style>
  <w:style w:type="paragraph" w:styleId="ad">
    <w:name w:val="Balloon Text"/>
    <w:basedOn w:val="a"/>
    <w:rPr>
      <w:rFonts w:ascii="Tahoma" w:hAnsi="Tahoma" w:cs="Tahoma"/>
      <w:sz w:val="16"/>
      <w:szCs w:val="16"/>
    </w:rPr>
  </w:style>
  <w:style w:type="paragraph" w:customStyle="1" w:styleId="20">
    <w:name w:val="Основной текст (2)"/>
    <w:basedOn w:val="a"/>
    <w:pPr>
      <w:widowControl w:val="0"/>
      <w:shd w:val="clear" w:color="auto" w:fill="FFFFFF"/>
      <w:spacing w:before="2460" w:line="331" w:lineRule="exact"/>
      <w:jc w:val="center"/>
    </w:pPr>
    <w:rPr>
      <w:sz w:val="28"/>
      <w:szCs w:val="28"/>
      <w:lang w:val="uk-UA"/>
    </w:rPr>
  </w:style>
  <w:style w:type="paragraph" w:customStyle="1" w:styleId="11">
    <w:name w:val="Обычный (веб)1"/>
    <w:basedOn w:val="a"/>
    <w:pPr>
      <w:spacing w:before="280" w:after="280"/>
    </w:pPr>
    <w:rPr>
      <w:lang w:val="uk-UA"/>
    </w:rPr>
  </w:style>
  <w:style w:type="paragraph" w:customStyle="1" w:styleId="ae">
    <w:name w:val="проект текст Т"/>
    <w:basedOn w:val="a"/>
    <w:pPr>
      <w:overflowPunct w:val="0"/>
      <w:autoSpaceDE w:val="0"/>
      <w:spacing w:after="60"/>
      <w:ind w:left="568" w:right="548" w:firstLine="567"/>
      <w:jc w:val="both"/>
      <w:textAlignment w:val="baseline"/>
    </w:pPr>
    <w:rPr>
      <w:color w:val="000000"/>
      <w:szCs w:val="20"/>
      <w:lang w:val="uk-UA"/>
    </w:rPr>
  </w:style>
  <w:style w:type="paragraph" w:customStyle="1" w:styleId="21">
    <w:name w:val="Основний текст 21"/>
    <w:basedOn w:val="a"/>
    <w:pPr>
      <w:overflowPunct w:val="0"/>
      <w:autoSpaceDE w:val="0"/>
      <w:jc w:val="center"/>
      <w:textAlignment w:val="baseline"/>
    </w:pPr>
    <w:rPr>
      <w:szCs w:val="20"/>
      <w:lang w:val="uk-UA"/>
    </w:rPr>
  </w:style>
  <w:style w:type="paragraph" w:customStyle="1" w:styleId="af">
    <w:name w:val="Знак"/>
    <w:basedOn w:val="a"/>
    <w:rPr>
      <w:rFonts w:ascii="Verdana" w:hAnsi="Verdana" w:cs="Verdana"/>
      <w:sz w:val="20"/>
      <w:szCs w:val="20"/>
      <w:lang w:val="en-US"/>
    </w:rPr>
  </w:style>
  <w:style w:type="paragraph" w:customStyle="1" w:styleId="-1">
    <w:name w:val="проект-список1"/>
    <w:basedOn w:val="a"/>
    <w:pPr>
      <w:numPr>
        <w:numId w:val="2"/>
      </w:numPr>
      <w:tabs>
        <w:tab w:val="left" w:pos="851"/>
      </w:tabs>
      <w:overflowPunct w:val="0"/>
      <w:autoSpaceDE w:val="0"/>
      <w:spacing w:after="20"/>
      <w:jc w:val="both"/>
      <w:textAlignment w:val="baseline"/>
    </w:pPr>
    <w:rPr>
      <w:rFonts w:eastAsia="MS Mincho"/>
      <w:szCs w:val="20"/>
      <w:lang w:val="uk-UA"/>
    </w:rPr>
  </w:style>
  <w:style w:type="paragraph" w:customStyle="1" w:styleId="oaeno">
    <w:name w:val="oaeno"/>
    <w:basedOn w:val="a"/>
    <w:pPr>
      <w:overflowPunct w:val="0"/>
      <w:autoSpaceDE w:val="0"/>
      <w:spacing w:after="60"/>
      <w:ind w:firstLine="567"/>
      <w:jc w:val="both"/>
      <w:textAlignment w:val="baseline"/>
    </w:pPr>
  </w:style>
  <w:style w:type="paragraph" w:customStyle="1" w:styleId="220">
    <w:name w:val="Заголовок №2 (2)"/>
    <w:basedOn w:val="a"/>
    <w:pPr>
      <w:widowControl w:val="0"/>
      <w:shd w:val="clear" w:color="auto" w:fill="FFFFFF"/>
      <w:spacing w:before="180" w:after="60" w:line="0" w:lineRule="atLeast"/>
      <w:jc w:val="both"/>
      <w:outlineLvl w:val="1"/>
    </w:pPr>
    <w:rPr>
      <w:rFonts w:ascii="Arial" w:eastAsia="Arial" w:hAnsi="Arial" w:cs="Arial"/>
      <w:sz w:val="21"/>
      <w:szCs w:val="21"/>
      <w:lang w:val="uk-UA"/>
    </w:rPr>
  </w:style>
  <w:style w:type="paragraph" w:styleId="af0">
    <w:name w:val="List Paragraph"/>
    <w:basedOn w:val="a"/>
    <w:qFormat/>
    <w:pPr>
      <w:ind w:left="720"/>
      <w:contextualSpacing/>
    </w:pPr>
    <w:rPr>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rchi@dtg.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7189</Words>
  <Characters>4098</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13</cp:revision>
  <cp:lastPrinted>2023-09-25T07:45:00Z</cp:lastPrinted>
  <dcterms:created xsi:type="dcterms:W3CDTF">2025-09-22T11:32:00Z</dcterms:created>
  <dcterms:modified xsi:type="dcterms:W3CDTF">2026-07-02T14:08:00Z</dcterms:modified>
</cp:coreProperties>
</file>