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FE3D1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  <w:t>References</w:t>
      </w:r>
    </w:p>
    <w:p w14:paraId="55BAB909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</w:pPr>
    </w:p>
    <w:p w14:paraId="02FDDCB2" w14:textId="731C149E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  <w:t>Books</w:t>
      </w:r>
    </w:p>
    <w:p w14:paraId="3AAB7AFA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</w:pPr>
    </w:p>
    <w:p w14:paraId="43DE6296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>Bloomberg, L. D. (2021). </w:t>
      </w:r>
      <w:r w:rsidRPr="009B4595">
        <w:rPr>
          <w:rFonts w:asciiTheme="minorHAnsi" w:hAnsiTheme="minorHAnsi" w:cstheme="minorHAnsi"/>
          <w:i/>
          <w:iCs/>
          <w:szCs w:val="20"/>
        </w:rPr>
        <w:t>Designing and delivering effective online instruction: How to engage adult learners.</w:t>
      </w:r>
      <w:r w:rsidRPr="009B4595">
        <w:rPr>
          <w:rFonts w:asciiTheme="minorHAnsi" w:hAnsiTheme="minorHAnsi" w:cstheme="minorHAnsi"/>
          <w:szCs w:val="20"/>
        </w:rPr>
        <w:t> Teachers College Press.</w:t>
      </w:r>
    </w:p>
    <w:p w14:paraId="039D47F6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3BBFF149" w14:textId="1941927B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Dirksen, J. (2016). </w:t>
      </w:r>
      <w:r w:rsidRPr="009B4595">
        <w:rPr>
          <w:rFonts w:asciiTheme="minorHAnsi" w:hAnsiTheme="minorHAnsi" w:cstheme="minorHAnsi"/>
          <w:i/>
          <w:iCs/>
          <w:szCs w:val="20"/>
        </w:rPr>
        <w:t>Design for how people learn</w:t>
      </w:r>
      <w:r w:rsidRPr="009B4595">
        <w:rPr>
          <w:rFonts w:asciiTheme="minorHAnsi" w:hAnsiTheme="minorHAnsi" w:cstheme="minorHAnsi"/>
          <w:szCs w:val="20"/>
        </w:rPr>
        <w:t xml:space="preserve"> (2nd ed.). New Riders.</w:t>
      </w:r>
    </w:p>
    <w:p w14:paraId="28D2D847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730B14FE" w14:textId="0CEE30CD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Dirksen, J. (2023). </w:t>
      </w:r>
      <w:r w:rsidRPr="009B4595">
        <w:rPr>
          <w:rFonts w:asciiTheme="minorHAnsi" w:hAnsiTheme="minorHAnsi" w:cstheme="minorHAnsi"/>
          <w:i/>
          <w:iCs/>
          <w:szCs w:val="20"/>
        </w:rPr>
        <w:t>Talk to the elephant: Design learning for behavior change</w:t>
      </w:r>
      <w:r w:rsidRPr="009B4595">
        <w:rPr>
          <w:rFonts w:asciiTheme="minorHAnsi" w:hAnsiTheme="minorHAnsi" w:cstheme="minorHAnsi"/>
          <w:szCs w:val="20"/>
        </w:rPr>
        <w:t>. New Riders.</w:t>
      </w:r>
    </w:p>
    <w:p w14:paraId="0B313F33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1F1EB208" w14:textId="4870A5F3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Li, F.-F. (2023). </w:t>
      </w:r>
      <w:r w:rsidRPr="009B4595">
        <w:rPr>
          <w:rFonts w:asciiTheme="minorHAnsi" w:hAnsiTheme="minorHAnsi" w:cstheme="minorHAnsi"/>
          <w:i/>
          <w:iCs/>
          <w:szCs w:val="20"/>
        </w:rPr>
        <w:t>The worlds I see: Curiosity, exploration, and discovery at the dawn of AI</w:t>
      </w:r>
      <w:r w:rsidRPr="009B4595">
        <w:rPr>
          <w:rFonts w:asciiTheme="minorHAnsi" w:hAnsiTheme="minorHAnsi" w:cstheme="minorHAnsi"/>
          <w:szCs w:val="20"/>
        </w:rPr>
        <w:t>. Flatiron Books.</w:t>
      </w:r>
    </w:p>
    <w:p w14:paraId="37C224FC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2613842F" w14:textId="1794EAD2" w:rsid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Miao, F., </w:t>
      </w:r>
      <w:proofErr w:type="spellStart"/>
      <w:r w:rsidRPr="009B4595">
        <w:rPr>
          <w:rFonts w:asciiTheme="minorHAnsi" w:hAnsiTheme="minorHAnsi" w:cstheme="minorHAnsi"/>
          <w:szCs w:val="20"/>
        </w:rPr>
        <w:t>Shiohira</w:t>
      </w:r>
      <w:proofErr w:type="spellEnd"/>
      <w:r w:rsidRPr="009B4595">
        <w:rPr>
          <w:rFonts w:asciiTheme="minorHAnsi" w:hAnsiTheme="minorHAnsi" w:cstheme="minorHAnsi"/>
          <w:szCs w:val="20"/>
        </w:rPr>
        <w:t xml:space="preserve">, K., &amp; Lao, N. (2024). </w:t>
      </w:r>
      <w:r w:rsidRPr="009B4595">
        <w:rPr>
          <w:rFonts w:asciiTheme="minorHAnsi" w:hAnsiTheme="minorHAnsi" w:cstheme="minorHAnsi"/>
          <w:i/>
          <w:iCs/>
          <w:szCs w:val="20"/>
        </w:rPr>
        <w:t>AI competency framework for students</w:t>
      </w:r>
      <w:r w:rsidRPr="009B4595">
        <w:rPr>
          <w:rFonts w:asciiTheme="minorHAnsi" w:hAnsiTheme="minorHAnsi" w:cstheme="minorHAnsi"/>
          <w:szCs w:val="20"/>
        </w:rPr>
        <w:t xml:space="preserve">. UNESCO.  </w:t>
      </w:r>
      <w:hyperlink r:id="rId5" w:history="1">
        <w:r w:rsidRPr="003D2375">
          <w:rPr>
            <w:rStyle w:val="Hyperlink"/>
            <w:rFonts w:asciiTheme="minorHAnsi" w:hAnsiTheme="minorHAnsi" w:cstheme="minorHAnsi"/>
            <w:szCs w:val="20"/>
          </w:rPr>
          <w:t>https://unesdoc.unesco.org/ark:/48223/pf0000391105</w:t>
        </w:r>
      </w:hyperlink>
    </w:p>
    <w:p w14:paraId="17B5B55F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55C2D40B" w14:textId="77777777" w:rsidR="009B4595" w:rsidRPr="009B4595" w:rsidRDefault="009B4595" w:rsidP="009B4595">
      <w:pPr>
        <w:rPr>
          <w:rStyle w:val="Hyperlink"/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Miao, F., &amp; </w:t>
      </w:r>
      <w:proofErr w:type="spellStart"/>
      <w:r w:rsidRPr="009B4595">
        <w:rPr>
          <w:rFonts w:asciiTheme="minorHAnsi" w:hAnsiTheme="minorHAnsi" w:cstheme="minorHAnsi"/>
          <w:szCs w:val="20"/>
        </w:rPr>
        <w:t>Çukurova</w:t>
      </w:r>
      <w:proofErr w:type="spellEnd"/>
      <w:r w:rsidRPr="009B4595">
        <w:rPr>
          <w:rFonts w:asciiTheme="minorHAnsi" w:hAnsiTheme="minorHAnsi" w:cstheme="minorHAnsi"/>
          <w:szCs w:val="20"/>
        </w:rPr>
        <w:t xml:space="preserve">, M. (2024). </w:t>
      </w:r>
      <w:r w:rsidRPr="009B4595">
        <w:rPr>
          <w:rFonts w:asciiTheme="minorHAnsi" w:hAnsiTheme="minorHAnsi" w:cstheme="minorHAnsi"/>
          <w:i/>
          <w:iCs/>
          <w:szCs w:val="20"/>
        </w:rPr>
        <w:t>AI competency framework for teachers</w:t>
      </w:r>
      <w:r w:rsidRPr="009B4595">
        <w:rPr>
          <w:rFonts w:asciiTheme="minorHAnsi" w:hAnsiTheme="minorHAnsi" w:cstheme="minorHAnsi"/>
          <w:szCs w:val="20"/>
        </w:rPr>
        <w:t xml:space="preserve">. UNESCO. </w:t>
      </w:r>
      <w:hyperlink r:id="rId6" w:history="1">
        <w:r w:rsidRPr="009B4595">
          <w:rPr>
            <w:rStyle w:val="Hyperlink"/>
            <w:rFonts w:asciiTheme="minorHAnsi" w:hAnsiTheme="minorHAnsi" w:cstheme="minorHAnsi"/>
            <w:szCs w:val="20"/>
          </w:rPr>
          <w:t>https://unesdoc.unesco.org/ark:/48223/pf0000391104</w:t>
        </w:r>
      </w:hyperlink>
    </w:p>
    <w:p w14:paraId="18FC674C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7B5242CB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North, C. (2024). </w:t>
      </w:r>
      <w:r w:rsidRPr="009B4595">
        <w:rPr>
          <w:rFonts w:asciiTheme="minorHAnsi" w:hAnsiTheme="minorHAnsi" w:cstheme="minorHAnsi"/>
          <w:i/>
          <w:iCs/>
          <w:szCs w:val="20"/>
        </w:rPr>
        <w:t>Learning experience design essentials</w:t>
      </w:r>
      <w:r w:rsidRPr="009B4595">
        <w:rPr>
          <w:rFonts w:asciiTheme="minorHAnsi" w:hAnsiTheme="minorHAnsi" w:cstheme="minorHAnsi"/>
          <w:szCs w:val="20"/>
        </w:rPr>
        <w:t>. ATD Press.</w:t>
      </w:r>
    </w:p>
    <w:p w14:paraId="1DD95996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49D558C8" w14:textId="09AF95C2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Seel, N. M., Lehmann, T., </w:t>
      </w: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Blumschein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P., &amp; </w:t>
      </w: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Podolskiy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O. A. (2017).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Instructional design for learning.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 Sense</w:t>
      </w:r>
      <w:r w:rsidR="006530A6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 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Publishers.</w:t>
      </w:r>
    </w:p>
    <w:p w14:paraId="117F0714" w14:textId="77777777" w:rsidR="006530A6" w:rsidRDefault="006530A6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0B9EC455" w14:textId="4C796DE6" w:rsidR="003F096E" w:rsidRDefault="003F096E" w:rsidP="003F096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3F096E">
        <w:rPr>
          <w:rFonts w:asciiTheme="minorHAnsi" w:eastAsiaTheme="minorHAnsi" w:hAnsiTheme="minorHAnsi" w:cstheme="minorHAnsi"/>
          <w:kern w:val="0"/>
          <w:szCs w:val="20"/>
          <w:lang w:eastAsia="en-US"/>
        </w:rPr>
        <w:t>Tyler, R. W. (1949). Basic principles of curriculum and instruction. Chicago: University of</w:t>
      </w:r>
      <w:r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 </w:t>
      </w:r>
      <w:r w:rsidRPr="003F096E">
        <w:rPr>
          <w:rFonts w:asciiTheme="minorHAnsi" w:eastAsiaTheme="minorHAnsi" w:hAnsiTheme="minorHAnsi" w:cstheme="minorHAnsi"/>
          <w:kern w:val="0"/>
          <w:szCs w:val="20"/>
          <w:lang w:eastAsia="en-US"/>
        </w:rPr>
        <w:t>Chicago Press.</w:t>
      </w:r>
    </w:p>
    <w:p w14:paraId="734144E0" w14:textId="77777777" w:rsidR="003F096E" w:rsidRPr="009B4595" w:rsidRDefault="003F096E" w:rsidP="003F096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364EA270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Quinn, C. (2021). </w:t>
      </w:r>
      <w:r w:rsidRPr="009B4595">
        <w:rPr>
          <w:rFonts w:asciiTheme="minorHAnsi" w:hAnsiTheme="minorHAnsi" w:cstheme="minorHAnsi"/>
          <w:i/>
          <w:iCs/>
          <w:szCs w:val="20"/>
        </w:rPr>
        <w:t>Learning science for instructional designers</w:t>
      </w:r>
      <w:r w:rsidRPr="009B4595">
        <w:rPr>
          <w:rFonts w:asciiTheme="minorHAnsi" w:hAnsiTheme="minorHAnsi" w:cstheme="minorHAnsi"/>
          <w:szCs w:val="20"/>
        </w:rPr>
        <w:t>. ATD Press.</w:t>
      </w:r>
    </w:p>
    <w:p w14:paraId="01BA7F74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6AB833AB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Wiggins, G., &amp; McTighe, J. (1998). </w:t>
      </w:r>
      <w:r w:rsidRPr="009B4595">
        <w:rPr>
          <w:rFonts w:asciiTheme="minorHAnsi" w:hAnsiTheme="minorHAnsi" w:cstheme="minorHAnsi"/>
          <w:i/>
          <w:iCs/>
          <w:szCs w:val="20"/>
        </w:rPr>
        <w:t>Understanding by design</w:t>
      </w:r>
      <w:r w:rsidRPr="009B4595">
        <w:rPr>
          <w:rFonts w:asciiTheme="minorHAnsi" w:hAnsiTheme="minorHAnsi" w:cstheme="minorHAnsi"/>
          <w:szCs w:val="20"/>
        </w:rPr>
        <w:t>. ASCD.</w:t>
      </w:r>
    </w:p>
    <w:p w14:paraId="1BDC71EB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42083B8A" w14:textId="77777777" w:rsidR="0000173E" w:rsidRPr="009B4595" w:rsidRDefault="0000173E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2E42CC1B" w14:textId="5B56A6CD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  <w:t>Articles</w:t>
      </w:r>
      <w:r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  <w:t xml:space="preserve"> / Videos</w:t>
      </w:r>
    </w:p>
    <w:p w14:paraId="157CF3C9" w14:textId="77777777" w:rsidR="0000173E" w:rsidRDefault="0000173E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kern w:val="0"/>
          <w:szCs w:val="20"/>
          <w:lang w:eastAsia="en-US"/>
        </w:rPr>
      </w:pPr>
    </w:p>
    <w:p w14:paraId="3BE33305" w14:textId="18F9CAF4" w:rsidR="0012764E" w:rsidRPr="0012764E" w:rsidRDefault="0012764E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12764E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Ananya. (2024). AI image generators often give racist and sexist results: can they be fixed? </w:t>
      </w:r>
      <w:r w:rsidRPr="0012764E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Nature (London)</w:t>
      </w:r>
      <w:r w:rsidRPr="0012764E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</w:t>
      </w:r>
      <w:r w:rsidRPr="0012764E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627</w:t>
      </w:r>
      <w:r w:rsidRPr="0012764E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(8005), 722–725. https://doi.org/10.1038/d41586-024-00674-9 </w:t>
      </w:r>
    </w:p>
    <w:p w14:paraId="069890D4" w14:textId="77777777" w:rsidR="0012764E" w:rsidRPr="0012764E" w:rsidRDefault="0012764E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32563280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Ashford-Rowe, K., Herrington, J., &amp; Brown, C. (2014). Establishing the critical elements that determine authentic assessment.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Assessment &amp; Evaluation in Higher Education, 39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(2), 205–222.</w:t>
      </w:r>
    </w:p>
    <w:p w14:paraId="76581F64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3C41C4D1" w14:textId="115CDB4F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>
        <w:rPr>
          <w:rFonts w:asciiTheme="minorHAnsi" w:eastAsiaTheme="minorHAnsi" w:hAnsiTheme="minorHAnsi" w:cstheme="minorHAnsi"/>
          <w:kern w:val="0"/>
          <w:szCs w:val="20"/>
          <w:lang w:eastAsia="en-US"/>
        </w:rPr>
        <w:t>B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oettcher, J. V. (2007). Ten core principles for designing effective learning environments: Insights from brain research and pedagogical theory.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Innovate, 3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(3).</w:t>
      </w:r>
    </w:p>
    <w:p w14:paraId="33C7989C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224D8F9C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Boud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D., &amp; Soler, R. (2016). Sustainable assessment revisited.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Assessment &amp; Evaluation in Higher Education, 41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(3), 400–413.</w:t>
      </w:r>
    </w:p>
    <w:p w14:paraId="40EE131E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75F353F1" w14:textId="686B2A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Charlotte-Mecklenburg Schools. (2025, April). Shaping the District’s Vision for Artificial Intelligence (AI). </w:t>
      </w:r>
      <w:r w:rsidRPr="003F096E">
        <w:rPr>
          <w:rFonts w:asciiTheme="minorHAnsi" w:hAnsiTheme="minorHAnsi" w:cstheme="minorHAnsi"/>
          <w:szCs w:val="20"/>
        </w:rPr>
        <w:t xml:space="preserve">AI Vision Report. </w:t>
      </w:r>
      <w:hyperlink r:id="rId7" w:history="1">
        <w:r w:rsidRPr="009B4595">
          <w:rPr>
            <w:rStyle w:val="Hyperlink"/>
            <w:rFonts w:asciiTheme="minorHAnsi" w:hAnsiTheme="minorHAnsi" w:cstheme="minorHAnsi"/>
            <w:szCs w:val="20"/>
          </w:rPr>
          <w:t>https://www.cmsk12.org/domain/7952</w:t>
        </w:r>
      </w:hyperlink>
    </w:p>
    <w:p w14:paraId="5446F137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1EA9F260" w14:textId="2F33562F" w:rsid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Costley, J., </w:t>
      </w:r>
      <w:proofErr w:type="spellStart"/>
      <w:r w:rsidRPr="009B4595">
        <w:rPr>
          <w:rFonts w:asciiTheme="minorHAnsi" w:hAnsiTheme="minorHAnsi" w:cstheme="minorHAnsi"/>
          <w:szCs w:val="20"/>
        </w:rPr>
        <w:t>Fanguy</w:t>
      </w:r>
      <w:proofErr w:type="spellEnd"/>
      <w:r w:rsidRPr="009B4595">
        <w:rPr>
          <w:rFonts w:asciiTheme="minorHAnsi" w:hAnsiTheme="minorHAnsi" w:cstheme="minorHAnsi"/>
          <w:szCs w:val="20"/>
        </w:rPr>
        <w:t xml:space="preserve">, M., </w:t>
      </w:r>
      <w:proofErr w:type="spellStart"/>
      <w:r w:rsidRPr="009B4595">
        <w:rPr>
          <w:rFonts w:asciiTheme="minorHAnsi" w:hAnsiTheme="minorHAnsi" w:cstheme="minorHAnsi"/>
          <w:szCs w:val="20"/>
        </w:rPr>
        <w:t>Ruoqi</w:t>
      </w:r>
      <w:proofErr w:type="spellEnd"/>
      <w:r w:rsidRPr="009B4595">
        <w:rPr>
          <w:rFonts w:asciiTheme="minorHAnsi" w:hAnsiTheme="minorHAnsi" w:cstheme="minorHAnsi"/>
          <w:szCs w:val="20"/>
        </w:rPr>
        <w:t xml:space="preserve"> Cao, HZ., &amp; Southam, A. (2022). How the COI framework explains the online discussion patterns in a flipped course. Innovations in Education and Teaching International, DOI: 10.1080/14703297.2022.2130392</w:t>
      </w:r>
    </w:p>
    <w:p w14:paraId="03173351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</w:p>
    <w:p w14:paraId="148B1829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lastRenderedPageBreak/>
        <w:t xml:space="preserve">Davis, S. (2014, May 13). Using Bloom’s taxonomy to write learning outcomes.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Pearson Education Blog.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 </w:t>
      </w:r>
      <w:hyperlink r:id="rId8" w:history="1">
        <w:r w:rsidRPr="009B4595">
          <w:rPr>
            <w:rFonts w:asciiTheme="minorHAnsi" w:eastAsiaTheme="minorHAnsi" w:hAnsiTheme="minorHAnsi" w:cstheme="minorHAnsi"/>
            <w:color w:val="0000E9"/>
            <w:kern w:val="0"/>
            <w:szCs w:val="20"/>
            <w:u w:val="single" w:color="0000E9"/>
            <w:lang w:eastAsia="en-US"/>
          </w:rPr>
          <w:t>https://www.pearsoned.com/using-blooms-taxonomy-to-write-learning-outcomes/</w:t>
        </w:r>
      </w:hyperlink>
    </w:p>
    <w:p w14:paraId="01953AAF" w14:textId="77777777" w:rsidR="006530A6" w:rsidRPr="009B4595" w:rsidRDefault="006530A6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22082076" w14:textId="77777777" w:rsidR="003F4654" w:rsidRPr="003F4654" w:rsidRDefault="003F4654" w:rsidP="003F4654">
      <w:pPr>
        <w:rPr>
          <w:rFonts w:asciiTheme="minorHAnsi" w:hAnsiTheme="minorHAnsi" w:cstheme="minorHAnsi"/>
          <w:szCs w:val="20"/>
        </w:rPr>
      </w:pPr>
      <w:r w:rsidRPr="003F4654">
        <w:rPr>
          <w:rFonts w:asciiTheme="minorHAnsi" w:hAnsiTheme="minorHAnsi" w:cstheme="minorHAnsi"/>
          <w:szCs w:val="20"/>
        </w:rPr>
        <w:t xml:space="preserve">Dewey, J. (1897). My Pedagogic Creed. The School Journal, </w:t>
      </w:r>
      <w:proofErr w:type="gramStart"/>
      <w:r w:rsidRPr="003F4654">
        <w:rPr>
          <w:rFonts w:asciiTheme="minorHAnsi" w:hAnsiTheme="minorHAnsi" w:cstheme="minorHAnsi"/>
          <w:szCs w:val="20"/>
        </w:rPr>
        <w:t>LIV(</w:t>
      </w:r>
      <w:proofErr w:type="gramEnd"/>
      <w:r w:rsidRPr="003F4654">
        <w:rPr>
          <w:rFonts w:asciiTheme="minorHAnsi" w:hAnsiTheme="minorHAnsi" w:cstheme="minorHAnsi"/>
          <w:szCs w:val="20"/>
        </w:rPr>
        <w:t>3). Also in Flinders, D.J. &amp; Thornton,</w:t>
      </w:r>
    </w:p>
    <w:p w14:paraId="2CD2257C" w14:textId="77777777" w:rsidR="003F4654" w:rsidRPr="003F4654" w:rsidRDefault="003F4654" w:rsidP="003F4654">
      <w:pPr>
        <w:rPr>
          <w:rFonts w:asciiTheme="minorHAnsi" w:hAnsiTheme="minorHAnsi" w:cstheme="minorHAnsi"/>
          <w:szCs w:val="20"/>
        </w:rPr>
      </w:pPr>
      <w:r w:rsidRPr="003F4654">
        <w:rPr>
          <w:rFonts w:asciiTheme="minorHAnsi" w:hAnsiTheme="minorHAnsi" w:cstheme="minorHAnsi"/>
          <w:szCs w:val="20"/>
        </w:rPr>
        <w:t>S.J. (Eds.) (2017). My Pedagogic Creed (Dewey). The Curriculum Studies Reader, 5th edition.</w:t>
      </w:r>
    </w:p>
    <w:p w14:paraId="0241EDC1" w14:textId="14F4DEFD" w:rsidR="003F4654" w:rsidRDefault="003F4654" w:rsidP="003F4654">
      <w:pPr>
        <w:rPr>
          <w:rFonts w:asciiTheme="minorHAnsi" w:hAnsiTheme="minorHAnsi" w:cstheme="minorHAnsi"/>
          <w:szCs w:val="20"/>
        </w:rPr>
      </w:pPr>
      <w:r w:rsidRPr="003F4654">
        <w:rPr>
          <w:rFonts w:asciiTheme="minorHAnsi" w:hAnsiTheme="minorHAnsi" w:cstheme="minorHAnsi"/>
          <w:szCs w:val="20"/>
        </w:rPr>
        <w:t>New York: Routledge. pp. 33-40.</w:t>
      </w:r>
    </w:p>
    <w:p w14:paraId="7C2DC038" w14:textId="77777777" w:rsidR="003F4654" w:rsidRDefault="003F4654" w:rsidP="003F4654">
      <w:pPr>
        <w:rPr>
          <w:rFonts w:asciiTheme="minorHAnsi" w:hAnsiTheme="minorHAnsi" w:cstheme="minorHAnsi"/>
          <w:szCs w:val="20"/>
        </w:rPr>
      </w:pPr>
    </w:p>
    <w:p w14:paraId="46BEFC8D" w14:textId="42DBB880" w:rsidR="009B4595" w:rsidRPr="003F096E" w:rsidRDefault="009B4595" w:rsidP="009B4595">
      <w:pPr>
        <w:rPr>
          <w:rStyle w:val="Hyperlink"/>
          <w:rFonts w:asciiTheme="minorHAnsi" w:hAnsiTheme="minorHAnsi" w:cstheme="minorHAnsi"/>
          <w:szCs w:val="20"/>
          <w:lang w:val="es-ES"/>
        </w:rPr>
      </w:pPr>
      <w:r w:rsidRPr="009B4595">
        <w:rPr>
          <w:rFonts w:asciiTheme="minorHAnsi" w:hAnsiTheme="minorHAnsi" w:cstheme="minorHAnsi"/>
          <w:szCs w:val="20"/>
        </w:rPr>
        <w:t xml:space="preserve">Dignum, V. (2021). ‘The role and challenges of education for responsible AI’. </w:t>
      </w:r>
      <w:r w:rsidRPr="003F096E">
        <w:rPr>
          <w:rFonts w:asciiTheme="minorHAnsi" w:hAnsiTheme="minorHAnsi" w:cstheme="minorHAnsi"/>
          <w:szCs w:val="20"/>
          <w:lang w:val="es-ES"/>
        </w:rPr>
        <w:t xml:space="preserve">London </w:t>
      </w:r>
      <w:proofErr w:type="spellStart"/>
      <w:r w:rsidRPr="003F096E">
        <w:rPr>
          <w:rFonts w:asciiTheme="minorHAnsi" w:hAnsiTheme="minorHAnsi" w:cstheme="minorHAnsi"/>
          <w:szCs w:val="20"/>
          <w:lang w:val="es-ES"/>
        </w:rPr>
        <w:t>Review</w:t>
      </w:r>
      <w:proofErr w:type="spellEnd"/>
      <w:r w:rsidRPr="003F096E">
        <w:rPr>
          <w:rFonts w:asciiTheme="minorHAnsi" w:hAnsiTheme="minorHAnsi" w:cstheme="minorHAnsi"/>
          <w:szCs w:val="20"/>
          <w:lang w:val="es-ES"/>
        </w:rPr>
        <w:t xml:space="preserve"> </w:t>
      </w:r>
      <w:proofErr w:type="spellStart"/>
      <w:r w:rsidRPr="003F096E">
        <w:rPr>
          <w:rFonts w:asciiTheme="minorHAnsi" w:hAnsiTheme="minorHAnsi" w:cstheme="minorHAnsi"/>
          <w:szCs w:val="20"/>
          <w:lang w:val="es-ES"/>
        </w:rPr>
        <w:t>of</w:t>
      </w:r>
      <w:proofErr w:type="spellEnd"/>
      <w:r w:rsidRPr="003F096E">
        <w:rPr>
          <w:rFonts w:asciiTheme="minorHAnsi" w:hAnsiTheme="minorHAnsi" w:cstheme="minorHAnsi"/>
          <w:szCs w:val="20"/>
          <w:lang w:val="es-ES"/>
        </w:rPr>
        <w:t xml:space="preserve"> </w:t>
      </w:r>
      <w:proofErr w:type="spellStart"/>
      <w:r w:rsidRPr="003F096E">
        <w:rPr>
          <w:rFonts w:asciiTheme="minorHAnsi" w:hAnsiTheme="minorHAnsi" w:cstheme="minorHAnsi"/>
          <w:szCs w:val="20"/>
          <w:lang w:val="es-ES"/>
        </w:rPr>
        <w:t>Education</w:t>
      </w:r>
      <w:proofErr w:type="spellEnd"/>
      <w:r w:rsidRPr="003F096E">
        <w:rPr>
          <w:rFonts w:asciiTheme="minorHAnsi" w:hAnsiTheme="minorHAnsi" w:cstheme="minorHAnsi"/>
          <w:szCs w:val="20"/>
          <w:lang w:val="es-ES"/>
        </w:rPr>
        <w:t xml:space="preserve">, 19 (1), 1, 1–11. </w:t>
      </w:r>
      <w:hyperlink r:id="rId9" w:history="1">
        <w:r w:rsidRPr="003F096E">
          <w:rPr>
            <w:rStyle w:val="Hyperlink"/>
            <w:rFonts w:asciiTheme="minorHAnsi" w:hAnsiTheme="minorHAnsi" w:cstheme="minorHAnsi"/>
            <w:szCs w:val="20"/>
            <w:lang w:val="es-ES"/>
          </w:rPr>
          <w:t>https://doi.org/10.14324/LRE.19.1.01</w:t>
        </w:r>
      </w:hyperlink>
    </w:p>
    <w:p w14:paraId="4C5FC603" w14:textId="77777777" w:rsidR="009B4595" w:rsidRPr="003F096E" w:rsidRDefault="009B4595" w:rsidP="009B4595">
      <w:pPr>
        <w:rPr>
          <w:rFonts w:asciiTheme="minorHAnsi" w:hAnsiTheme="minorHAnsi" w:cstheme="minorHAnsi"/>
          <w:color w:val="0563C1" w:themeColor="hyperlink"/>
          <w:szCs w:val="20"/>
          <w:u w:val="single"/>
          <w:lang w:val="es-ES"/>
        </w:rPr>
      </w:pPr>
    </w:p>
    <w:p w14:paraId="372A911F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val="es-ES" w:eastAsia="en-US"/>
        </w:rPr>
        <w:t xml:space="preserve">Domínguez, A., </w:t>
      </w: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val="es-ES" w:eastAsia="en-US"/>
        </w:rPr>
        <w:t>Saenz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val="es-ES" w:eastAsia="en-US"/>
        </w:rPr>
        <w:t xml:space="preserve">-De-Navarrete, J., De-Marcos, L., Fernández-Sanz, L., Pagés, C., &amp; Martínez-Herráiz, J. J. (2013). 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Gamifying learning experiences: Practical implications and outcomes.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Computers &amp; Education, 63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, 380–392.</w:t>
      </w:r>
    </w:p>
    <w:p w14:paraId="704BDDE3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73772D5E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Ertmer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P. A., &amp; Newby, T. J. (1993). Behaviorism, cognitivism, constructivism: Comparing critical features from an instructional design perspective.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Performance Improvement Quarterly, 6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(4), 50–72.</w:t>
      </w:r>
    </w:p>
    <w:p w14:paraId="6E26F55C" w14:textId="77777777" w:rsidR="006530A6" w:rsidRPr="009B4595" w:rsidRDefault="006530A6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17509BB9" w14:textId="2A32DF9E" w:rsidR="009B4595" w:rsidRDefault="009B4595" w:rsidP="009B4595">
      <w:pPr>
        <w:rPr>
          <w:rStyle w:val="Hyperlink"/>
          <w:rFonts w:asciiTheme="minorHAnsi" w:hAnsiTheme="minorHAnsi" w:cstheme="minorHAnsi"/>
          <w:szCs w:val="20"/>
        </w:rPr>
      </w:pPr>
      <w:proofErr w:type="spellStart"/>
      <w:r w:rsidRPr="009B4595">
        <w:rPr>
          <w:rFonts w:asciiTheme="minorHAnsi" w:hAnsiTheme="minorHAnsi" w:cstheme="minorHAnsi"/>
          <w:szCs w:val="20"/>
        </w:rPr>
        <w:t>Gerlich</w:t>
      </w:r>
      <w:proofErr w:type="spellEnd"/>
      <w:r w:rsidRPr="009B4595">
        <w:rPr>
          <w:rFonts w:asciiTheme="minorHAnsi" w:hAnsiTheme="minorHAnsi" w:cstheme="minorHAnsi"/>
          <w:szCs w:val="20"/>
        </w:rPr>
        <w:t xml:space="preserve">, M. (2025). AI tools in society: Impacts on cognitive offloading and the future of critical thinking. </w:t>
      </w:r>
      <w:r w:rsidRPr="009B4595">
        <w:rPr>
          <w:rFonts w:asciiTheme="minorHAnsi" w:hAnsiTheme="minorHAnsi" w:cstheme="minorHAnsi"/>
          <w:i/>
          <w:iCs/>
          <w:szCs w:val="20"/>
        </w:rPr>
        <w:t>Societies</w:t>
      </w:r>
      <w:r w:rsidRPr="009B4595">
        <w:rPr>
          <w:rFonts w:asciiTheme="minorHAnsi" w:hAnsiTheme="minorHAnsi" w:cstheme="minorHAnsi"/>
          <w:szCs w:val="20"/>
        </w:rPr>
        <w:t xml:space="preserve">, </w:t>
      </w:r>
      <w:r w:rsidRPr="009B4595">
        <w:rPr>
          <w:rFonts w:asciiTheme="minorHAnsi" w:hAnsiTheme="minorHAnsi" w:cstheme="minorHAnsi"/>
          <w:i/>
          <w:iCs/>
          <w:szCs w:val="20"/>
        </w:rPr>
        <w:t>15</w:t>
      </w:r>
      <w:r w:rsidRPr="009B4595">
        <w:rPr>
          <w:rFonts w:asciiTheme="minorHAnsi" w:hAnsiTheme="minorHAnsi" w:cstheme="minorHAnsi"/>
          <w:szCs w:val="20"/>
        </w:rPr>
        <w:t xml:space="preserve">(1), 6. </w:t>
      </w:r>
      <w:hyperlink r:id="rId10" w:tgtFrame="_blank" w:history="1">
        <w:r w:rsidRPr="009B4595">
          <w:rPr>
            <w:rStyle w:val="Hyperlink"/>
            <w:rFonts w:asciiTheme="minorHAnsi" w:hAnsiTheme="minorHAnsi" w:cstheme="minorHAnsi"/>
            <w:szCs w:val="20"/>
          </w:rPr>
          <w:t>https://doi.org/10.3390/soc15010006</w:t>
        </w:r>
      </w:hyperlink>
    </w:p>
    <w:p w14:paraId="0764013F" w14:textId="77777777" w:rsidR="009B4595" w:rsidRPr="009B4595" w:rsidRDefault="009B4595" w:rsidP="009B4595">
      <w:pPr>
        <w:rPr>
          <w:rFonts w:asciiTheme="minorHAnsi" w:hAnsiTheme="minorHAnsi" w:cstheme="minorHAnsi"/>
          <w:color w:val="0563C1" w:themeColor="hyperlink"/>
          <w:szCs w:val="20"/>
          <w:u w:val="single"/>
        </w:rPr>
      </w:pPr>
    </w:p>
    <w:p w14:paraId="3E14678F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Graham, C. R. (2006). Blended learning systems. In C. J. Bonk &amp; C. R. Graham (Eds.),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The handbook of blended learning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 (pp. 3–21). Pfeiffer Publishing.</w:t>
      </w:r>
    </w:p>
    <w:p w14:paraId="1E71AAEE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38BB2C95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Horn, M. &amp; </w:t>
      </w:r>
      <w:proofErr w:type="spellStart"/>
      <w:r w:rsidRPr="009B4595">
        <w:rPr>
          <w:rFonts w:asciiTheme="minorHAnsi" w:hAnsiTheme="minorHAnsi" w:cstheme="minorHAnsi"/>
          <w:szCs w:val="20"/>
        </w:rPr>
        <w:t>Staker</w:t>
      </w:r>
      <w:proofErr w:type="spellEnd"/>
      <w:r w:rsidRPr="009B4595">
        <w:rPr>
          <w:rFonts w:asciiTheme="minorHAnsi" w:hAnsiTheme="minorHAnsi" w:cstheme="minorHAnsi"/>
          <w:szCs w:val="20"/>
        </w:rPr>
        <w:t xml:space="preserve">, H. (2012, May). Classifying K–12 Blended Learning. </w:t>
      </w:r>
      <w:proofErr w:type="spellStart"/>
      <w:r w:rsidRPr="009B4595">
        <w:rPr>
          <w:rFonts w:asciiTheme="minorHAnsi" w:hAnsiTheme="minorHAnsi" w:cstheme="minorHAnsi"/>
          <w:szCs w:val="20"/>
        </w:rPr>
        <w:t>Innosight</w:t>
      </w:r>
      <w:proofErr w:type="spellEnd"/>
      <w:r w:rsidRPr="009B4595">
        <w:rPr>
          <w:rFonts w:asciiTheme="minorHAnsi" w:hAnsiTheme="minorHAnsi" w:cstheme="minorHAnsi"/>
          <w:szCs w:val="20"/>
        </w:rPr>
        <w:t xml:space="preserve"> Institute. </w:t>
      </w:r>
    </w:p>
    <w:p w14:paraId="3AF7350E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2FD5AEE5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Hodges, C., Moore, S., </w:t>
      </w: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Lockee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B., Trust, T., &amp; Bond, A. (2020). The difference between emergency remote teaching and online learning.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Educause Review, 27.</w:t>
      </w:r>
    </w:p>
    <w:p w14:paraId="35F59C64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33A347C8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Hung, A. C. Y. (2017). A critique and defense of gamification.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Journal of Interactive Online Learning, 15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(1), 57–72.</w:t>
      </w:r>
    </w:p>
    <w:p w14:paraId="28120A2C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1A058D2A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Hung, D., </w:t>
      </w: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Bopry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J., </w:t>
      </w: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Looi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C.-K., &amp; Seng Koh, T. (2007). Situated cognition and beyond. In J. L. Kincheloe &amp; R. A. Horn (Eds.),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The Praeger handbook of education and psychology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 (Vol. 1, pp. 709–716). Greenwood Publishing Group.</w:t>
      </w:r>
    </w:p>
    <w:p w14:paraId="0D52A815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62053F00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Karagiorgi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Y., &amp; </w:t>
      </w: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Symeou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L. (2005). Translating constructivism into instructional design: Potential and limitations.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Educational Technology &amp; Society, 8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(1), 17–27.</w:t>
      </w:r>
    </w:p>
    <w:p w14:paraId="20C25A48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7E4ECC6C" w14:textId="77777777" w:rsidR="009B4595" w:rsidRPr="003F096E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Kreijns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K., Kirschner, P. A., &amp; Vermeulen, M. (2013). Social aspects of CSCL environments: A research framework. </w:t>
      </w:r>
      <w:r w:rsidRPr="003F096E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Educational Psychologist, 48</w:t>
      </w:r>
      <w:r w:rsidRPr="003F096E">
        <w:rPr>
          <w:rFonts w:asciiTheme="minorHAnsi" w:eastAsiaTheme="minorHAnsi" w:hAnsiTheme="minorHAnsi" w:cstheme="minorHAnsi"/>
          <w:kern w:val="0"/>
          <w:szCs w:val="20"/>
          <w:lang w:eastAsia="en-US"/>
        </w:rPr>
        <w:t>(4), 229–242.</w:t>
      </w:r>
    </w:p>
    <w:p w14:paraId="4BA7BB9E" w14:textId="77777777" w:rsidR="009B4595" w:rsidRPr="003F096E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53B09617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Lee, S. M. (2014). The relationships between higher order thinking skills, cognitive density, and social presence in online learning.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The Internet and Higher Education, 21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, 41–52.</w:t>
      </w:r>
    </w:p>
    <w:p w14:paraId="5FBA0B58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52CCCCEE" w14:textId="1417CBFD" w:rsidR="0012764E" w:rsidRDefault="0012764E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12764E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Long, D., &amp; </w:t>
      </w:r>
      <w:proofErr w:type="spellStart"/>
      <w:r w:rsidRPr="0012764E">
        <w:rPr>
          <w:rFonts w:asciiTheme="minorHAnsi" w:eastAsiaTheme="minorHAnsi" w:hAnsiTheme="minorHAnsi" w:cstheme="minorHAnsi"/>
          <w:kern w:val="0"/>
          <w:szCs w:val="20"/>
          <w:lang w:eastAsia="en-US"/>
        </w:rPr>
        <w:t>Magerko</w:t>
      </w:r>
      <w:proofErr w:type="spellEnd"/>
      <w:r w:rsidRPr="0012764E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B. (2020). What is AI literacy? Competencies and design considerations. </w:t>
      </w:r>
      <w:r w:rsidRPr="0012764E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Proceedings of the 2020 CHI Conference on Human Factors in Computing Systems</w:t>
      </w:r>
      <w:r w:rsidRPr="0012764E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598–598. </w:t>
      </w:r>
      <w:hyperlink r:id="rId11" w:history="1">
        <w:r w:rsidRPr="003D2375">
          <w:rPr>
            <w:rStyle w:val="Hyperlink"/>
            <w:rFonts w:asciiTheme="minorHAnsi" w:eastAsiaTheme="minorHAnsi" w:hAnsiTheme="minorHAnsi" w:cstheme="minorHAnsi"/>
            <w:kern w:val="0"/>
            <w:szCs w:val="20"/>
            <w:lang w:eastAsia="en-US"/>
          </w:rPr>
          <w:t>https://doi.org/10.1145/3313831.3376727</w:t>
        </w:r>
      </w:hyperlink>
    </w:p>
    <w:p w14:paraId="6846A912" w14:textId="77777777" w:rsidR="0012764E" w:rsidRPr="009B4595" w:rsidRDefault="0012764E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387ACDB8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</w:pP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Lulee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S. T. (2011). Basic principles of interaction for learning in web-based environment.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EDUCAUSE Blogs.</w:t>
      </w:r>
    </w:p>
    <w:p w14:paraId="61588129" w14:textId="77777777" w:rsidR="0000173E" w:rsidRPr="009B4595" w:rsidRDefault="0000173E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69BFA8FE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McIver, D., Fitzsimmons, S., &amp; Flanagan, D. (2016). Instructional design as knowledge management: A knowledge-in-practice approach to choosing instructional methods.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Journal of Management Education, 40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(1), 47–75.</w:t>
      </w:r>
    </w:p>
    <w:p w14:paraId="6ACB4828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20E81F39" w14:textId="17D0F05C" w:rsidR="009B4595" w:rsidRDefault="009B4595" w:rsidP="009B4595">
      <w:pPr>
        <w:rPr>
          <w:rFonts w:asciiTheme="minorHAnsi" w:hAnsiTheme="minorHAnsi" w:cstheme="minorHAnsi"/>
          <w:color w:val="000000" w:themeColor="text1"/>
          <w:szCs w:val="20"/>
        </w:rPr>
      </w:pPr>
      <w:proofErr w:type="spellStart"/>
      <w:r w:rsidRPr="009B4595">
        <w:rPr>
          <w:rStyle w:val="Hyperlink"/>
          <w:rFonts w:asciiTheme="minorHAnsi" w:hAnsiTheme="minorHAnsi" w:cstheme="minorHAnsi"/>
          <w:color w:val="000000" w:themeColor="text1"/>
          <w:szCs w:val="20"/>
        </w:rPr>
        <w:t>Mollick</w:t>
      </w:r>
      <w:proofErr w:type="spellEnd"/>
      <w:r w:rsidRPr="009B4595">
        <w:rPr>
          <w:rStyle w:val="Hyperlink"/>
          <w:rFonts w:asciiTheme="minorHAnsi" w:hAnsiTheme="minorHAnsi" w:cstheme="minorHAnsi"/>
          <w:color w:val="000000" w:themeColor="text1"/>
          <w:szCs w:val="20"/>
        </w:rPr>
        <w:t xml:space="preserve">, E. (2024, May 29). </w:t>
      </w:r>
      <w:r w:rsidRPr="009B4595">
        <w:rPr>
          <w:rFonts w:asciiTheme="minorHAnsi" w:hAnsiTheme="minorHAnsi" w:cstheme="minorHAnsi"/>
          <w:color w:val="000000" w:themeColor="text1"/>
          <w:szCs w:val="20"/>
        </w:rPr>
        <w:t xml:space="preserve">Wharton professor: 4 scenarios for AI’s future. Big Think+. YouTube. </w:t>
      </w:r>
      <w:hyperlink r:id="rId12" w:history="1">
        <w:r w:rsidRPr="003D2375">
          <w:rPr>
            <w:rStyle w:val="Hyperlink"/>
            <w:rFonts w:asciiTheme="minorHAnsi" w:hAnsiTheme="minorHAnsi" w:cstheme="minorHAnsi"/>
            <w:szCs w:val="20"/>
          </w:rPr>
          <w:t>https://www.youtube.com/watch?v=d4f1jqb3Yis</w:t>
        </w:r>
      </w:hyperlink>
    </w:p>
    <w:p w14:paraId="673F1AC9" w14:textId="77777777" w:rsidR="009B4595" w:rsidRPr="009B4595" w:rsidRDefault="009B4595" w:rsidP="009B4595">
      <w:pPr>
        <w:rPr>
          <w:rStyle w:val="Hyperlink"/>
          <w:rFonts w:asciiTheme="minorHAnsi" w:hAnsiTheme="minorHAnsi" w:cstheme="minorHAnsi"/>
          <w:color w:val="000000" w:themeColor="text1"/>
          <w:szCs w:val="20"/>
        </w:rPr>
      </w:pPr>
    </w:p>
    <w:p w14:paraId="47380750" w14:textId="77777777" w:rsidR="009B4595" w:rsidRPr="009B4595" w:rsidRDefault="009B4595" w:rsidP="009B4595">
      <w:pPr>
        <w:rPr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lastRenderedPageBreak/>
        <w:t>Nieto-</w:t>
      </w:r>
      <w:proofErr w:type="spellStart"/>
      <w:r w:rsidRPr="009B4595">
        <w:rPr>
          <w:rFonts w:asciiTheme="minorHAnsi" w:hAnsiTheme="minorHAnsi" w:cstheme="minorHAnsi"/>
          <w:szCs w:val="20"/>
        </w:rPr>
        <w:t>Escamez</w:t>
      </w:r>
      <w:proofErr w:type="spellEnd"/>
      <w:r w:rsidRPr="009B4595">
        <w:rPr>
          <w:rFonts w:asciiTheme="minorHAnsi" w:hAnsiTheme="minorHAnsi" w:cstheme="minorHAnsi"/>
          <w:szCs w:val="20"/>
        </w:rPr>
        <w:t xml:space="preserve">, F. A., &amp; </w:t>
      </w:r>
      <w:proofErr w:type="spellStart"/>
      <w:r w:rsidRPr="009B4595">
        <w:rPr>
          <w:rFonts w:asciiTheme="minorHAnsi" w:hAnsiTheme="minorHAnsi" w:cstheme="minorHAnsi"/>
          <w:szCs w:val="20"/>
        </w:rPr>
        <w:t>Roldán</w:t>
      </w:r>
      <w:proofErr w:type="spellEnd"/>
      <w:r w:rsidRPr="009B4595">
        <w:rPr>
          <w:rFonts w:asciiTheme="minorHAnsi" w:hAnsiTheme="minorHAnsi" w:cstheme="minorHAnsi"/>
          <w:szCs w:val="20"/>
        </w:rPr>
        <w:t>-Tapia, M. D. (2021). Gamification as online teaching strategy during COVID-19: A mini-review. </w:t>
      </w:r>
      <w:r w:rsidRPr="009B4595">
        <w:rPr>
          <w:rFonts w:asciiTheme="minorHAnsi" w:hAnsiTheme="minorHAnsi" w:cstheme="minorHAnsi"/>
          <w:i/>
          <w:iCs/>
          <w:szCs w:val="20"/>
        </w:rPr>
        <w:t>Frontiers in Psychology</w:t>
      </w:r>
      <w:r w:rsidRPr="009B4595">
        <w:rPr>
          <w:rFonts w:asciiTheme="minorHAnsi" w:hAnsiTheme="minorHAnsi" w:cstheme="minorHAnsi"/>
          <w:szCs w:val="20"/>
        </w:rPr>
        <w:t>, </w:t>
      </w:r>
      <w:r w:rsidRPr="009B4595">
        <w:rPr>
          <w:rFonts w:asciiTheme="minorHAnsi" w:hAnsiTheme="minorHAnsi" w:cstheme="minorHAnsi"/>
          <w:i/>
          <w:iCs/>
          <w:szCs w:val="20"/>
        </w:rPr>
        <w:t>12</w:t>
      </w:r>
      <w:r w:rsidRPr="009B4595">
        <w:rPr>
          <w:rFonts w:asciiTheme="minorHAnsi" w:hAnsiTheme="minorHAnsi" w:cstheme="minorHAnsi"/>
          <w:szCs w:val="20"/>
        </w:rPr>
        <w:t>, 648552–648552. https://doi.org/10.3389/fpsyg.2021.648552</w:t>
      </w:r>
    </w:p>
    <w:p w14:paraId="17F80518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7F47B117" w14:textId="77777777" w:rsidR="003F4654" w:rsidRPr="003F4654" w:rsidRDefault="003F4654" w:rsidP="003F465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3F4654">
        <w:rPr>
          <w:rFonts w:asciiTheme="minorHAnsi" w:eastAsiaTheme="minorHAnsi" w:hAnsiTheme="minorHAnsi" w:cstheme="minorHAnsi"/>
          <w:kern w:val="0"/>
          <w:szCs w:val="20"/>
          <w:lang w:eastAsia="en-US"/>
        </w:rPr>
        <w:t>Schubert, W. (1997). Historical Antecedents. Curriculum: Perspective, Paradigm, and Possibility.</w:t>
      </w:r>
    </w:p>
    <w:p w14:paraId="22C75EED" w14:textId="7C61B55D" w:rsidR="003F4654" w:rsidRDefault="003F4654" w:rsidP="003F465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3F4654">
        <w:rPr>
          <w:rFonts w:asciiTheme="minorHAnsi" w:eastAsiaTheme="minorHAnsi" w:hAnsiTheme="minorHAnsi" w:cstheme="minorHAnsi"/>
          <w:kern w:val="0"/>
          <w:szCs w:val="20"/>
          <w:lang w:eastAsia="en-US"/>
        </w:rPr>
        <w:t>Upper Saddle River, NJ: Prentice-Hall. pp. 54-84. NOTE: Part I and Part II</w:t>
      </w:r>
    </w:p>
    <w:p w14:paraId="54A6B256" w14:textId="77777777" w:rsidR="003F4654" w:rsidRPr="009B4595" w:rsidRDefault="003F4654" w:rsidP="003F465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66E6EED9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Tam, M. (2014). Outcomes-based approach to quality assessment and curriculum improvement in higher education.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Quality Assurance in Education, 22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(2), 158–168.</w:t>
      </w:r>
    </w:p>
    <w:p w14:paraId="6B85CB21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4465D80B" w14:textId="77777777" w:rsid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  <w:proofErr w:type="spellStart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Villagrasa</w:t>
      </w:r>
      <w:proofErr w:type="spellEnd"/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 xml:space="preserve">, S., Fonseca, D., Redondo, E., &amp; Duran, J. (2018). Teaching case of gamification and visual technologies for education. </w:t>
      </w:r>
      <w:r w:rsidRPr="009B4595">
        <w:rPr>
          <w:rFonts w:asciiTheme="minorHAnsi" w:eastAsiaTheme="minorHAnsi" w:hAnsiTheme="minorHAnsi" w:cstheme="minorHAnsi"/>
          <w:i/>
          <w:iCs/>
          <w:kern w:val="0"/>
          <w:szCs w:val="20"/>
          <w:lang w:eastAsia="en-US"/>
        </w:rPr>
        <w:t>Journal of Cases on Information Technology, 16</w:t>
      </w:r>
      <w:r w:rsidRPr="009B4595">
        <w:rPr>
          <w:rFonts w:asciiTheme="minorHAnsi" w:eastAsiaTheme="minorHAnsi" w:hAnsiTheme="minorHAnsi" w:cstheme="minorHAnsi"/>
          <w:kern w:val="0"/>
          <w:szCs w:val="20"/>
          <w:lang w:eastAsia="en-US"/>
        </w:rPr>
        <w:t>(4), 38–57.</w:t>
      </w:r>
    </w:p>
    <w:p w14:paraId="4236F922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07288A64" w14:textId="77777777" w:rsidR="009B4595" w:rsidRPr="009B4595" w:rsidRDefault="009B4595" w:rsidP="009B4595">
      <w:pPr>
        <w:rPr>
          <w:rStyle w:val="Hyperlink"/>
          <w:rFonts w:asciiTheme="minorHAnsi" w:hAnsiTheme="minorHAnsi" w:cstheme="minorHAnsi"/>
          <w:szCs w:val="20"/>
        </w:rPr>
      </w:pPr>
      <w:r w:rsidRPr="009B4595">
        <w:rPr>
          <w:rFonts w:asciiTheme="minorHAnsi" w:hAnsiTheme="minorHAnsi" w:cstheme="minorHAnsi"/>
          <w:szCs w:val="20"/>
        </w:rPr>
        <w:t xml:space="preserve">Winthrop, R. (2025, May 23). Brookings Commentary. Generative AI is coming for our students, and now is the moment to shape it. </w:t>
      </w:r>
      <w:hyperlink r:id="rId13" w:history="1">
        <w:r w:rsidRPr="009B4595">
          <w:rPr>
            <w:rStyle w:val="Hyperlink"/>
            <w:rFonts w:asciiTheme="minorHAnsi" w:hAnsiTheme="minorHAnsi" w:cstheme="minorHAnsi"/>
            <w:szCs w:val="20"/>
          </w:rPr>
          <w:t>https://www.brookings.edu/articles/generative-ai-is-coming-for-our-students-and-now-is-the-moment-to-shape-it/</w:t>
        </w:r>
      </w:hyperlink>
    </w:p>
    <w:p w14:paraId="287EDC16" w14:textId="77777777" w:rsidR="009B4595" w:rsidRPr="009B4595" w:rsidRDefault="009B4595" w:rsidP="009B459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kern w:val="0"/>
          <w:szCs w:val="20"/>
          <w:lang w:eastAsia="en-US"/>
        </w:rPr>
      </w:pPr>
    </w:p>
    <w:p w14:paraId="74F41390" w14:textId="77777777" w:rsidR="00A42592" w:rsidRPr="009B4595" w:rsidRDefault="00A42592" w:rsidP="009B4595">
      <w:pPr>
        <w:rPr>
          <w:rFonts w:asciiTheme="minorHAnsi" w:hAnsiTheme="minorHAnsi" w:cstheme="minorHAnsi"/>
          <w:szCs w:val="20"/>
        </w:rPr>
      </w:pPr>
    </w:p>
    <w:sectPr w:rsidR="00A42592" w:rsidRPr="009B4595" w:rsidSect="009B459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38E9B8-2420-B647-9789-32038E62A3A4}"/>
    <w:embedBold r:id="rId2" w:fontKey="{F5B3C3F1-A87B-BF40-89CF-9B5A64A4CA8E}"/>
    <w:embedItalic r:id="rId3" w:fontKey="{E32EDFCF-B36A-8D40-B2E0-C4C643D9EA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A5F974D-11CA-1940-8363-C5BAAE7157B4}"/>
    <w:embedBold r:id="rId5" w:fontKey="{ED118D2E-3799-5E41-9530-BB7B7162D4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05731B3-840B-DD4C-BC2E-F78B08FF1B80}"/>
    <w:embedBold r:id="rId7" w:fontKey="{61248938-B17E-854E-A58C-2B46233D72C8}"/>
    <w:embedItalic r:id="rId8" w:fontKey="{4F1D604E-CD5E-304E-8805-577DD672D779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70247BCB-1654-4F49-BCC4-347A29C0160C}"/>
    <w:embedBold r:id="rId10" w:fontKey="{FEF33A91-DEB8-E34A-9F79-764190791AD2}"/>
    <w:embedItalic r:id="rId11" w:fontKey="{A28B573A-9E55-B74A-AC93-1BCF47E1836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42FF1AA-8CA8-674B-8F7B-C9AAF9267EFB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Headings CS)">
    <w:altName w:val="Times New Roman"/>
    <w:panose1 w:val="020206030504050203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0F3446E"/>
    <w:multiLevelType w:val="multilevel"/>
    <w:tmpl w:val="8ADEDBB0"/>
    <w:lvl w:ilvl="0">
      <w:start w:val="1"/>
      <w:numFmt w:val="decimal"/>
      <w:pStyle w:val="IPHeading2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hint="default"/>
      </w:rPr>
    </w:lvl>
    <w:lvl w:ilvl="2">
      <w:start w:val="1"/>
      <w:numFmt w:val="decimal"/>
      <w:lvlText w:val="%1.%2.%3"/>
      <w:lvlJc w:val="left"/>
      <w:pPr>
        <w:tabs>
          <w:tab w:val="num" w:pos="1072"/>
        </w:tabs>
        <w:ind w:left="1072" w:hanging="107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num w:numId="1" w16cid:durableId="30304204">
    <w:abstractNumId w:val="1"/>
  </w:num>
  <w:num w:numId="2" w16cid:durableId="1764763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95"/>
    <w:rsid w:val="0000173E"/>
    <w:rsid w:val="00021EA6"/>
    <w:rsid w:val="00032C4C"/>
    <w:rsid w:val="00050360"/>
    <w:rsid w:val="00070AB7"/>
    <w:rsid w:val="00092EFA"/>
    <w:rsid w:val="00101081"/>
    <w:rsid w:val="0012764E"/>
    <w:rsid w:val="00144F00"/>
    <w:rsid w:val="0015124B"/>
    <w:rsid w:val="00192D2C"/>
    <w:rsid w:val="001932D0"/>
    <w:rsid w:val="001A1914"/>
    <w:rsid w:val="001B654C"/>
    <w:rsid w:val="001F0642"/>
    <w:rsid w:val="002126B3"/>
    <w:rsid w:val="00241BCB"/>
    <w:rsid w:val="00255A6D"/>
    <w:rsid w:val="0026601E"/>
    <w:rsid w:val="00267002"/>
    <w:rsid w:val="00277BEB"/>
    <w:rsid w:val="002C4E17"/>
    <w:rsid w:val="002C54BC"/>
    <w:rsid w:val="0030475A"/>
    <w:rsid w:val="00324647"/>
    <w:rsid w:val="00345B7F"/>
    <w:rsid w:val="003B6B58"/>
    <w:rsid w:val="003F096E"/>
    <w:rsid w:val="003F4654"/>
    <w:rsid w:val="004076B7"/>
    <w:rsid w:val="00432C24"/>
    <w:rsid w:val="004365B2"/>
    <w:rsid w:val="00444682"/>
    <w:rsid w:val="004553BB"/>
    <w:rsid w:val="00477530"/>
    <w:rsid w:val="004B3EF8"/>
    <w:rsid w:val="004D7023"/>
    <w:rsid w:val="0050602C"/>
    <w:rsid w:val="0050783B"/>
    <w:rsid w:val="0051114A"/>
    <w:rsid w:val="00554A21"/>
    <w:rsid w:val="00562420"/>
    <w:rsid w:val="00573159"/>
    <w:rsid w:val="00583F9D"/>
    <w:rsid w:val="00593404"/>
    <w:rsid w:val="00596058"/>
    <w:rsid w:val="00596DDC"/>
    <w:rsid w:val="005B4468"/>
    <w:rsid w:val="005B4587"/>
    <w:rsid w:val="005C7E79"/>
    <w:rsid w:val="006530A6"/>
    <w:rsid w:val="0066177B"/>
    <w:rsid w:val="00680384"/>
    <w:rsid w:val="006C1314"/>
    <w:rsid w:val="006E595F"/>
    <w:rsid w:val="006F1404"/>
    <w:rsid w:val="0072304D"/>
    <w:rsid w:val="00725974"/>
    <w:rsid w:val="00742994"/>
    <w:rsid w:val="007B3318"/>
    <w:rsid w:val="0080276F"/>
    <w:rsid w:val="0081281C"/>
    <w:rsid w:val="00844C0F"/>
    <w:rsid w:val="008648D8"/>
    <w:rsid w:val="008B07D5"/>
    <w:rsid w:val="008C48D5"/>
    <w:rsid w:val="008D770B"/>
    <w:rsid w:val="008E1DA4"/>
    <w:rsid w:val="008F76E6"/>
    <w:rsid w:val="009A6A30"/>
    <w:rsid w:val="009A75A8"/>
    <w:rsid w:val="009B4595"/>
    <w:rsid w:val="009B7D2A"/>
    <w:rsid w:val="009E0367"/>
    <w:rsid w:val="00A146EE"/>
    <w:rsid w:val="00A14818"/>
    <w:rsid w:val="00A1687D"/>
    <w:rsid w:val="00A23CCF"/>
    <w:rsid w:val="00A304D0"/>
    <w:rsid w:val="00A42592"/>
    <w:rsid w:val="00A44700"/>
    <w:rsid w:val="00A6565A"/>
    <w:rsid w:val="00AA3CD8"/>
    <w:rsid w:val="00B16884"/>
    <w:rsid w:val="00B20E34"/>
    <w:rsid w:val="00B2778B"/>
    <w:rsid w:val="00B3768B"/>
    <w:rsid w:val="00B865D6"/>
    <w:rsid w:val="00BC5526"/>
    <w:rsid w:val="00BF1A48"/>
    <w:rsid w:val="00C02261"/>
    <w:rsid w:val="00C242CB"/>
    <w:rsid w:val="00C31BAF"/>
    <w:rsid w:val="00C3499B"/>
    <w:rsid w:val="00C37195"/>
    <w:rsid w:val="00C4453E"/>
    <w:rsid w:val="00C57682"/>
    <w:rsid w:val="00C60733"/>
    <w:rsid w:val="00C92631"/>
    <w:rsid w:val="00CA5D00"/>
    <w:rsid w:val="00CD3F0F"/>
    <w:rsid w:val="00CD725B"/>
    <w:rsid w:val="00D06685"/>
    <w:rsid w:val="00D264E8"/>
    <w:rsid w:val="00D53A15"/>
    <w:rsid w:val="00D55025"/>
    <w:rsid w:val="00D60A17"/>
    <w:rsid w:val="00D67B95"/>
    <w:rsid w:val="00D71C6A"/>
    <w:rsid w:val="00D94FBB"/>
    <w:rsid w:val="00DC013B"/>
    <w:rsid w:val="00E14FAD"/>
    <w:rsid w:val="00E35553"/>
    <w:rsid w:val="00E460DF"/>
    <w:rsid w:val="00E46B05"/>
    <w:rsid w:val="00E918A8"/>
    <w:rsid w:val="00E941BC"/>
    <w:rsid w:val="00EA31F6"/>
    <w:rsid w:val="00EB5449"/>
    <w:rsid w:val="00F51D46"/>
    <w:rsid w:val="00F7210F"/>
    <w:rsid w:val="00F961C1"/>
    <w:rsid w:val="00FA38AA"/>
    <w:rsid w:val="00FE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5A4CCB"/>
  <w14:defaultImageDpi w14:val="32767"/>
  <w15:chartTrackingRefBased/>
  <w15:docId w15:val="{197C733A-D809-BF43-B6D4-90142A44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C7E79"/>
    <w:rPr>
      <w:rFonts w:ascii="Open Sans" w:eastAsiaTheme="minorEastAsia" w:hAnsi="Open Sans"/>
      <w:sz w:val="20"/>
      <w:szCs w:val="22"/>
      <w:lang w:eastAsia="zh-C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83F9D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45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459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45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45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459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459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459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459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3F9D"/>
    <w:rPr>
      <w:rFonts w:ascii="Times New Roman" w:eastAsiaTheme="majorEastAsia" w:hAnsi="Times New Roman" w:cstheme="majorBidi"/>
      <w:b/>
      <w:szCs w:val="32"/>
    </w:rPr>
  </w:style>
  <w:style w:type="paragraph" w:styleId="Footer">
    <w:name w:val="footer"/>
    <w:basedOn w:val="FootnoteText"/>
    <w:link w:val="FooterChar"/>
    <w:uiPriority w:val="99"/>
    <w:unhideWhenUsed/>
    <w:rsid w:val="00596058"/>
    <w:pPr>
      <w:tabs>
        <w:tab w:val="center" w:pos="4680"/>
        <w:tab w:val="right" w:pos="9360"/>
      </w:tabs>
    </w:pPr>
    <w:rPr>
      <w:sz w:val="18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596058"/>
    <w:rPr>
      <w:rFonts w:ascii="Open Sans" w:hAnsi="Open Sans"/>
      <w:sz w:val="18"/>
      <w:szCs w:val="20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6058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6058"/>
    <w:rPr>
      <w:sz w:val="20"/>
      <w:szCs w:val="20"/>
    </w:rPr>
  </w:style>
  <w:style w:type="paragraph" w:customStyle="1" w:styleId="IPHeading2">
    <w:name w:val="IP Heading 2"/>
    <w:basedOn w:val="Normal"/>
    <w:next w:val="Normal"/>
    <w:qFormat/>
    <w:rsid w:val="0050783B"/>
    <w:pPr>
      <w:numPr>
        <w:numId w:val="1"/>
      </w:numPr>
      <w:spacing w:after="240"/>
    </w:pPr>
    <w:rPr>
      <w:rFonts w:ascii="Arial" w:hAnsi="Arial"/>
      <w:b/>
      <w:sz w:val="22"/>
      <w:szCs w:val="20"/>
    </w:rPr>
  </w:style>
  <w:style w:type="paragraph" w:customStyle="1" w:styleId="DoENormal">
    <w:name w:val="DoE Normal"/>
    <w:basedOn w:val="Normal"/>
    <w:autoRedefine/>
    <w:qFormat/>
    <w:rsid w:val="005C7E79"/>
    <w:pPr>
      <w:spacing w:after="240"/>
      <w:jc w:val="both"/>
    </w:pPr>
    <w:rPr>
      <w:rFonts w:eastAsia="Times New Roman" w:cs="Times New Roman"/>
      <w:lang w:val="en-ZA" w:eastAsia="en-US"/>
    </w:rPr>
  </w:style>
  <w:style w:type="paragraph" w:customStyle="1" w:styleId="sub-headerblue">
    <w:name w:val="sub-header blue"/>
    <w:basedOn w:val="Normal"/>
    <w:qFormat/>
    <w:rsid w:val="00432C24"/>
    <w:pPr>
      <w:keepNext/>
      <w:keepLines/>
      <w:spacing w:after="120"/>
      <w:outlineLvl w:val="1"/>
    </w:pPr>
    <w:rPr>
      <w:rFonts w:eastAsia="DengXian Light" w:cs="Times New Roman"/>
      <w:color w:val="3080DE"/>
      <w:sz w:val="26"/>
      <w:szCs w:val="26"/>
      <w:lang w:eastAsia="en-US"/>
    </w:rPr>
  </w:style>
  <w:style w:type="paragraph" w:customStyle="1" w:styleId="tablesheader">
    <w:name w:val="tables header"/>
    <w:basedOn w:val="Title"/>
    <w:qFormat/>
    <w:rsid w:val="00432C24"/>
    <w:pPr>
      <w:spacing w:after="60"/>
    </w:pPr>
    <w:rPr>
      <w:rFonts w:ascii="Open Sans" w:hAnsi="Open Sans" w:cs="Times New Roman (Headings CS)"/>
      <w:b/>
      <w:bCs/>
      <w:spacing w:val="10"/>
      <w:sz w:val="21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432C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2C24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45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4595"/>
    <w:rPr>
      <w:rFonts w:eastAsiaTheme="majorEastAsia" w:cstheme="majorBidi"/>
      <w:color w:val="2F5496" w:themeColor="accent1" w:themeShade="BF"/>
      <w:sz w:val="28"/>
      <w:szCs w:val="28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4595"/>
    <w:rPr>
      <w:rFonts w:eastAsiaTheme="majorEastAsia" w:cstheme="majorBidi"/>
      <w:i/>
      <w:iCs/>
      <w:color w:val="2F5496" w:themeColor="accent1" w:themeShade="BF"/>
      <w:sz w:val="20"/>
      <w:szCs w:val="22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4595"/>
    <w:rPr>
      <w:rFonts w:eastAsiaTheme="majorEastAsia" w:cstheme="majorBidi"/>
      <w:color w:val="2F5496" w:themeColor="accent1" w:themeShade="BF"/>
      <w:sz w:val="20"/>
      <w:szCs w:val="2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4595"/>
    <w:rPr>
      <w:rFonts w:eastAsiaTheme="majorEastAsia" w:cstheme="majorBidi"/>
      <w:i/>
      <w:iCs/>
      <w:color w:val="595959" w:themeColor="text1" w:themeTint="A6"/>
      <w:sz w:val="20"/>
      <w:szCs w:val="22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4595"/>
    <w:rPr>
      <w:rFonts w:eastAsiaTheme="majorEastAsia" w:cstheme="majorBidi"/>
      <w:color w:val="595959" w:themeColor="text1" w:themeTint="A6"/>
      <w:sz w:val="20"/>
      <w:szCs w:val="22"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4595"/>
    <w:rPr>
      <w:rFonts w:eastAsiaTheme="majorEastAsia" w:cstheme="majorBidi"/>
      <w:i/>
      <w:iCs/>
      <w:color w:val="272727" w:themeColor="text1" w:themeTint="D8"/>
      <w:sz w:val="20"/>
      <w:szCs w:val="22"/>
      <w:lang w:eastAsia="zh-C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4595"/>
    <w:rPr>
      <w:rFonts w:eastAsiaTheme="majorEastAsia" w:cstheme="majorBidi"/>
      <w:color w:val="272727" w:themeColor="text1" w:themeTint="D8"/>
      <w:sz w:val="20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59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4595"/>
    <w:rPr>
      <w:rFonts w:eastAsiaTheme="majorEastAsia" w:cstheme="majorBidi"/>
      <w:color w:val="595959" w:themeColor="text1" w:themeTint="A6"/>
      <w:spacing w:val="15"/>
      <w:sz w:val="28"/>
      <w:szCs w:val="28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9B45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4595"/>
    <w:rPr>
      <w:rFonts w:ascii="Open Sans" w:eastAsiaTheme="minorEastAsia" w:hAnsi="Open Sans"/>
      <w:i/>
      <w:iCs/>
      <w:color w:val="404040" w:themeColor="text1" w:themeTint="BF"/>
      <w:sz w:val="20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9B45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45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45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4595"/>
    <w:rPr>
      <w:rFonts w:ascii="Open Sans" w:eastAsiaTheme="minorEastAsia" w:hAnsi="Open Sans"/>
      <w:i/>
      <w:iCs/>
      <w:color w:val="2F5496" w:themeColor="accent1" w:themeShade="BF"/>
      <w:sz w:val="20"/>
      <w:szCs w:val="22"/>
      <w:lang w:eastAsia="zh-CN"/>
    </w:rPr>
  </w:style>
  <w:style w:type="character" w:styleId="IntenseReference">
    <w:name w:val="Intense Reference"/>
    <w:basedOn w:val="DefaultParagraphFont"/>
    <w:uiPriority w:val="32"/>
    <w:qFormat/>
    <w:rsid w:val="009B459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B45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B4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arsoned.com/using-blooms-taxonomy-to-write-learning-outcomes/" TargetMode="External"/><Relationship Id="rId13" Type="http://schemas.openxmlformats.org/officeDocument/2006/relationships/hyperlink" Target="https://www.brookings.edu/articles/generative-ai-is-coming-for-our-students-and-now-is-the-moment-to-shape-i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msk12.org/domain/7952" TargetMode="External"/><Relationship Id="rId12" Type="http://schemas.openxmlformats.org/officeDocument/2006/relationships/hyperlink" Target="https://www.youtube.com/watch?v=d4f1jqb3Yi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nesdoc.unesco.org/ark:/48223/pf0000391104" TargetMode="External"/><Relationship Id="rId11" Type="http://schemas.openxmlformats.org/officeDocument/2006/relationships/hyperlink" Target="https://doi.org/10.1145/3313831.3376727" TargetMode="External"/><Relationship Id="rId5" Type="http://schemas.openxmlformats.org/officeDocument/2006/relationships/hyperlink" Target="https://unesdoc.unesco.org/ark:/48223/pf000039110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doi.org/10.3390/soc150100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4324/LRE.19.1.0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1031</Words>
  <Characters>5880</Characters>
  <Application>Microsoft Office Word</Application>
  <DocSecurity>0</DocSecurity>
  <Lines>49</Lines>
  <Paragraphs>13</Paragraphs>
  <ScaleCrop>false</ScaleCrop>
  <Company/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Guyatt</dc:creator>
  <cp:keywords/>
  <dc:description/>
  <cp:lastModifiedBy>Tanya Guyatt</cp:lastModifiedBy>
  <cp:revision>9</cp:revision>
  <dcterms:created xsi:type="dcterms:W3CDTF">2025-10-23T00:14:00Z</dcterms:created>
  <dcterms:modified xsi:type="dcterms:W3CDTF">2025-10-23T00:53:00Z</dcterms:modified>
</cp:coreProperties>
</file>