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8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sz w:val="40"/>
          <w:szCs w:val="40"/>
          <w:rtl w:val="0"/>
        </w:rPr>
        <w:t xml:space="preserve">Skriftlig Rereeksamen</w:t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30.0" w:type="dxa"/>
        <w:jc w:val="left"/>
        <w:tblInd w:w="284.0" w:type="dxa"/>
        <w:tblBorders>
          <w:top w:color="83afb4" w:space="0" w:sz="4" w:val="single"/>
          <w:left w:color="000000" w:space="0" w:sz="0" w:val="nil"/>
          <w:bottom w:color="83afb4" w:space="0" w:sz="4" w:val="single"/>
          <w:right w:color="000000" w:space="0" w:sz="0" w:val="nil"/>
          <w:insideH w:color="83afb4" w:space="0" w:sz="4" w:val="single"/>
          <w:insideV w:color="83afb4" w:space="0" w:sz="4" w:val="single"/>
        </w:tblBorders>
        <w:tblLayout w:type="fixed"/>
        <w:tblLook w:val="0400"/>
      </w:tblPr>
      <w:tblGrid>
        <w:gridCol w:w="2268"/>
        <w:gridCol w:w="500"/>
        <w:gridCol w:w="6162"/>
        <w:tblGridChange w:id="0">
          <w:tblGrid>
            <w:gridCol w:w="2268"/>
            <w:gridCol w:w="500"/>
            <w:gridCol w:w="616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tcBorders>
              <w:top w:color="83afb4" w:space="0" w:sz="12" w:val="single"/>
              <w:bottom w:color="83afb4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Uddannelse:</w:t>
            </w:r>
          </w:p>
        </w:tc>
        <w:tc>
          <w:tcPr>
            <w:gridSpan w:val="2"/>
            <w:tcBorders>
              <w:top w:color="83afb4" w:space="0" w:sz="12" w:val="single"/>
              <w:bottom w:color="83afb4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Finansbachelor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" w:hRule="atLeast"/>
          <w:tblHeader w:val="0"/>
        </w:trPr>
        <w:tc>
          <w:tcPr>
            <w:tcBorders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A">
            <w:pPr>
              <w:rPr>
                <w:rFonts w:ascii="Calibri" w:cs="Calibri" w:eastAsia="Calibri" w:hAnsi="Calibri"/>
                <w:b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Calibri" w:cs="Calibri" w:eastAsia="Calibri" w:hAnsi="Calibri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bottom w:color="83afb4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Fag:</w:t>
            </w:r>
          </w:p>
        </w:tc>
        <w:tc>
          <w:tcPr>
            <w:gridSpan w:val="2"/>
            <w:tcBorders>
              <w:bottom w:color="83afb4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  <w:tab w:val="left" w:leader="none" w:pos="5169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  <w:tab w:val="left" w:leader="none" w:pos="5169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Valgfag Kvantitative metoder i den finansielle sektor</w:t>
            </w:r>
          </w:p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" w:hRule="atLeast"/>
          <w:tblHeader w:val="0"/>
        </w:trPr>
        <w:tc>
          <w:tcPr>
            <w:tcBorders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b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Calibri" w:cs="Calibri" w:eastAsia="Calibri" w:hAnsi="Calibri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bottom w:color="83afb4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Dato:</w:t>
            </w:r>
          </w:p>
        </w:tc>
        <w:tc>
          <w:tcPr>
            <w:gridSpan w:val="2"/>
            <w:tcBorders>
              <w:bottom w:color="83afb4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DEMO</w:t>
            </w:r>
          </w:p>
        </w:tc>
      </w:tr>
      <w:tr>
        <w:trPr>
          <w:cantSplit w:val="0"/>
          <w:trHeight w:val="57" w:hRule="atLeast"/>
          <w:tblHeader w:val="0"/>
        </w:trPr>
        <w:tc>
          <w:tcPr>
            <w:tcBorders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b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bottom w:color="83afb4" w:space="0" w:sz="12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Klokkeslæt:</w:t>
            </w:r>
          </w:p>
        </w:tc>
        <w:tc>
          <w:tcPr>
            <w:gridSpan w:val="2"/>
            <w:tcBorders>
              <w:bottom w:color="83afb4" w:space="0" w:sz="12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2 timers skriftlig prøve DEMO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2"/>
            <w:tcBorders>
              <w:top w:color="000000" w:space="0" w:sz="0" w:val="nil"/>
              <w:bottom w:color="83afb4" w:space="0" w:sz="12" w:val="single"/>
              <w:right w:color="000000" w:space="0" w:sz="0" w:val="nil"/>
            </w:tcBorders>
            <w:tcMar>
              <w:top w:w="57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Hjælpemidler: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83afb4" w:space="0" w:sz="12" w:val="single"/>
            </w:tcBorders>
            <w:tcMar>
              <w:top w:w="57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Alle skriftlige og elektroniske hjælpemidler og hjælpeprogrammer er tilladte – Inkl. Internetadgang, som dog ikke må bruges til kommunikation med andre.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3"/>
            <w:tcBorders>
              <w:top w:color="83afb4" w:space="0" w:sz="12" w:val="single"/>
              <w:bottom w:color="83afb4" w:space="0" w:sz="12" w:val="single"/>
            </w:tcBorders>
            <w:tcMar>
              <w:top w:w="85.0" w:type="dxa"/>
            </w:tcMar>
          </w:tcPr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Data er vedlagt som Excel bilag i 2 filer.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3"/>
            <w:tcBorders>
              <w:top w:color="000000" w:space="0" w:sz="0" w:val="nil"/>
              <w:bottom w:color="83afb4" w:space="0" w:sz="12" w:val="single"/>
            </w:tcBorders>
            <w:tcMar>
              <w:top w:w="57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Vægtning af opgaver: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6" w:hRule="atLeast"/>
          <w:tblHeader w:val="0"/>
        </w:trPr>
        <w:tc>
          <w:tcPr>
            <w:gridSpan w:val="3"/>
            <w:tcBorders>
              <w:top w:color="83afb4" w:space="0" w:sz="12" w:val="single"/>
              <w:bottom w:color="000000" w:space="0" w:sz="0" w:val="nil"/>
            </w:tcBorders>
            <w:tcMar>
              <w:top w:w="85.0" w:type="dxa"/>
            </w:tcMar>
          </w:tcPr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Opgavesættet består af 6 delopgaver, der indgår i bedømmelsen af den samlede opgavebesvarelse med følgende omtrentlige vægte:</w:t>
            </w:r>
          </w:p>
        </w:tc>
      </w:tr>
      <w:tr>
        <w:trPr>
          <w:cantSplit w:val="0"/>
          <w:trHeight w:val="372" w:hRule="atLeast"/>
          <w:tblHeader w:val="0"/>
        </w:trPr>
        <w:tc>
          <w:tcPr>
            <w:gridSpan w:val="3"/>
            <w:tcBorders>
              <w:top w:color="000000" w:space="0" w:sz="0" w:val="nil"/>
              <w:bottom w:color="000000" w:space="0" w:sz="0" w:val="nil"/>
            </w:tcBorders>
            <w:tcMar>
              <w:top w:w="57.0" w:type="dxa"/>
            </w:tcMar>
          </w:tcPr>
          <w:p w:rsidR="00000000" w:rsidDel="00000000" w:rsidP="00000000" w:rsidRDefault="00000000" w:rsidRPr="00000000" w14:paraId="0000002A">
            <w:pPr>
              <w:tabs>
                <w:tab w:val="right" w:leader="none" w:pos="2160"/>
              </w:tabs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 1         20%</w:t>
            </w:r>
          </w:p>
          <w:p w:rsidR="00000000" w:rsidDel="00000000" w:rsidP="00000000" w:rsidRDefault="00000000" w:rsidRPr="00000000" w14:paraId="0000002B">
            <w:pPr>
              <w:tabs>
                <w:tab w:val="right" w:leader="none" w:pos="2160"/>
              </w:tabs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 2         20%</w:t>
            </w:r>
          </w:p>
          <w:p w:rsidR="00000000" w:rsidDel="00000000" w:rsidP="00000000" w:rsidRDefault="00000000" w:rsidRPr="00000000" w14:paraId="0000002C">
            <w:pPr>
              <w:tabs>
                <w:tab w:val="right" w:leader="none" w:pos="2160"/>
              </w:tabs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 3         20%</w:t>
            </w:r>
          </w:p>
          <w:p w:rsidR="00000000" w:rsidDel="00000000" w:rsidP="00000000" w:rsidRDefault="00000000" w:rsidRPr="00000000" w14:paraId="0000002D">
            <w:pPr>
              <w:tabs>
                <w:tab w:val="right" w:leader="none" w:pos="2160"/>
              </w:tabs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 4         10%</w:t>
            </w:r>
          </w:p>
          <w:p w:rsidR="00000000" w:rsidDel="00000000" w:rsidP="00000000" w:rsidRDefault="00000000" w:rsidRPr="00000000" w14:paraId="0000002E">
            <w:pPr>
              <w:tabs>
                <w:tab w:val="right" w:leader="none" w:pos="2160"/>
              </w:tabs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 5         10%</w:t>
            </w:r>
          </w:p>
          <w:p w:rsidR="00000000" w:rsidDel="00000000" w:rsidP="00000000" w:rsidRDefault="00000000" w:rsidRPr="00000000" w14:paraId="0000002F">
            <w:pPr>
              <w:tabs>
                <w:tab w:val="right" w:leader="none" w:pos="2160"/>
              </w:tabs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 6         20%</w:t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gridSpan w:val="3"/>
            <w:tcBorders>
              <w:top w:color="000000" w:space="0" w:sz="0" w:val="nil"/>
              <w:bottom w:color="83afb4" w:space="0" w:sz="12" w:val="single"/>
            </w:tcBorders>
            <w:tcMar>
              <w:top w:w="57.0" w:type="dxa"/>
            </w:tcMar>
          </w:tcPr>
          <w:p w:rsidR="00000000" w:rsidDel="00000000" w:rsidP="00000000" w:rsidRDefault="00000000" w:rsidRPr="00000000" w14:paraId="00000032">
            <w:pPr>
              <w:tabs>
                <w:tab w:val="right" w:leader="none" w:pos="2160"/>
              </w:tabs>
              <w:spacing w:before="12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alt                 100 %</w:t>
            </w:r>
          </w:p>
        </w:tc>
      </w:tr>
    </w:tbl>
    <w:p w:rsidR="00000000" w:rsidDel="00000000" w:rsidP="00000000" w:rsidRDefault="00000000" w:rsidRPr="00000000" w14:paraId="0000003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930.0" w:type="dxa"/>
        <w:jc w:val="left"/>
        <w:tblInd w:w="284.0" w:type="dxa"/>
        <w:tblBorders>
          <w:top w:color="83afb4" w:space="0" w:sz="4" w:val="single"/>
          <w:left w:color="000000" w:space="0" w:sz="0" w:val="nil"/>
          <w:bottom w:color="83afb4" w:space="0" w:sz="4" w:val="single"/>
          <w:right w:color="000000" w:space="0" w:sz="0" w:val="nil"/>
          <w:insideH w:color="83afb4" w:space="0" w:sz="4" w:val="single"/>
          <w:insideV w:color="83afb4" w:space="0" w:sz="4" w:val="single"/>
        </w:tblBorders>
        <w:tblLayout w:type="fixed"/>
        <w:tblLook w:val="0400"/>
      </w:tblPr>
      <w:tblGrid>
        <w:gridCol w:w="8930"/>
        <w:tblGridChange w:id="0">
          <w:tblGrid>
            <w:gridCol w:w="8930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0" w:val="nil"/>
              <w:bottom w:color="83afb4" w:space="0" w:sz="12" w:val="single"/>
            </w:tcBorders>
            <w:tcMar>
              <w:top w:w="57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Aflevering af besvarelsen: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80" w:hRule="atLeast"/>
          <w:tblHeader w:val="0"/>
        </w:trPr>
        <w:tc>
          <w:tcPr>
            <w:tcBorders>
              <w:top w:color="83afb4" w:space="0" w:sz="12" w:val="single"/>
              <w:bottom w:color="83afb4" w:space="0" w:sz="12" w:val="single"/>
            </w:tcBorders>
            <w:tcMar>
              <w:top w:w="85.0" w:type="dxa"/>
            </w:tcMar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2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Opgavebesvarelsen skal afleveres i henhold til skolens eksamensreglement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jf. bekendtgørelse nr. 1519 af 16. december 2013.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hjemskolens formalia.</w:t>
            </w:r>
          </w:p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Navn eller eksamensnummer skal fremgå af hver side.</w:t>
            </w:r>
          </w:p>
        </w:tc>
      </w:tr>
    </w:tbl>
    <w:p w:rsidR="00000000" w:rsidDel="00000000" w:rsidP="00000000" w:rsidRDefault="00000000" w:rsidRPr="00000000" w14:paraId="0000003D">
      <w:pPr>
        <w:rPr>
          <w:rFonts w:ascii="Calibri" w:cs="Calibri" w:eastAsia="Calibri" w:hAnsi="Calibri"/>
        </w:rPr>
      </w:pPr>
      <w:r w:rsidDel="00000000" w:rsidR="00000000" w:rsidRPr="00000000">
        <w:br w:type="column"/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at din besvarelse vurderes som komplet, skal du argumentere for dine valg af modeller, vurdere om eventuelle forudsætninger er opfyldte og fortolke dine resultater. </w:t>
      </w:r>
    </w:p>
    <w:p w:rsidR="00000000" w:rsidDel="00000000" w:rsidP="00000000" w:rsidRDefault="00000000" w:rsidRPr="00000000" w14:paraId="0000003E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Bemærk data er ikke klargjorte, dvs. man skal selv sortere og opstille data, så man kan benytte analyseværktøjerne.</w:t>
      </w:r>
    </w:p>
    <w:p w:rsidR="00000000" w:rsidDel="00000000" w:rsidP="00000000" w:rsidRDefault="00000000" w:rsidRPr="00000000" w14:paraId="0000003F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En bank ønsker på baggrund af historiske data for udviklingen aktiekurs at undersøge følgende: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Benyt tidsrækkeanalyse ARIMA, til at angive den forudsagte aktiekurs for mindst 3 perioder frem. Angiv 95% konfidensinterval, for de forudsagte værdier. Data findes i datasættet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ARIMADEMO.xlsx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Regn efter i hånden for 3 perioder, om du kan komme til samme resultater.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Kode i R: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library(forecast)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auto.arima(ARIMADEMO)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forecast(auto.arima(ARIMADEMO),h=10)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plot(forecast(auto.arima(ARIMADEMO)))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Output 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Series: ARIMADEMO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ARIMA(0,1,0) with drift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Coefficients: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       drift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      8.3210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s.e.  1.1112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sigma^2 estimated as 72.88:  log likelihood=-206.17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AIC=416.34   AICc=416.55   BIC=420.46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Point Forecast    Lo 80    Hi 80    Lo 95    Hi 95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60       589.1710 578.2308 600.1113 572.4394 605.9027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61       597.4921 582.0202 612.9639 573.8299 621.1542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62       605.8131 586.8640 624.7622 576.8330 634.7932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63       614.1341 592.2536 636.0147 580.6708 647.5975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64       622.4552 597.9920 646.9183 585.0420 659.8683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65       630.7762 603.9782 657.5743 589.7921 671.7603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66       639.0972 610.1520 668.0424 594.8294 683.3651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67       647.4183 616.4746 678.3620 600.0939 694.7426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68       655.7393 622.9185 688.5601 605.5443 705.9344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69       664.0603 629.4642 698.6565 611.1501 716.9706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ARIMA(0,1,0) eller I(1) model. Random walk with a drift på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8.3210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Modellen kan opstilles som: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center"/>
        <w:rPr>
          <w:rFonts w:ascii="Cambria Math" w:cs="Cambria Math" w:eastAsia="Cambria Math" w:hAnsi="Cambria Math"/>
          <w:highlight w:val="yellow"/>
        </w:rPr>
      </w:pPr>
      <m:oMath>
        <m:sSub>
          <m:sSubPr>
            <m:ctrlP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</m:ctrlPr>
          </m:sSubPr>
          <m:e>
            <m: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  <m:t xml:space="preserve">Y</m:t>
            </m:r>
          </m:e>
          <m:sub>
            <m: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  <m:t xml:space="preserve">t</m:t>
            </m:r>
          </m:sub>
        </m:sSub>
        <m:r>
          <w:rPr>
            <w:rFonts w:ascii="Cambria Math" w:cs="Cambria Math" w:eastAsia="Cambria Math" w:hAnsi="Cambria Math"/>
            <w:color w:val="333333"/>
            <w:sz w:val="28"/>
            <w:szCs w:val="28"/>
            <w:highlight w:val="yellow"/>
          </w:rPr>
          <m:t xml:space="preserve">=</m:t>
        </m:r>
        <m:sSub>
          <m:sSubPr>
            <m:ctrlP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</m:ctrlPr>
          </m:sSubPr>
          <m:e>
            <m: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  <m:t xml:space="preserve">Y</m:t>
            </m:r>
          </m:e>
          <m:sub>
            <m: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  <m:t xml:space="preserve">t-1</m:t>
            </m:r>
          </m:sub>
        </m:sSub>
        <m:r>
          <w:rPr>
            <w:rFonts w:ascii="Cambria Math" w:cs="Cambria Math" w:eastAsia="Cambria Math" w:hAnsi="Cambria Math"/>
            <w:highlight w:val="yellow"/>
          </w:rPr>
          <m:t xml:space="preserve">+8.3210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jc w:val="center"/>
        <w:rPr>
          <w:rFonts w:ascii="Cambria Math" w:cs="Cambria Math" w:eastAsia="Cambria Math" w:hAnsi="Cambria Math"/>
          <w:highlight w:val="yellow"/>
        </w:rPr>
      </w:pPr>
      <m:oMath>
        <m:sSub>
          <m:sSubPr>
            <m:ctrlP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</m:ctrlPr>
          </m:sSubPr>
          <m:e>
            <m: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  <m:t xml:space="preserve">Y</m:t>
            </m:r>
          </m:e>
          <m:sub>
            <m: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  <m:t xml:space="preserve">60</m:t>
            </m:r>
          </m:sub>
        </m:sSub>
        <m:r>
          <w:rPr>
            <w:rFonts w:ascii="Cambria Math" w:cs="Cambria Math" w:eastAsia="Cambria Math" w:hAnsi="Cambria Math"/>
            <w:color w:val="333333"/>
            <w:sz w:val="28"/>
            <w:szCs w:val="28"/>
            <w:highlight w:val="yellow"/>
          </w:rPr>
          <m:t xml:space="preserve">=</m:t>
        </m:r>
        <m:r>
          <w:rPr>
            <w:rFonts w:ascii="Calibri" w:cs="Calibri" w:eastAsia="Calibri" w:hAnsi="Calibri"/>
          </w:rPr>
          <m:t xml:space="preserve">﻿</m:t>
        </m:r>
        <m:r>
          <w:rPr>
            <w:rFonts w:ascii="Cambria Math" w:cs="Cambria Math" w:eastAsia="Cambria Math" w:hAnsi="Cambria Math"/>
          </w:rPr>
          <m:t xml:space="preserve">580.85</m:t>
        </m:r>
        <m:r>
          <w:rPr>
            <w:rFonts w:ascii="Cambria Math" w:cs="Cambria Math" w:eastAsia="Cambria Math" w:hAnsi="Cambria Math"/>
            <w:highlight w:val="yellow"/>
          </w:rPr>
          <m:t xml:space="preserve">+8.3210</m:t>
        </m:r>
        <m:r>
          <w:rPr>
            <w:rFonts w:ascii="Cambria Math" w:cs="Cambria Math" w:eastAsia="Cambria Math" w:hAnsi="Cambria Math"/>
          </w:rPr>
          <m:t xml:space="preserve">=</m:t>
        </m:r>
        <m:r>
          <w:rPr>
            <w:rFonts w:ascii="Cambria Math" w:cs="Cambria Math" w:eastAsia="Cambria Math" w:hAnsi="Cambria Math"/>
            <w:highlight w:val="yellow"/>
          </w:rPr>
          <m:t xml:space="preserve">589.1710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center"/>
        <w:rPr>
          <w:rFonts w:ascii="Cambria Math" w:cs="Cambria Math" w:eastAsia="Cambria Math" w:hAnsi="Cambria Math"/>
          <w:highlight w:val="yellow"/>
        </w:rPr>
      </w:pPr>
      <m:oMath>
        <m:sSub>
          <m:sSubPr>
            <m:ctrlP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</m:ctrlPr>
          </m:sSubPr>
          <m:e>
            <m: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  <m:t xml:space="preserve">Y</m:t>
            </m:r>
          </m:e>
          <m:sub>
            <m: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  <m:t xml:space="preserve">61</m:t>
            </m:r>
          </m:sub>
        </m:sSub>
        <m:r>
          <w:rPr>
            <w:rFonts w:ascii="Cambria Math" w:cs="Cambria Math" w:eastAsia="Cambria Math" w:hAnsi="Cambria Math"/>
            <w:color w:val="333333"/>
            <w:sz w:val="28"/>
            <w:szCs w:val="28"/>
            <w:highlight w:val="yellow"/>
          </w:rPr>
          <m:t xml:space="preserve">=</m:t>
        </m:r>
        <m:r>
          <w:rPr>
            <w:rFonts w:ascii="Calibri" w:cs="Calibri" w:eastAsia="Calibri" w:hAnsi="Calibri"/>
          </w:rPr>
          <m:t xml:space="preserve">﻿</m:t>
        </m:r>
        <m:r>
          <w:rPr>
            <w:rFonts w:ascii="Cambria Math" w:cs="Cambria Math" w:eastAsia="Cambria Math" w:hAnsi="Cambria Math"/>
            <w:highlight w:val="yellow"/>
          </w:rPr>
          <m:t xml:space="preserve">589.1710+8.3210</m:t>
        </m:r>
        <m:r>
          <w:rPr>
            <w:rFonts w:ascii="Cambria Math" w:cs="Cambria Math" w:eastAsia="Cambria Math" w:hAnsi="Cambria Math"/>
          </w:rPr>
          <m:t xml:space="preserve">=</m:t>
        </m:r>
        <m:r>
          <w:rPr>
            <w:rFonts w:ascii="Cambria Math" w:cs="Cambria Math" w:eastAsia="Cambria Math" w:hAnsi="Cambria Math"/>
            <w:highlight w:val="yellow"/>
          </w:rPr>
          <m:t xml:space="preserve">597.4921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center"/>
        <w:rPr>
          <w:rFonts w:ascii="Cambria Math" w:cs="Cambria Math" w:eastAsia="Cambria Math" w:hAnsi="Cambria Math"/>
          <w:highlight w:val="yellow"/>
        </w:rPr>
      </w:pPr>
      <m:oMath>
        <m:sSub>
          <m:sSubPr>
            <m:ctrlP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</m:ctrlPr>
          </m:sSubPr>
          <m:e>
            <m: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  <m:t xml:space="preserve">Y</m:t>
            </m:r>
          </m:e>
          <m:sub>
            <m:r>
              <w:rPr>
                <w:rFonts w:ascii="Cambria Math" w:cs="Cambria Math" w:eastAsia="Cambria Math" w:hAnsi="Cambria Math"/>
                <w:color w:val="333333"/>
                <w:sz w:val="28"/>
                <w:szCs w:val="28"/>
                <w:highlight w:val="yellow"/>
              </w:rPr>
              <m:t xml:space="preserve">62</m:t>
            </m:r>
          </m:sub>
        </m:sSub>
        <m:r>
          <w:rPr>
            <w:rFonts w:ascii="Cambria Math" w:cs="Cambria Math" w:eastAsia="Cambria Math" w:hAnsi="Cambria Math"/>
            <w:color w:val="333333"/>
            <w:sz w:val="28"/>
            <w:szCs w:val="28"/>
            <w:highlight w:val="yellow"/>
          </w:rPr>
          <m:t xml:space="preserve">=</m:t>
        </m:r>
        <m:r>
          <w:rPr>
            <w:rFonts w:ascii="Calibri" w:cs="Calibri" w:eastAsia="Calibri" w:hAnsi="Calibri"/>
          </w:rPr>
          <m:t xml:space="preserve">﻿</m:t>
        </m:r>
        <m:r>
          <w:rPr>
            <w:rFonts w:ascii="Cambria Math" w:cs="Cambria Math" w:eastAsia="Cambria Math" w:hAnsi="Cambria Math"/>
            <w:highlight w:val="yellow"/>
          </w:rPr>
          <m:t xml:space="preserve">597.4921+8.3210</m:t>
        </m:r>
        <m:r>
          <w:rPr>
            <w:rFonts w:ascii="Cambria Math" w:cs="Cambria Math" w:eastAsia="Cambria Math" w:hAnsi="Cambria Math"/>
          </w:rPr>
          <m:t xml:space="preserve">=</m:t>
        </m:r>
        <m:r>
          <w:rPr>
            <w:rFonts w:ascii="Cambria Math" w:cs="Cambria Math" w:eastAsia="Cambria Math" w:hAnsi="Cambria Math"/>
            <w:highlight w:val="yellow"/>
          </w:rPr>
          <m:t xml:space="preserve">605.8131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Eller hurtig udregning i hånden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t=60: 580.85+1*8.3210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t=61: 580.85+2*8.3210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t=62: 580.85+3*8.3210</w:t>
      </w:r>
    </w:p>
    <w:p w:rsidR="00000000" w:rsidDel="00000000" w:rsidP="00000000" w:rsidRDefault="00000000" w:rsidRPr="00000000" w14:paraId="0000006F">
      <w:pPr>
        <w:spacing w:after="280" w:before="280" w:lineRule="auto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540422" cy="3210247"/>
            <wp:effectExtent b="0" l="0" r="0" t="0"/>
            <wp:docPr descr="Et billede, der indeholder kort, tekst&#10;&#10;Automatisk genereret beskrivelse" id="2" name="image16.png"/>
            <a:graphic>
              <a:graphicData uri="http://schemas.openxmlformats.org/drawingml/2006/picture">
                <pic:pic>
                  <pic:nvPicPr>
                    <pic:cNvPr descr="Et billede, der indeholder kort, tekst&#10;&#10;Automatisk genereret beskrivelse" id="0" name="image1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40422" cy="32102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280" w:before="28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br w:type="column"/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Samme bank ønsker at undersøge forskellige sammenhænge blandt egne kunder. Man har indsamlet data vedr. følgende variable:</w:t>
      </w:r>
    </w:p>
    <w:p w:rsidR="00000000" w:rsidDel="00000000" w:rsidP="00000000" w:rsidRDefault="00000000" w:rsidRPr="00000000" w14:paraId="00000072">
      <w:pPr>
        <w:spacing w:after="280" w:before="28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Forklaring på variablene:</w:t>
      </w:r>
      <w:r w:rsidDel="00000000" w:rsidR="00000000" w:rsidRPr="00000000">
        <w:rPr>
          <w:rtl w:val="0"/>
        </w:rPr>
      </w:r>
    </w:p>
    <w:tbl>
      <w:tblPr>
        <w:tblStyle w:val="Table3"/>
        <w:tblW w:w="878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57"/>
        <w:gridCol w:w="2126"/>
        <w:tblGridChange w:id="0">
          <w:tblGrid>
            <w:gridCol w:w="6657"/>
            <w:gridCol w:w="2126"/>
          </w:tblGrid>
        </w:tblGridChange>
      </w:tblGrid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Variabel</w:t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Type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Ansøgt lånebeløb (i 1.000 kr.)</w:t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Boligens salgspris (i 1.000 kr.)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Salgspris for fraflyttet bolig (i 1.000 kr.)</w:t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Ansøgning imødekommet</w:t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Dummy 0: nej, 1: ja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Månedlig husstandsindtægt før skat (i 1.000 kr.)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Samlet nettoformue (i 1.000 kr.)</w:t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8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Gift</w:t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Dummy 0: nej, 1: ja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Antal børn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Diskret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Selvstændig</w:t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Dummy 0: nej, 1: ja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Kredithistorik OK</w:t>
            </w:r>
          </w:p>
        </w:tc>
        <w:tc>
          <w:tcPr/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Dummy 0: nej, 1: ja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Boligudgift, % af disponibel indkomst (ifølge budget)</w:t>
            </w:r>
          </w:p>
        </w:tc>
        <w:tc>
          <w:tcPr/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Samlede faste udgifter, % af disponibel indkomst (ifølge budget)</w:t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Arbejdsløshedsprocent i den branche, hvor låneansøger arbejder</w:t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Gymnasial uddannelse eller derover</w:t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Dummy 0: nej, 1: ja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Ønske om fastforrentet lån?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Dummy 0: nej, 1: ja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Ønsket lånetid (måneder)</w:t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</w:tbl>
    <w:p w:rsidR="00000000" w:rsidDel="00000000" w:rsidP="00000000" w:rsidRDefault="00000000" w:rsidRPr="00000000" w14:paraId="0000009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Calibri" w:cs="Calibri" w:eastAsia="Calibri" w:hAnsi="Calibri"/>
          <w:color w:val="00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widowControl w:val="0"/>
        <w:spacing w:after="24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Resultaterne fra denne stikprøve findes i Excel-filen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Data_bank.xlsx,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du skal benytte dette datasæt i besvarelsen af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Opgave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2 til 6.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Inddel antal børn i 0, 1, 2 og flere end 2 børn. Er den gennemsnitlige samlede nettoformue ens, når man ser på familiens antal af børn?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65.0" w:type="dxa"/>
        <w:jc w:val="left"/>
        <w:tblInd w:w="449.00000000000006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56"/>
        <w:gridCol w:w="4209"/>
        <w:tblGridChange w:id="0">
          <w:tblGrid>
            <w:gridCol w:w="4856"/>
            <w:gridCol w:w="4209"/>
          </w:tblGrid>
        </w:tblGridChange>
      </w:tblGrid>
      <w:tr>
        <w:trPr>
          <w:cantSplit w:val="0"/>
          <w:trHeight w:val="22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ANOVA/ANAVA</w:t>
            </w:r>
          </w:p>
        </w:tc>
      </w:tr>
      <w:tr>
        <w:trPr>
          <w:cantSplit w:val="0"/>
          <w:trHeight w:val="392" w:hRule="atLeast"/>
          <w:tblHeader w:val="0"/>
        </w:trPr>
        <w:tc>
          <w:tcPr/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Forudsætninger</w:t>
            </w:r>
          </w:p>
        </w:tc>
        <w:tc>
          <w:tcPr/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Populationerne er normalfordelte dette undersøges vha. normalfraktildiagram.</w:t>
            </w:r>
          </w:p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Populationerne har IKKE samme varians, dette er undersøgt vha. Bartletts test for varianshomogenitet, se nedenfor.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Hypotese</w:t>
            </w:r>
          </w:p>
        </w:tc>
        <w:tc>
          <w:tcPr/>
          <w:p w:rsidR="00000000" w:rsidDel="00000000" w:rsidP="00000000" w:rsidRDefault="00000000" w:rsidRPr="00000000" w14:paraId="000000A0">
            <w:pPr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  <m:t xml:space="preserve">H</m:t>
                  </m:r>
                </m:e>
                <m:sub>
                  <m: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  <m:t xml:space="preserve">0</m:t>
                  </m:r>
                </m:sub>
              </m:sSub>
              <m:r>
                <w:rPr>
                  <w:rFonts w:ascii="Cambria Math" w:cs="Cambria Math" w:eastAsia="Cambria Math" w:hAnsi="Cambria Math"/>
                  <w:sz w:val="20"/>
                  <w:szCs w:val="20"/>
                </w:rPr>
                <m:t xml:space="preserve">:</m:t>
              </m:r>
            </m:oMath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De gennemsnitlige samlede nettoformue er ens.</w:t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m:oMath>
              <m:r>
                <w:rPr>
                  <w:rFonts w:ascii="Cambria Math" w:cs="Cambria Math" w:eastAsia="Cambria Math" w:hAnsi="Cambria Math"/>
                  <w:sz w:val="20"/>
                  <w:szCs w:val="20"/>
                </w:rPr>
                <m:t xml:space="preserve"> </m:t>
              </m:r>
              <m:sSub>
                <m:sSubPr>
                  <m:ctrlP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  <m:t xml:space="preserve">H</m:t>
                  </m:r>
                </m:e>
                <m:sub>
                  <m: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  <m:t xml:space="preserve">1</m:t>
                  </m:r>
                </m:sub>
              </m:sSub>
              <m:r>
                <w:rPr>
                  <w:rFonts w:ascii="Cambria Math" w:cs="Cambria Math" w:eastAsia="Cambria Math" w:hAnsi="Cambria Math"/>
                  <w:sz w:val="20"/>
                  <w:szCs w:val="20"/>
                </w:rPr>
                <m:t xml:space="preserve">:</m:t>
              </m:r>
            </m:oMath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De gennemsnitlige samlede nettoformue er IKKE ens.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5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Teststørrelse</w:t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 teststørrelse 0.0603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P-værdi/signifikanssandsynlighed</w:t>
            </w:r>
          </w:p>
        </w:tc>
        <w:tc>
          <w:tcPr/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98.06%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Signifikansniveau</w:t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5%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Teknisk konklusion</w:t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 p-værdien 98.06% er klart større end signifikansniveauet på 5%, kan vi ikke forkaste nulhypotesen. Bemærk forudsætningen om varianshomogenitet er IKKE opfyldt, hvilket kan give problemer med kvaliteten af testet.</w:t>
            </w:r>
          </w:p>
        </w:tc>
      </w:tr>
      <w:tr>
        <w:trPr>
          <w:cantSplit w:val="0"/>
          <w:trHeight w:val="644" w:hRule="atLeast"/>
          <w:tblHeader w:val="0"/>
        </w:trPr>
        <w:tc>
          <w:tcPr/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Ikke-teknisk konklusion</w:t>
            </w:r>
          </w:p>
        </w:tc>
        <w:tc>
          <w:tcPr/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 gennemsnitlige samlede nettoformue er ens uanset familiestørrelse. Bemærk forudsætning om varianshomogenitet er ikke opfyldt hvorfor konklusionen er behæftet med usikkerhed </w:t>
            </w:r>
          </w:p>
        </w:tc>
      </w:tr>
      <w:tr>
        <w:trPr>
          <w:cantSplit w:val="0"/>
          <w:trHeight w:val="222" w:hRule="atLeast"/>
          <w:tblHeader w:val="0"/>
        </w:trPr>
        <w:tc>
          <w:tcPr>
            <w:gridSpan w:val="2"/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4226391" cy="458093"/>
                  <wp:effectExtent b="0" l="0" r="0" t="0"/>
                  <wp:docPr id="4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6391" cy="45809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/>
              <w:drawing>
                <wp:inline distB="0" distT="0" distL="0" distR="0">
                  <wp:extent cx="4088334" cy="1312834"/>
                  <wp:effectExtent b="0" l="0" r="0" t="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8334" cy="131283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4158632" cy="1287484"/>
                  <wp:effectExtent b="0" l="0" r="0" t="0"/>
                  <wp:docPr id="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8632" cy="128748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Superløsningen tjekker om populationerne kan antages normalfordelte med normalfraktildiagrammer.</w:t>
            </w:r>
          </w:p>
        </w:tc>
      </w:tr>
    </w:tbl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br w:type="column"/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Inddel fortsat antal børn i 0, 1, 2 og flere end 2 børn, inddel Ansøgt lånebeløb (i 1.000 kr.) i passende kategorier. Er der sammenhæng mellem børn og ansøgt lånebeløb?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85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11"/>
        <w:gridCol w:w="4645"/>
        <w:tblGridChange w:id="0">
          <w:tblGrid>
            <w:gridCol w:w="5211"/>
            <w:gridCol w:w="4645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Chi i anden test</w:t>
            </w:r>
          </w:p>
        </w:tc>
      </w:tr>
      <w:tr>
        <w:trPr>
          <w:cantSplit w:val="0"/>
          <w:trHeight w:val="456" w:hRule="atLeast"/>
          <w:tblHeader w:val="0"/>
        </w:trPr>
        <w:tc>
          <w:tcPr/>
          <w:p w:rsidR="00000000" w:rsidDel="00000000" w:rsidP="00000000" w:rsidRDefault="00000000" w:rsidRPr="00000000" w14:paraId="000000B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Forudsætninger</w:t>
            </w:r>
          </w:p>
        </w:tc>
        <w:tc>
          <w:tcPr/>
          <w:p w:rsidR="00000000" w:rsidDel="00000000" w:rsidP="00000000" w:rsidRDefault="00000000" w:rsidRPr="00000000" w14:paraId="000000B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 forventede celleværdier skal være større end 5 i næsten alle celler, dog er en enkelt værdi mindre.</w:t>
            </w:r>
          </w:p>
        </w:tc>
      </w:tr>
      <w:tr>
        <w:trPr>
          <w:cantSplit w:val="0"/>
          <w:trHeight w:val="256" w:hRule="atLeast"/>
          <w:tblHeader w:val="0"/>
        </w:trPr>
        <w:tc>
          <w:tcPr/>
          <w:p w:rsidR="00000000" w:rsidDel="00000000" w:rsidP="00000000" w:rsidRDefault="00000000" w:rsidRPr="00000000" w14:paraId="000000B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Hypotese</w:t>
            </w:r>
          </w:p>
        </w:tc>
        <w:tc>
          <w:tcPr/>
          <w:p w:rsidR="00000000" w:rsidDel="00000000" w:rsidP="00000000" w:rsidRDefault="00000000" w:rsidRPr="00000000" w14:paraId="000000B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  <m:t xml:space="preserve">H</m:t>
                  </m:r>
                </m:e>
                <m:sub>
                  <m: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  <m:t xml:space="preserve">0</m:t>
                  </m:r>
                </m:sub>
              </m:sSub>
              <m:r>
                <w:rPr>
                  <w:rFonts w:ascii="Cambria Math" w:cs="Cambria Math" w:eastAsia="Cambria Math" w:hAnsi="Cambria Math"/>
                  <w:sz w:val="20"/>
                  <w:szCs w:val="20"/>
                </w:rPr>
                <m:t xml:space="preserve">: </m:t>
              </m:r>
            </m:oMath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Der er uafhængighed dvs. ingen sammenhæng mellem antal børn og ansøgt lånebeløb.</w:t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  <m:t xml:space="preserve">H</m:t>
                  </m:r>
                </m:e>
                <m:sub>
                  <m: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  <m:t xml:space="preserve">1</m:t>
                  </m:r>
                </m:sub>
              </m:sSub>
              <m:r>
                <w:rPr>
                  <w:rFonts w:ascii="Cambria Math" w:cs="Cambria Math" w:eastAsia="Cambria Math" w:hAnsi="Cambria Math"/>
                  <w:sz w:val="20"/>
                  <w:szCs w:val="20"/>
                </w:rPr>
                <m:t xml:space="preserve">: </m:t>
              </m:r>
            </m:oMath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Der er afhængighed dvs. sammenhæng mellem antal børn og ansøgt lånebeløb.</w:t>
            </w:r>
          </w:p>
        </w:tc>
      </w:tr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Teststørrelse</w:t>
            </w:r>
          </w:p>
        </w:tc>
        <w:tc>
          <w:tcPr/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14.61</w:t>
            </w:r>
          </w:p>
        </w:tc>
      </w:tr>
      <w:tr>
        <w:trPr>
          <w:cantSplit w:val="0"/>
          <w:trHeight w:val="256" w:hRule="atLeast"/>
          <w:tblHeader w:val="0"/>
        </w:trPr>
        <w:tc>
          <w:tcPr/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P-værdi/signifikanssandsynlighed</w:t>
            </w:r>
          </w:p>
        </w:tc>
        <w:tc>
          <w:tcPr/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2.35%</w:t>
            </w:r>
          </w:p>
        </w:tc>
      </w:tr>
      <w:tr>
        <w:trPr>
          <w:cantSplit w:val="0"/>
          <w:trHeight w:val="256" w:hRule="atLeast"/>
          <w:tblHeader w:val="0"/>
        </w:trPr>
        <w:tc>
          <w:tcPr/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Signifikansniveau</w:t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5%</w:t>
            </w:r>
          </w:p>
        </w:tc>
      </w:tr>
      <w:tr>
        <w:trPr>
          <w:cantSplit w:val="0"/>
          <w:trHeight w:val="256" w:hRule="atLeast"/>
          <w:tblHeader w:val="0"/>
        </w:trPr>
        <w:tc>
          <w:tcPr/>
          <w:p w:rsidR="00000000" w:rsidDel="00000000" w:rsidP="00000000" w:rsidRDefault="00000000" w:rsidRPr="00000000" w14:paraId="000000C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Teknisk konklusion</w:t>
            </w:r>
          </w:p>
        </w:tc>
        <w:tc>
          <w:tcPr/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 p-værdien 2.35% er mindre end signifikansniveauet på 5%, kan vi forkaste nulhypotesen. Bemærk konklusionen er niveaufølsom.</w:t>
            </w:r>
          </w:p>
        </w:tc>
      </w:tr>
      <w:tr>
        <w:trPr>
          <w:cantSplit w:val="0"/>
          <w:trHeight w:val="749" w:hRule="atLeast"/>
          <w:tblHeader w:val="0"/>
        </w:trPr>
        <w:tc>
          <w:tcPr/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Ikke-teknisk konklusion</w:t>
            </w:r>
          </w:p>
        </w:tc>
        <w:tc>
          <w:tcPr/>
          <w:p w:rsidR="00000000" w:rsidDel="00000000" w:rsidP="00000000" w:rsidRDefault="00000000" w:rsidRPr="00000000" w14:paraId="000000C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Der er afhængighed dvs. sammenhæng mellem antal børn og ansøgt lånebeløb. 2 cellebidrag med værdi 4.68 og 3.11 er interessante. Folk uden børn ansøger sjældnere om lån på over 2 mio. Folk med flere end 2 børn oftere end forventet.</w:t>
            </w:r>
          </w:p>
        </w:tc>
      </w:tr>
      <w:tr>
        <w:trPr>
          <w:cantSplit w:val="0"/>
          <w:trHeight w:val="259" w:hRule="atLeast"/>
          <w:tblHeader w:val="0"/>
        </w:trPr>
        <w:tc>
          <w:tcPr>
            <w:gridSpan w:val="2"/>
            <w:tcMar>
              <w:left w:w="70.0" w:type="dxa"/>
              <w:right w:w="70.0" w:type="dxa"/>
            </w:tcMar>
          </w:tcPr>
          <w:p w:rsidR="00000000" w:rsidDel="00000000" w:rsidP="00000000" w:rsidRDefault="00000000" w:rsidRPr="00000000" w14:paraId="000000C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4303373" cy="646054"/>
                  <wp:effectExtent b="0" l="0" r="0" t="0"/>
                  <wp:docPr id="5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3373" cy="64605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4307583" cy="580921"/>
                  <wp:effectExtent b="0" l="0" r="0" t="0"/>
                  <wp:docPr id="8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7583" cy="5809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4315725" cy="582019"/>
                  <wp:effectExtent b="0" l="0" r="0" t="0"/>
                  <wp:docPr id="7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5725" cy="58201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4379464" cy="330097"/>
                  <wp:effectExtent b="0" l="0" r="0" t="0"/>
                  <wp:docPr id="10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9464" cy="33009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4251775" cy="664782"/>
                  <wp:effectExtent b="0" l="0" r="0" t="0"/>
                  <wp:docPr id="9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1775" cy="66478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1556611" cy="1174892"/>
                  <wp:effectExtent b="0" l="0" r="0" t="0"/>
                  <wp:docPr id="1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611" cy="117489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D">
      <w:pPr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br w:type="column"/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Afgør ud fra en statistisk analyse, om gifte oftere er selvstændige.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741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786"/>
        <w:gridCol w:w="4955"/>
        <w:tblGridChange w:id="0">
          <w:tblGrid>
            <w:gridCol w:w="4786"/>
            <w:gridCol w:w="4955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Chi i anden test</w:t>
            </w:r>
          </w:p>
        </w:tc>
      </w:tr>
      <w:tr>
        <w:trPr>
          <w:cantSplit w:val="0"/>
          <w:trHeight w:val="456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Forudsætninger</w:t>
            </w:r>
          </w:p>
        </w:tc>
        <w:tc>
          <w:tcPr/>
          <w:p w:rsidR="00000000" w:rsidDel="00000000" w:rsidP="00000000" w:rsidRDefault="00000000" w:rsidRPr="00000000" w14:paraId="000000D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 forventede celleværdier er større end 5.</w:t>
            </w:r>
          </w:p>
        </w:tc>
      </w:tr>
      <w:tr>
        <w:trPr>
          <w:cantSplit w:val="0"/>
          <w:trHeight w:val="256" w:hRule="atLeast"/>
          <w:tblHeader w:val="0"/>
        </w:trPr>
        <w:tc>
          <w:tcPr/>
          <w:p w:rsidR="00000000" w:rsidDel="00000000" w:rsidP="00000000" w:rsidRDefault="00000000" w:rsidRPr="00000000" w14:paraId="000000D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Hypotese</w:t>
            </w:r>
          </w:p>
        </w:tc>
        <w:tc>
          <w:tcPr/>
          <w:p w:rsidR="00000000" w:rsidDel="00000000" w:rsidP="00000000" w:rsidRDefault="00000000" w:rsidRPr="00000000" w14:paraId="000000D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  <m:t xml:space="preserve">H</m:t>
                  </m:r>
                </m:e>
                <m:sub>
                  <m: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  <m:t xml:space="preserve">0</m:t>
                  </m:r>
                </m:sub>
              </m:sSub>
              <m:r>
                <w:rPr>
                  <w:rFonts w:ascii="Cambria Math" w:cs="Cambria Math" w:eastAsia="Cambria Math" w:hAnsi="Cambria Math"/>
                  <w:sz w:val="20"/>
                  <w:szCs w:val="20"/>
                </w:rPr>
                <m:t xml:space="preserve">: </m:t>
              </m:r>
            </m:oMath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Der er uafhængighed dvs. ingen sammenhæng mellem ægtestand om man er selvstændig.</w:t>
            </w:r>
          </w:p>
          <w:p w:rsidR="00000000" w:rsidDel="00000000" w:rsidP="00000000" w:rsidRDefault="00000000" w:rsidRPr="00000000" w14:paraId="000000D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  <m:t xml:space="preserve">H</m:t>
                  </m:r>
                </m:e>
                <m:sub>
                  <m:r>
                    <w:rPr>
                      <w:rFonts w:ascii="Cambria Math" w:cs="Cambria Math" w:eastAsia="Cambria Math" w:hAnsi="Cambria Math"/>
                      <w:sz w:val="20"/>
                      <w:szCs w:val="20"/>
                    </w:rPr>
                    <m:t xml:space="preserve">1</m:t>
                  </m:r>
                </m:sub>
              </m:sSub>
              <m:r>
                <w:rPr>
                  <w:rFonts w:ascii="Cambria Math" w:cs="Cambria Math" w:eastAsia="Cambria Math" w:hAnsi="Cambria Math"/>
                  <w:sz w:val="20"/>
                  <w:szCs w:val="20"/>
                </w:rPr>
                <m:t xml:space="preserve">: </m:t>
              </m:r>
            </m:oMath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Der er afhængighed dvs. sammenhæng mellem antal mellem ægtestand om man er selvstændig.</w:t>
            </w:r>
          </w:p>
        </w:tc>
      </w:tr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D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Teststørrelse</w:t>
            </w:r>
          </w:p>
        </w:tc>
        <w:tc>
          <w:tcPr/>
          <w:p w:rsidR="00000000" w:rsidDel="00000000" w:rsidP="00000000" w:rsidRDefault="00000000" w:rsidRPr="00000000" w14:paraId="000000D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3.51</w:t>
            </w:r>
          </w:p>
        </w:tc>
      </w:tr>
      <w:tr>
        <w:trPr>
          <w:cantSplit w:val="0"/>
          <w:trHeight w:val="256" w:hRule="atLeast"/>
          <w:tblHeader w:val="0"/>
        </w:trPr>
        <w:tc>
          <w:tcPr/>
          <w:p w:rsidR="00000000" w:rsidDel="00000000" w:rsidP="00000000" w:rsidRDefault="00000000" w:rsidRPr="00000000" w14:paraId="000000D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P-værdi/signifikanssandsynlighed</w:t>
            </w:r>
          </w:p>
        </w:tc>
        <w:tc>
          <w:tcPr/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6.11%</w:t>
            </w:r>
          </w:p>
        </w:tc>
      </w:tr>
      <w:tr>
        <w:trPr>
          <w:cantSplit w:val="0"/>
          <w:trHeight w:val="256" w:hRule="atLeast"/>
          <w:tblHeader w:val="0"/>
        </w:trPr>
        <w:tc>
          <w:tcPr/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Signifikansniveau</w:t>
            </w:r>
          </w:p>
        </w:tc>
        <w:tc>
          <w:tcPr/>
          <w:p w:rsidR="00000000" w:rsidDel="00000000" w:rsidP="00000000" w:rsidRDefault="00000000" w:rsidRPr="00000000" w14:paraId="000000D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5%</w:t>
            </w:r>
          </w:p>
        </w:tc>
      </w:tr>
      <w:tr>
        <w:trPr>
          <w:cantSplit w:val="0"/>
          <w:trHeight w:val="256" w:hRule="atLeast"/>
          <w:tblHeader w:val="0"/>
        </w:trPr>
        <w:tc>
          <w:tcPr/>
          <w:p w:rsidR="00000000" w:rsidDel="00000000" w:rsidP="00000000" w:rsidRDefault="00000000" w:rsidRPr="00000000" w14:paraId="000000D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Teknisk konklusion</w:t>
            </w:r>
          </w:p>
        </w:tc>
        <w:tc>
          <w:tcPr/>
          <w:p w:rsidR="00000000" w:rsidDel="00000000" w:rsidP="00000000" w:rsidRDefault="00000000" w:rsidRPr="00000000" w14:paraId="000000D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 p-værdien 6.11% er større end signifikansniveauet på 5%, kan vi ikke forkaste nulhypotesen. Bemærk konklusionen er niveaufølsom.</w:t>
            </w:r>
          </w:p>
        </w:tc>
      </w:tr>
      <w:tr>
        <w:trPr>
          <w:cantSplit w:val="0"/>
          <w:trHeight w:val="749" w:hRule="atLeast"/>
          <w:tblHeader w:val="0"/>
        </w:trPr>
        <w:tc>
          <w:tcPr/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Ikke-teknisk konklusion</w:t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Der er uafhængighed dvs. ingen sammenhæng mellem mellem ægtestand og om man er selvstændig.</w:t>
            </w:r>
          </w:p>
        </w:tc>
      </w:tr>
      <w:tr>
        <w:trPr>
          <w:cantSplit w:val="0"/>
          <w:trHeight w:val="259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E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2480897" cy="428077"/>
                  <wp:effectExtent b="0" l="0" r="0" t="0"/>
                  <wp:docPr id="1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0897" cy="4280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2455667" cy="385203"/>
                  <wp:effectExtent b="0" l="0" r="0" t="0"/>
                  <wp:docPr id="12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5667" cy="38520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2471105" cy="387625"/>
                  <wp:effectExtent b="0" l="0" r="0" t="0"/>
                  <wp:docPr id="14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105" cy="3876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4908670" cy="369985"/>
                  <wp:effectExtent b="0" l="0" r="0" t="0"/>
                  <wp:docPr id="1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8670" cy="3699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4668374" cy="729918"/>
                  <wp:effectExtent b="0" l="0" r="0" t="0"/>
                  <wp:docPr id="16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8374" cy="72991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C">
      <w:pPr>
        <w:rPr>
          <w:rFonts w:ascii="Calibri" w:cs="Calibri" w:eastAsia="Calibri" w:hAnsi="Calibri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br w:type="column"/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Banken ønsker at identificere variable med samme karakteristika, hvilken strukturanalyse, ville banken kunne benytte? (Du skal IKKE gennemføre analysen, men blot argumentere for hvilken strukturanalyse man vil kunne benytte.)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Her kan man benytte en faktoranalyse.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Faktoranalysen kan belyse sammenhænge mellem variable i spørgeskemaet fra banken.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Banken er interesseret i en dybere analyse af de ugifte kunder. Tegn og indsæt et klyngeplot med 3 klynger, hvilke kunder er i klyngerne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VIGTIGT: INDEN du går i gang SKAL du reducere bankdatasættet.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 skal fjerne alle gifte personer fra datasættet. 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Fjern variablen ”Salgspris for fraflyttet bolig (i 1.000 kr.)”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Fjern variablen ”Gift”</w:t>
      </w:r>
    </w:p>
    <w:p w:rsidR="00000000" w:rsidDel="00000000" w:rsidP="00000000" w:rsidRDefault="00000000" w:rsidRPr="00000000" w14:paraId="000000F6">
      <w:pPr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ind w:left="1080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highlight w:val="yellow"/>
          <w:rtl w:val="0"/>
        </w:rPr>
        <w:t xml:space="preserve">Datasættet kan reduceres i Excel med fx filter, hvis ikke du reducerer datasættet, kan du ikke gennemføre analysen da klyngeanalysen fordrer kvantitative data. Herunder er benyttet R til at reducere datasættet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ind w:left="1080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ind w:left="1080" w:firstLine="0"/>
        <w:rPr>
          <w:rFonts w:ascii="Calibri" w:cs="Calibri" w:eastAsia="Calibri" w:hAnsi="Calibri"/>
          <w:i w:val="1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highlight w:val="yellow"/>
          <w:rtl w:val="0"/>
        </w:rPr>
        <w:t xml:space="preserve"># R kode</w:t>
      </w:r>
    </w:p>
    <w:p w:rsidR="00000000" w:rsidDel="00000000" w:rsidP="00000000" w:rsidRDefault="00000000" w:rsidRPr="00000000" w14:paraId="000000FA">
      <w:pPr>
        <w:ind w:left="1080" w:firstLine="0"/>
        <w:rPr>
          <w:rFonts w:ascii="Calibri" w:cs="Calibri" w:eastAsia="Calibri" w:hAnsi="Calibri"/>
          <w:i w:val="1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highlight w:val="yellow"/>
          <w:rtl w:val="0"/>
        </w:rPr>
        <w:t xml:space="preserve">#Importer Data_bank fra Excel til R</w:t>
      </w:r>
    </w:p>
    <w:p w:rsidR="00000000" w:rsidDel="00000000" w:rsidP="00000000" w:rsidRDefault="00000000" w:rsidRPr="00000000" w14:paraId="000000FB">
      <w:pPr>
        <w:ind w:left="1080" w:firstLine="0"/>
        <w:rPr>
          <w:rFonts w:ascii="Calibri" w:cs="Calibri" w:eastAsia="Calibri" w:hAnsi="Calibri"/>
          <w:i w:val="1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highlight w:val="yellow"/>
          <w:rtl w:val="0"/>
        </w:rPr>
        <w:t xml:space="preserve">bank &lt;- Data_bank</w:t>
      </w:r>
    </w:p>
    <w:p w:rsidR="00000000" w:rsidDel="00000000" w:rsidP="00000000" w:rsidRDefault="00000000" w:rsidRPr="00000000" w14:paraId="000000FC">
      <w:pPr>
        <w:ind w:left="1080" w:firstLine="0"/>
        <w:rPr>
          <w:rFonts w:ascii="Calibri" w:cs="Calibri" w:eastAsia="Calibri" w:hAnsi="Calibri"/>
          <w:i w:val="1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highlight w:val="yellow"/>
          <w:rtl w:val="0"/>
        </w:rPr>
        <w:t xml:space="preserve">bankugift &lt;- subset(bank,bank$`Gift Dummy`==0) #Kun gifte i datasættet </w:t>
      </w:r>
    </w:p>
    <w:p w:rsidR="00000000" w:rsidDel="00000000" w:rsidP="00000000" w:rsidRDefault="00000000" w:rsidRPr="00000000" w14:paraId="000000FD">
      <w:pPr>
        <w:ind w:left="1080" w:firstLine="0"/>
        <w:rPr>
          <w:rFonts w:ascii="Calibri" w:cs="Calibri" w:eastAsia="Calibri" w:hAnsi="Calibri"/>
          <w:i w:val="1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highlight w:val="yellow"/>
          <w:rtl w:val="0"/>
        </w:rPr>
        <w:t xml:space="preserve">bankugift &lt;- bankugift[,c(-3,-7)] #Fjern variablene "Salgspris for fraflyttet bolig (i 1.000 kr.)" og "Gift" </w:t>
      </w:r>
    </w:p>
    <w:p w:rsidR="00000000" w:rsidDel="00000000" w:rsidP="00000000" w:rsidRDefault="00000000" w:rsidRPr="00000000" w14:paraId="000000FE">
      <w:pPr>
        <w:ind w:left="1080" w:firstLine="0"/>
        <w:rPr>
          <w:rFonts w:ascii="Calibri" w:cs="Calibri" w:eastAsia="Calibri" w:hAnsi="Calibri"/>
          <w:i w:val="1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highlight w:val="yellow"/>
          <w:rtl w:val="0"/>
        </w:rPr>
        <w:t xml:space="preserve">pacman::p_load(factoextra) # Installer og load factoextra pakken</w:t>
      </w:r>
    </w:p>
    <w:p w:rsidR="00000000" w:rsidDel="00000000" w:rsidP="00000000" w:rsidRDefault="00000000" w:rsidRPr="00000000" w14:paraId="000000FF">
      <w:pPr>
        <w:ind w:left="1080" w:firstLine="0"/>
        <w:rPr>
          <w:rFonts w:ascii="Calibri" w:cs="Calibri" w:eastAsia="Calibri" w:hAnsi="Calibri"/>
          <w:i w:val="1"/>
          <w:highlight w:val="yellow"/>
        </w:rPr>
      </w:pPr>
      <w:r w:rsidDel="00000000" w:rsidR="00000000" w:rsidRPr="00000000">
        <w:rPr>
          <w:rFonts w:ascii="Calibri" w:cs="Calibri" w:eastAsia="Calibri" w:hAnsi="Calibri"/>
          <w:i w:val="1"/>
          <w:highlight w:val="yellow"/>
          <w:rtl w:val="0"/>
        </w:rPr>
        <w:t xml:space="preserve">km3 &lt;- kmeans(scale(bankugift), 3, nstart = 25)</w:t>
      </w:r>
    </w:p>
    <w:p w:rsidR="00000000" w:rsidDel="00000000" w:rsidP="00000000" w:rsidRDefault="00000000" w:rsidRPr="00000000" w14:paraId="00000100">
      <w:pPr>
        <w:ind w:left="1080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  <w:highlight w:val="yellow"/>
          <w:rtl w:val="0"/>
        </w:rPr>
        <w:t xml:space="preserve">fviz_cluster(km3, data = bankugift, main = "Klyngeplot bank opdelt i 3 klynger",repel = TRUE)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ind w:left="1080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ind w:left="1080" w:firstLine="0"/>
        <w:rPr>
          <w:rFonts w:ascii="Calibri" w:cs="Calibri" w:eastAsia="Calibri" w:hAnsi="Calibri"/>
          <w:i w:val="1"/>
        </w:rPr>
      </w:pPr>
      <w:r w:rsidDel="00000000" w:rsidR="00000000" w:rsidRPr="00000000">
        <w:rPr>
          <w:rFonts w:ascii="Calibri" w:cs="Calibri" w:eastAsia="Calibri" w:hAnsi="Calibri"/>
          <w:i w:val="1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350933" cy="6924768"/>
            <wp:effectExtent b="0" l="0" r="0" t="0"/>
            <wp:wrapSquare wrapText="bothSides" distB="0" distT="0" distL="114300" distR="11430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50933" cy="692476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headerReference r:id="rId22" w:type="default"/>
      <w:footerReference r:id="rId23" w:type="default"/>
      <w:footerReference r:id="rId24" w:type="even"/>
      <w:pgSz w:h="16840" w:w="11900" w:orient="portrait"/>
      <w:pgMar w:bottom="1701" w:top="1701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Cambria Math">
    <w:embedRegular w:fontKey="{00000000-0000-0000-0000-000000000000}" r:id="rId3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left" w:leader="none" w:pos="5169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Finansbachelor</w:t>
      <w:tab/>
      <w:tab/>
      <w:tab/>
      <w:t xml:space="preserve">DEMO</w:t>
    </w:r>
  </w:p>
  <w:p w:rsidR="00000000" w:rsidDel="00000000" w:rsidP="00000000" w:rsidRDefault="00000000" w:rsidRPr="00000000" w14:paraId="0000010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left" w:leader="none" w:pos="5169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Kvantitative metoder i den finansielle sektor</w:t>
    </w:r>
  </w:p>
  <w:p w:rsidR="00000000" w:rsidDel="00000000" w:rsidP="00000000" w:rsidRDefault="00000000" w:rsidRPr="00000000" w14:paraId="0000010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left" w:leader="none" w:pos="5169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da-DK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5.png"/><Relationship Id="rId11" Type="http://schemas.openxmlformats.org/officeDocument/2006/relationships/image" Target="media/image11.png"/><Relationship Id="rId22" Type="http://schemas.openxmlformats.org/officeDocument/2006/relationships/header" Target="header1.xml"/><Relationship Id="rId10" Type="http://schemas.openxmlformats.org/officeDocument/2006/relationships/image" Target="media/image13.png"/><Relationship Id="rId21" Type="http://schemas.openxmlformats.org/officeDocument/2006/relationships/image" Target="media/image2.png"/><Relationship Id="rId13" Type="http://schemas.openxmlformats.org/officeDocument/2006/relationships/image" Target="media/image7.png"/><Relationship Id="rId24" Type="http://schemas.openxmlformats.org/officeDocument/2006/relationships/footer" Target="footer1.xml"/><Relationship Id="rId12" Type="http://schemas.openxmlformats.org/officeDocument/2006/relationships/image" Target="media/image12.png"/><Relationship Id="rId23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5" Type="http://schemas.openxmlformats.org/officeDocument/2006/relationships/image" Target="media/image5.png"/><Relationship Id="rId14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6.png"/><Relationship Id="rId5" Type="http://schemas.openxmlformats.org/officeDocument/2006/relationships/styles" Target="styles.xml"/><Relationship Id="rId19" Type="http://schemas.openxmlformats.org/officeDocument/2006/relationships/image" Target="media/image4.png"/><Relationship Id="rId6" Type="http://schemas.openxmlformats.org/officeDocument/2006/relationships/image" Target="media/image16.png"/><Relationship Id="rId18" Type="http://schemas.openxmlformats.org/officeDocument/2006/relationships/image" Target="media/image14.png"/><Relationship Id="rId7" Type="http://schemas.openxmlformats.org/officeDocument/2006/relationships/image" Target="media/image8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