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Test om der er sammenhæng mellem boligtype og om ejendommen tidligere har været udbudt? </w:t>
      </w:r>
    </w:p>
    <w:tbl>
      <w:tblPr>
        <w:tblStyle w:val="Table1"/>
        <w:tblW w:w="985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11"/>
        <w:gridCol w:w="4645"/>
        <w:tblGridChange w:id="0">
          <w:tblGrid>
            <w:gridCol w:w="5211"/>
            <w:gridCol w:w="4645"/>
          </w:tblGrid>
        </w:tblGridChange>
      </w:tblGrid>
      <w:tr>
        <w:trPr>
          <w:cantSplit w:val="0"/>
          <w:trHeight w:val="256" w:hRule="atLeast"/>
          <w:tblHeader w:val="0"/>
        </w:trPr>
        <w:tc>
          <w:tcPr>
            <w:gridSpan w:val="2"/>
          </w:tcPr>
          <w:p w:rsidR="00000000" w:rsidDel="00000000" w:rsidP="00000000" w:rsidRDefault="00000000" w:rsidRPr="00000000" w14:paraId="00000002">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 i anden test</w:t>
            </w:r>
          </w:p>
        </w:tc>
      </w:tr>
      <w:tr>
        <w:trPr>
          <w:cantSplit w:val="0"/>
          <w:trHeight w:val="456" w:hRule="atLeast"/>
          <w:tblHeader w:val="0"/>
        </w:trPr>
        <w:tc>
          <w:tcPr/>
          <w:p w:rsidR="00000000" w:rsidDel="00000000" w:rsidP="00000000" w:rsidRDefault="00000000" w:rsidRPr="00000000" w14:paraId="00000004">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Argumentation for Chi i anden analyse</w:t>
            </w:r>
          </w:p>
        </w:tc>
        <w:tc>
          <w:tcPr/>
          <w:p w:rsidR="00000000" w:rsidDel="00000000" w:rsidP="00000000" w:rsidRDefault="00000000" w:rsidRPr="00000000" w14:paraId="00000005">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Da vi ønsker at analysere sammenhængen mellem 2 kvalitative variable benyttes et Chi i andet test.</w:t>
            </w:r>
          </w:p>
        </w:tc>
      </w:tr>
      <w:tr>
        <w:trPr>
          <w:cantSplit w:val="0"/>
          <w:trHeight w:val="456" w:hRule="atLeast"/>
          <w:tblHeader w:val="0"/>
        </w:trPr>
        <w:tc>
          <w:tcPr/>
          <w:p w:rsidR="00000000" w:rsidDel="00000000" w:rsidP="00000000" w:rsidRDefault="00000000" w:rsidRPr="00000000" w14:paraId="00000006">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Forudsætninger</w:t>
            </w:r>
          </w:p>
        </w:tc>
        <w:tc>
          <w:tcPr/>
          <w:p w:rsidR="00000000" w:rsidDel="00000000" w:rsidP="00000000" w:rsidRDefault="00000000" w:rsidRPr="00000000" w14:paraId="0000000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 forventede celleværdier bør være større end 5, for at sikre kvaliteten af testen. Fritidsgrunde samt helårsgrunde er sammenlagt til kategorien Grunde. </w:t>
            </w:r>
          </w:p>
          <w:p w:rsidR="00000000" w:rsidDel="00000000" w:rsidP="00000000" w:rsidRDefault="00000000" w:rsidRPr="00000000" w14:paraId="00000008">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Landejendomme er udeladt af analysen, da sammenlægning med øvrige kategorier ikke giver mening.</w:t>
            </w:r>
          </w:p>
          <w:p w:rsidR="00000000" w:rsidDel="00000000" w:rsidP="00000000" w:rsidRDefault="00000000" w:rsidRPr="00000000" w14:paraId="0000000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 Forventede celleværdier er en smule under 5, hvilket ikke anses at have betydning for analysen.</w:t>
            </w:r>
          </w:p>
        </w:tc>
      </w:tr>
      <w:tr>
        <w:trPr>
          <w:cantSplit w:val="0"/>
          <w:trHeight w:val="256" w:hRule="atLeast"/>
          <w:tblHeader w:val="0"/>
        </w:trPr>
        <w:tc>
          <w:tcPr/>
          <w:p w:rsidR="00000000" w:rsidDel="00000000" w:rsidP="00000000" w:rsidRDefault="00000000" w:rsidRPr="00000000" w14:paraId="0000000A">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Hypotese</w:t>
            </w:r>
          </w:p>
        </w:tc>
        <w:tc>
          <w:tcPr/>
          <w:p w:rsidR="00000000" w:rsidDel="00000000" w:rsidP="00000000" w:rsidRDefault="00000000" w:rsidRPr="00000000" w14:paraId="0000000B">
            <w:pPr>
              <w:jc w:val="center"/>
              <w:rPr>
                <w:rFonts w:ascii="Calibri" w:cs="Calibri" w:eastAsia="Calibri" w:hAnsi="Calibri"/>
                <w:sz w:val="20"/>
                <w:szCs w:val="20"/>
              </w:rPr>
            </w:pPr>
            <m:oMath>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H</m:t>
                  </m:r>
                </m:e>
                <m:sub>
                  <m:r>
                    <w:rPr>
                      <w:rFonts w:ascii="Cambria Math" w:cs="Cambria Math" w:eastAsia="Cambria Math" w:hAnsi="Cambria Math"/>
                      <w:sz w:val="20"/>
                      <w:szCs w:val="20"/>
                    </w:rPr>
                    <m:t xml:space="preserve">0</m:t>
                  </m:r>
                </m:sub>
              </m:sSub>
              <m:r>
                <w:rPr>
                  <w:rFonts w:ascii="Cambria Math" w:cs="Cambria Math" w:eastAsia="Cambria Math" w:hAnsi="Cambria Math"/>
                  <w:sz w:val="20"/>
                  <w:szCs w:val="20"/>
                </w:rPr>
                <m:t xml:space="preserve">: </m:t>
              </m:r>
            </m:oMath>
            <w:r w:rsidDel="00000000" w:rsidR="00000000" w:rsidRPr="00000000">
              <w:rPr>
                <w:rFonts w:ascii="Calibri" w:cs="Calibri" w:eastAsia="Calibri" w:hAnsi="Calibri"/>
                <w:sz w:val="20"/>
                <w:szCs w:val="20"/>
                <w:rtl w:val="0"/>
              </w:rPr>
              <w:t xml:space="preserve">Der er uafhængighed dvs. ingen sammenhæng mellem boligtype og hvorvidt boligen tidligere har været udbudt til salg</w:t>
            </w:r>
          </w:p>
          <w:p w:rsidR="00000000" w:rsidDel="00000000" w:rsidP="00000000" w:rsidRDefault="00000000" w:rsidRPr="00000000" w14:paraId="0000000C">
            <w:pPr>
              <w:jc w:val="center"/>
              <w:rPr>
                <w:rFonts w:ascii="Calibri" w:cs="Calibri" w:eastAsia="Calibri" w:hAnsi="Calibri"/>
                <w:sz w:val="20"/>
                <w:szCs w:val="20"/>
              </w:rPr>
            </w:pPr>
            <m:oMath>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H</m:t>
                  </m:r>
                </m:e>
                <m:sub>
                  <m:r>
                    <w:rPr>
                      <w:rFonts w:ascii="Cambria Math" w:cs="Cambria Math" w:eastAsia="Cambria Math" w:hAnsi="Cambria Math"/>
                      <w:sz w:val="20"/>
                      <w:szCs w:val="20"/>
                    </w:rPr>
                    <m:t xml:space="preserve">1</m:t>
                  </m:r>
                </m:sub>
              </m:sSub>
              <m:r>
                <w:rPr>
                  <w:rFonts w:ascii="Cambria Math" w:cs="Cambria Math" w:eastAsia="Cambria Math" w:hAnsi="Cambria Math"/>
                  <w:sz w:val="20"/>
                  <w:szCs w:val="20"/>
                </w:rPr>
                <m:t xml:space="preserve">: </m:t>
              </m:r>
            </m:oMath>
            <w:r w:rsidDel="00000000" w:rsidR="00000000" w:rsidRPr="00000000">
              <w:rPr>
                <w:rFonts w:ascii="Calibri" w:cs="Calibri" w:eastAsia="Calibri" w:hAnsi="Calibri"/>
                <w:sz w:val="20"/>
                <w:szCs w:val="20"/>
                <w:rtl w:val="0"/>
              </w:rPr>
              <w:t xml:space="preserve">Der er afhængighed dvs. sammenhæng mellem boligtype og hvorvidt boligen tidligere har været udbudt til salg</w:t>
            </w:r>
          </w:p>
        </w:tc>
      </w:tr>
      <w:tr>
        <w:trPr>
          <w:cantSplit w:val="0"/>
          <w:trHeight w:val="274" w:hRule="atLeast"/>
          <w:tblHeader w:val="0"/>
        </w:trPr>
        <w:tc>
          <w:tcPr/>
          <w:p w:rsidR="00000000" w:rsidDel="00000000" w:rsidP="00000000" w:rsidRDefault="00000000" w:rsidRPr="00000000" w14:paraId="0000000D">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Teststørrelse</w:t>
            </w:r>
          </w:p>
        </w:tc>
        <w:tc>
          <w:tcPr/>
          <w:p w:rsidR="00000000" w:rsidDel="00000000" w:rsidP="00000000" w:rsidRDefault="00000000" w:rsidRPr="00000000" w14:paraId="0000000E">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4,83</w:t>
            </w:r>
          </w:p>
        </w:tc>
      </w:tr>
      <w:tr>
        <w:trPr>
          <w:cantSplit w:val="0"/>
          <w:trHeight w:val="256" w:hRule="atLeast"/>
          <w:tblHeader w:val="0"/>
        </w:trPr>
        <w:tc>
          <w:tcPr/>
          <w:p w:rsidR="00000000" w:rsidDel="00000000" w:rsidP="00000000" w:rsidRDefault="00000000" w:rsidRPr="00000000" w14:paraId="0000000F">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P-værdi/signifikanssandsynlighed</w:t>
            </w:r>
          </w:p>
        </w:tc>
        <w:tc>
          <w:tcPr/>
          <w:p w:rsidR="00000000" w:rsidDel="00000000" w:rsidP="00000000" w:rsidRDefault="00000000" w:rsidRPr="00000000" w14:paraId="00000010">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30,54%</w:t>
            </w:r>
          </w:p>
        </w:tc>
      </w:tr>
      <w:tr>
        <w:trPr>
          <w:cantSplit w:val="0"/>
          <w:trHeight w:val="256" w:hRule="atLeast"/>
          <w:tblHeader w:val="0"/>
        </w:trPr>
        <w:tc>
          <w:tcPr/>
          <w:p w:rsidR="00000000" w:rsidDel="00000000" w:rsidP="00000000" w:rsidRDefault="00000000" w:rsidRPr="00000000" w14:paraId="00000011">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Signifikansniveau</w:t>
            </w:r>
          </w:p>
        </w:tc>
        <w:tc>
          <w:tcPr/>
          <w:p w:rsidR="00000000" w:rsidDel="00000000" w:rsidP="00000000" w:rsidRDefault="00000000" w:rsidRPr="00000000" w14:paraId="00000012">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w:t>
            </w:r>
          </w:p>
        </w:tc>
      </w:tr>
      <w:tr>
        <w:trPr>
          <w:cantSplit w:val="0"/>
          <w:trHeight w:val="256" w:hRule="atLeast"/>
          <w:tblHeader w:val="0"/>
        </w:trPr>
        <w:tc>
          <w:tcPr/>
          <w:p w:rsidR="00000000" w:rsidDel="00000000" w:rsidP="00000000" w:rsidRDefault="00000000" w:rsidRPr="00000000" w14:paraId="00000013">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Teknisk konklusion</w:t>
            </w:r>
          </w:p>
        </w:tc>
        <w:tc>
          <w:tcPr/>
          <w:p w:rsidR="00000000" w:rsidDel="00000000" w:rsidP="00000000" w:rsidRDefault="00000000" w:rsidRPr="00000000" w14:paraId="00000014">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Da p-værdien 30,54% er større end signifikansniveauet på 5%, kan vi ikke forkaste nulhypotesen.</w:t>
            </w:r>
          </w:p>
        </w:tc>
      </w:tr>
      <w:tr>
        <w:trPr>
          <w:cantSplit w:val="0"/>
          <w:trHeight w:val="749" w:hRule="atLeast"/>
          <w:tblHeader w:val="0"/>
        </w:trPr>
        <w:tc>
          <w:tcPr/>
          <w:p w:rsidR="00000000" w:rsidDel="00000000" w:rsidP="00000000" w:rsidRDefault="00000000" w:rsidRPr="00000000" w14:paraId="00000015">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Ikke-teknisk konklusion</w:t>
            </w:r>
          </w:p>
        </w:tc>
        <w:tc>
          <w:tcPr/>
          <w:p w:rsidR="00000000" w:rsidDel="00000000" w:rsidP="00000000" w:rsidRDefault="00000000" w:rsidRPr="00000000" w14:paraId="00000016">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Der er uafhængighed dvs. ingen sammenhæng mellem boligtype og hvorvidt boligen tidligere har været udbudt til salg.</w:t>
            </w:r>
          </w:p>
        </w:tc>
      </w:tr>
      <w:tr>
        <w:trPr>
          <w:cantSplit w:val="0"/>
          <w:trHeight w:val="259" w:hRule="atLeast"/>
          <w:tblHeader w:val="0"/>
        </w:trPr>
        <w:tc>
          <w:tcPr>
            <w:gridSpan w:val="2"/>
          </w:tcPr>
          <w:p w:rsidR="00000000" w:rsidDel="00000000" w:rsidP="00000000" w:rsidRDefault="00000000" w:rsidRPr="00000000" w14:paraId="00000017">
            <w:pPr>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1748661" cy="2662436"/>
                  <wp:effectExtent b="0" l="0" r="0" t="0"/>
                  <wp:docPr id="1"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1748661" cy="2662436"/>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788905" cy="1121182"/>
                  <wp:effectExtent b="0" l="0" r="0" t="0"/>
                  <wp:docPr id="3"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3788905" cy="1121182"/>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280" w:line="240" w:lineRule="auto"/>
        <w:ind w:left="720" w:right="0" w:hanging="36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Inddel kvadratmeterpris i passende intervaller. Afgør ud fra en statistisk analyse, om kvadratmeterprisen afhænger af boligtypen. </w:t>
      </w:r>
    </w:p>
    <w:tbl>
      <w:tblPr>
        <w:tblStyle w:val="Table2"/>
        <w:tblW w:w="974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6"/>
        <w:gridCol w:w="4955"/>
        <w:tblGridChange w:id="0">
          <w:tblGrid>
            <w:gridCol w:w="4786"/>
            <w:gridCol w:w="4955"/>
          </w:tblGrid>
        </w:tblGridChange>
      </w:tblGrid>
      <w:tr>
        <w:trPr>
          <w:cantSplit w:val="0"/>
          <w:trHeight w:val="256" w:hRule="atLeast"/>
          <w:tblHeader w:val="0"/>
        </w:trPr>
        <w:tc>
          <w:tcPr>
            <w:gridSpan w:val="2"/>
          </w:tcPr>
          <w:p w:rsidR="00000000" w:rsidDel="00000000" w:rsidP="00000000" w:rsidRDefault="00000000" w:rsidRPr="00000000" w14:paraId="0000001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 i anden test</w:t>
            </w:r>
          </w:p>
        </w:tc>
      </w:tr>
      <w:tr>
        <w:trPr>
          <w:cantSplit w:val="0"/>
          <w:trHeight w:val="456" w:hRule="atLeast"/>
          <w:tblHeader w:val="0"/>
        </w:trPr>
        <w:tc>
          <w:tcPr/>
          <w:p w:rsidR="00000000" w:rsidDel="00000000" w:rsidP="00000000" w:rsidRDefault="00000000" w:rsidRPr="00000000" w14:paraId="0000001D">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Argumentation</w:t>
            </w:r>
          </w:p>
        </w:tc>
        <w:tc>
          <w:tcPr/>
          <w:p w:rsidR="00000000" w:rsidDel="00000000" w:rsidP="00000000" w:rsidRDefault="00000000" w:rsidRPr="00000000" w14:paraId="0000001E">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Vi har grupperet de kvantitative data kvadratmeterpris så de bliver kvalitative, og kan benyttes i Chi i andet test. Vi sammenligner således 2 kvalitative variable grupperet kvadratmeterpris og boligtype.</w:t>
            </w:r>
          </w:p>
        </w:tc>
      </w:tr>
      <w:tr>
        <w:trPr>
          <w:cantSplit w:val="0"/>
          <w:trHeight w:val="456" w:hRule="atLeast"/>
          <w:tblHeader w:val="0"/>
        </w:trPr>
        <w:tc>
          <w:tcPr/>
          <w:p w:rsidR="00000000" w:rsidDel="00000000" w:rsidP="00000000" w:rsidRDefault="00000000" w:rsidRPr="00000000" w14:paraId="0000001F">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Forudsætninger</w:t>
            </w:r>
          </w:p>
        </w:tc>
        <w:tc>
          <w:tcPr/>
          <w:p w:rsidR="00000000" w:rsidDel="00000000" w:rsidP="00000000" w:rsidRDefault="00000000" w:rsidRPr="00000000" w14:paraId="00000020">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 forventede celleværdier bør være større end 5, for at sikre kvaliteten af testen. Vi har derfor udeladt kategorierne Fritidsgrund, Helårsgrund samt Landejendom. Enkelte forventede celleværdier er en smule under 5, men dette menes ikke at have betydning for kvaliteten af testen.</w:t>
            </w:r>
          </w:p>
        </w:tc>
      </w:tr>
      <w:tr>
        <w:trPr>
          <w:cantSplit w:val="0"/>
          <w:trHeight w:val="256" w:hRule="atLeast"/>
          <w:tblHeader w:val="0"/>
        </w:trPr>
        <w:tc>
          <w:tcPr/>
          <w:p w:rsidR="00000000" w:rsidDel="00000000" w:rsidP="00000000" w:rsidRDefault="00000000" w:rsidRPr="00000000" w14:paraId="00000021">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Hypotese</w:t>
            </w:r>
          </w:p>
        </w:tc>
        <w:tc>
          <w:tcPr/>
          <w:p w:rsidR="00000000" w:rsidDel="00000000" w:rsidP="00000000" w:rsidRDefault="00000000" w:rsidRPr="00000000" w14:paraId="00000022">
            <w:pPr>
              <w:jc w:val="center"/>
              <w:rPr>
                <w:rFonts w:ascii="Calibri" w:cs="Calibri" w:eastAsia="Calibri" w:hAnsi="Calibri"/>
                <w:sz w:val="20"/>
                <w:szCs w:val="20"/>
              </w:rPr>
            </w:pPr>
            <m:oMath>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H</m:t>
                  </m:r>
                </m:e>
                <m:sub>
                  <m:r>
                    <w:rPr>
                      <w:rFonts w:ascii="Cambria Math" w:cs="Cambria Math" w:eastAsia="Cambria Math" w:hAnsi="Cambria Math"/>
                      <w:sz w:val="20"/>
                      <w:szCs w:val="20"/>
                    </w:rPr>
                    <m:t xml:space="preserve">0</m:t>
                  </m:r>
                </m:sub>
              </m:sSub>
              <m:r>
                <w:rPr>
                  <w:rFonts w:ascii="Cambria Math" w:cs="Cambria Math" w:eastAsia="Cambria Math" w:hAnsi="Cambria Math"/>
                  <w:sz w:val="20"/>
                  <w:szCs w:val="20"/>
                </w:rPr>
                <m:t xml:space="preserve">: </m:t>
              </m:r>
            </m:oMath>
            <w:r w:rsidDel="00000000" w:rsidR="00000000" w:rsidRPr="00000000">
              <w:rPr>
                <w:rFonts w:ascii="Calibri" w:cs="Calibri" w:eastAsia="Calibri" w:hAnsi="Calibri"/>
                <w:sz w:val="20"/>
                <w:szCs w:val="20"/>
                <w:rtl w:val="0"/>
              </w:rPr>
              <w:t xml:space="preserve">Der er uafhængighed dvs. ingen sammenhæng mellem kvadratmeterpris-kategori og boligtype</w:t>
            </w:r>
          </w:p>
          <w:p w:rsidR="00000000" w:rsidDel="00000000" w:rsidP="00000000" w:rsidRDefault="00000000" w:rsidRPr="00000000" w14:paraId="00000023">
            <w:pPr>
              <w:jc w:val="center"/>
              <w:rPr>
                <w:rFonts w:ascii="Calibri" w:cs="Calibri" w:eastAsia="Calibri" w:hAnsi="Calibri"/>
                <w:sz w:val="20"/>
                <w:szCs w:val="20"/>
              </w:rPr>
            </w:pPr>
            <m:oMath>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H</m:t>
                  </m:r>
                </m:e>
                <m:sub>
                  <m:r>
                    <w:rPr>
                      <w:rFonts w:ascii="Cambria Math" w:cs="Cambria Math" w:eastAsia="Cambria Math" w:hAnsi="Cambria Math"/>
                      <w:sz w:val="20"/>
                      <w:szCs w:val="20"/>
                    </w:rPr>
                    <m:t xml:space="preserve">1</m:t>
                  </m:r>
                </m:sub>
              </m:sSub>
              <m:r>
                <w:rPr>
                  <w:rFonts w:ascii="Cambria Math" w:cs="Cambria Math" w:eastAsia="Cambria Math" w:hAnsi="Cambria Math"/>
                  <w:sz w:val="20"/>
                  <w:szCs w:val="20"/>
                </w:rPr>
                <m:t xml:space="preserve">: </m:t>
              </m:r>
            </m:oMath>
            <w:r w:rsidDel="00000000" w:rsidR="00000000" w:rsidRPr="00000000">
              <w:rPr>
                <w:rFonts w:ascii="Calibri" w:cs="Calibri" w:eastAsia="Calibri" w:hAnsi="Calibri"/>
                <w:sz w:val="20"/>
                <w:szCs w:val="20"/>
                <w:rtl w:val="0"/>
              </w:rPr>
              <w:t xml:space="preserve">Der er afhængighed dvs. sammenhæng mellem kvadratmeterpris-kategori og boligtype</w:t>
            </w:r>
          </w:p>
        </w:tc>
      </w:tr>
      <w:tr>
        <w:trPr>
          <w:cantSplit w:val="0"/>
          <w:trHeight w:val="274" w:hRule="atLeast"/>
          <w:tblHeader w:val="0"/>
        </w:trPr>
        <w:tc>
          <w:tcPr/>
          <w:p w:rsidR="00000000" w:rsidDel="00000000" w:rsidP="00000000" w:rsidRDefault="00000000" w:rsidRPr="00000000" w14:paraId="00000024">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Teststørrelse</w:t>
            </w:r>
          </w:p>
        </w:tc>
        <w:tc>
          <w:tcPr/>
          <w:p w:rsidR="00000000" w:rsidDel="00000000" w:rsidP="00000000" w:rsidRDefault="00000000" w:rsidRPr="00000000" w14:paraId="00000025">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91,99</w:t>
            </w:r>
          </w:p>
        </w:tc>
      </w:tr>
      <w:tr>
        <w:trPr>
          <w:cantSplit w:val="0"/>
          <w:trHeight w:val="256" w:hRule="atLeast"/>
          <w:tblHeader w:val="0"/>
        </w:trPr>
        <w:tc>
          <w:tcPr/>
          <w:p w:rsidR="00000000" w:rsidDel="00000000" w:rsidP="00000000" w:rsidRDefault="00000000" w:rsidRPr="00000000" w14:paraId="00000026">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P-værdi/signifikanssandsynlighed</w:t>
            </w:r>
          </w:p>
        </w:tc>
        <w:tc>
          <w:tcPr/>
          <w:p w:rsidR="00000000" w:rsidDel="00000000" w:rsidP="00000000" w:rsidRDefault="00000000" w:rsidRPr="00000000" w14:paraId="0000002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w:t>
            </w:r>
          </w:p>
        </w:tc>
      </w:tr>
      <w:tr>
        <w:trPr>
          <w:cantSplit w:val="0"/>
          <w:trHeight w:val="256" w:hRule="atLeast"/>
          <w:tblHeader w:val="0"/>
        </w:trPr>
        <w:tc>
          <w:tcPr/>
          <w:p w:rsidR="00000000" w:rsidDel="00000000" w:rsidP="00000000" w:rsidRDefault="00000000" w:rsidRPr="00000000" w14:paraId="00000028">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Signifikansniveau</w:t>
            </w:r>
          </w:p>
        </w:tc>
        <w:tc>
          <w:tcPr/>
          <w:p w:rsidR="00000000" w:rsidDel="00000000" w:rsidP="00000000" w:rsidRDefault="00000000" w:rsidRPr="00000000" w14:paraId="0000002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w:t>
            </w:r>
          </w:p>
        </w:tc>
      </w:tr>
      <w:tr>
        <w:trPr>
          <w:cantSplit w:val="0"/>
          <w:trHeight w:val="256" w:hRule="atLeast"/>
          <w:tblHeader w:val="0"/>
        </w:trPr>
        <w:tc>
          <w:tcPr/>
          <w:p w:rsidR="00000000" w:rsidDel="00000000" w:rsidP="00000000" w:rsidRDefault="00000000" w:rsidRPr="00000000" w14:paraId="0000002A">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Teknisk konklusion</w:t>
            </w:r>
          </w:p>
        </w:tc>
        <w:tc>
          <w:tcPr/>
          <w:p w:rsidR="00000000" w:rsidDel="00000000" w:rsidP="00000000" w:rsidRDefault="00000000" w:rsidRPr="00000000" w14:paraId="0000002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Da p-værdien 0% er mindre end signifikansniveauet på 5%, forkaster vi klart nulhypotesen.</w:t>
            </w:r>
          </w:p>
        </w:tc>
      </w:tr>
      <w:tr>
        <w:trPr>
          <w:cantSplit w:val="0"/>
          <w:trHeight w:val="749" w:hRule="atLeast"/>
          <w:tblHeader w:val="0"/>
        </w:trPr>
        <w:tc>
          <w:tcPr/>
          <w:p w:rsidR="00000000" w:rsidDel="00000000" w:rsidP="00000000" w:rsidRDefault="00000000" w:rsidRPr="00000000" w14:paraId="0000002C">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Ikke-teknisk konklusion</w:t>
            </w:r>
          </w:p>
        </w:tc>
        <w:tc>
          <w:tcPr/>
          <w:p w:rsidR="00000000" w:rsidDel="00000000" w:rsidP="00000000" w:rsidRDefault="00000000" w:rsidRPr="00000000" w14:paraId="0000002D">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Der er afhængighed dvs. sammenhæng mellem kvadratmeterpris-kategori og boligtype.</w:t>
            </w:r>
          </w:p>
          <w:p w:rsidR="00000000" w:rsidDel="00000000" w:rsidP="00000000" w:rsidRDefault="00000000" w:rsidRPr="00000000" w14:paraId="0000002E">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Udfra de største Chi celle bidrag ses at &gt;40000 Ejerlejligheder er overrepræsenteret vi har observeret 14 og havde kun forventet 4.35 under nulhypotesen.</w:t>
            </w:r>
          </w:p>
          <w:p w:rsidR="00000000" w:rsidDel="00000000" w:rsidP="00000000" w:rsidRDefault="00000000" w:rsidRPr="00000000" w14:paraId="0000002F">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Villaer er ligeledes overrepræsenteret i kategori under 10000. Dette er som vi intuitivt ville forvente da kvm priser for ejerlejligheder alt andet lige er højere end kvm priser for villaer.</w:t>
            </w:r>
          </w:p>
        </w:tc>
      </w:tr>
      <w:tr>
        <w:trPr>
          <w:cantSplit w:val="0"/>
          <w:trHeight w:val="259" w:hRule="atLeast"/>
          <w:tblHeader w:val="0"/>
        </w:trPr>
        <w:tc>
          <w:tcPr>
            <w:gridSpan w:val="2"/>
          </w:tcPr>
          <w:p w:rsidR="00000000" w:rsidDel="00000000" w:rsidP="00000000" w:rsidRDefault="00000000" w:rsidRPr="00000000" w14:paraId="00000030">
            <w:pPr>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2404277" cy="2523007"/>
                  <wp:effectExtent b="0" l="0" r="0" t="0"/>
                  <wp:docPr id="2" name="image16.png"/>
                  <a:graphic>
                    <a:graphicData uri="http://schemas.openxmlformats.org/drawingml/2006/picture">
                      <pic:pic>
                        <pic:nvPicPr>
                          <pic:cNvPr id="0" name="image16.png"/>
                          <pic:cNvPicPr preferRelativeResize="0"/>
                        </pic:nvPicPr>
                        <pic:blipFill>
                          <a:blip r:embed="rId8"/>
                          <a:srcRect b="0" l="0" r="0" t="0"/>
                          <a:stretch>
                            <a:fillRect/>
                          </a:stretch>
                        </pic:blipFill>
                        <pic:spPr>
                          <a:xfrm>
                            <a:off x="0" y="0"/>
                            <a:ext cx="2404277" cy="2523007"/>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2807092" cy="830652"/>
                  <wp:effectExtent b="0" l="0" r="0" t="0"/>
                  <wp:docPr id="5" name="image17.png"/>
                  <a:graphic>
                    <a:graphicData uri="http://schemas.openxmlformats.org/drawingml/2006/picture">
                      <pic:pic>
                        <pic:nvPicPr>
                          <pic:cNvPr id="0" name="image17.png"/>
                          <pic:cNvPicPr preferRelativeResize="0"/>
                        </pic:nvPicPr>
                        <pic:blipFill>
                          <a:blip r:embed="rId9"/>
                          <a:srcRect b="0" l="0" r="0" t="0"/>
                          <a:stretch>
                            <a:fillRect/>
                          </a:stretch>
                        </pic:blipFill>
                        <pic:spPr>
                          <a:xfrm>
                            <a:off x="0" y="0"/>
                            <a:ext cx="2807092" cy="830652"/>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280" w:line="240" w:lineRule="auto"/>
        <w:ind w:left="720" w:right="0" w:hanging="36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Vi ser i dette spørgsmål kun på boligtyperne rækkehus, ejerlejlighed og villaer, fjern de øvrige boligtyper. </w:t>
      </w:r>
    </w:p>
    <w:p w:rsidR="00000000" w:rsidDel="00000000" w:rsidP="00000000" w:rsidRDefault="00000000" w:rsidRPr="00000000" w14:paraId="00000034">
      <w:pPr>
        <w:spacing w:after="280" w:before="280" w:lineRule="auto"/>
        <w:ind w:left="720" w:firstLine="0"/>
        <w:rPr>
          <w:rFonts w:ascii="Calibri" w:cs="Calibri" w:eastAsia="Calibri" w:hAnsi="Calibri"/>
          <w:i w:val="1"/>
        </w:rPr>
      </w:pPr>
      <w:r w:rsidDel="00000000" w:rsidR="00000000" w:rsidRPr="00000000">
        <w:rPr>
          <w:rFonts w:ascii="Calibri" w:cs="Calibri" w:eastAsia="Calibri" w:hAnsi="Calibri"/>
          <w:i w:val="1"/>
          <w:rtl w:val="0"/>
        </w:rPr>
        <w:t xml:space="preserve">a. Test om den gennemsnitlige kontantpris er ens for de 3 boligtyper</w:t>
        <w:br w:type="textWrapping"/>
        <w:t xml:space="preserve">b. Test om den gennemsnitlige kvadratmeterpris er ens for de 3 boligtyper </w:t>
      </w:r>
    </w:p>
    <w:p w:rsidR="00000000" w:rsidDel="00000000" w:rsidP="00000000" w:rsidRDefault="00000000" w:rsidRPr="00000000" w14:paraId="00000035">
      <w:pPr>
        <w:spacing w:after="280" w:before="280" w:lineRule="auto"/>
        <w:ind w:left="720" w:firstLine="0"/>
        <w:rPr>
          <w:rFonts w:ascii="Calibri" w:cs="Calibri" w:eastAsia="Calibri" w:hAnsi="Calibri"/>
          <w:i w:val="1"/>
        </w:rPr>
      </w:pPr>
      <w:r w:rsidDel="00000000" w:rsidR="00000000" w:rsidRPr="00000000">
        <w:rPr>
          <w:rFonts w:ascii="Calibri" w:cs="Calibri" w:eastAsia="Calibri" w:hAnsi="Calibri"/>
          <w:i w:val="1"/>
          <w:rtl w:val="0"/>
        </w:rPr>
        <w:t xml:space="preserve">c. Kommenter superkort om konklusionerne i a og b giver mening </w:t>
      </w:r>
    </w:p>
    <w:tbl>
      <w:tblPr>
        <w:tblStyle w:val="Table3"/>
        <w:tblW w:w="985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32"/>
        <w:gridCol w:w="4724"/>
        <w:tblGridChange w:id="0">
          <w:tblGrid>
            <w:gridCol w:w="5132"/>
            <w:gridCol w:w="4724"/>
          </w:tblGrid>
        </w:tblGridChange>
      </w:tblGrid>
      <w:tr>
        <w:trPr>
          <w:cantSplit w:val="0"/>
          <w:trHeight w:val="256" w:hRule="atLeast"/>
          <w:tblHeader w:val="0"/>
        </w:trPr>
        <w:tc>
          <w:tcPr>
            <w:gridSpan w:val="2"/>
          </w:tcPr>
          <w:p w:rsidR="00000000" w:rsidDel="00000000" w:rsidP="00000000" w:rsidRDefault="00000000" w:rsidRPr="00000000" w14:paraId="00000036">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ANOVA/ANAVA</w:t>
            </w:r>
          </w:p>
        </w:tc>
      </w:tr>
      <w:tr>
        <w:trPr>
          <w:cantSplit w:val="0"/>
          <w:trHeight w:val="456" w:hRule="atLeast"/>
          <w:tblHeader w:val="0"/>
        </w:trPr>
        <w:tc>
          <w:tcPr/>
          <w:p w:rsidR="00000000" w:rsidDel="00000000" w:rsidP="00000000" w:rsidRDefault="00000000" w:rsidRPr="00000000" w14:paraId="00000038">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Argumentation</w:t>
            </w:r>
          </w:p>
        </w:tc>
        <w:tc>
          <w:tcPr/>
          <w:p w:rsidR="00000000" w:rsidDel="00000000" w:rsidP="00000000" w:rsidRDefault="00000000" w:rsidRPr="00000000" w14:paraId="0000003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Da vi ønsker at sammenligne middelværdier for 3 kvantitative variable, benyttes ANOVA analysen.</w:t>
            </w:r>
          </w:p>
        </w:tc>
      </w:tr>
      <w:tr>
        <w:trPr>
          <w:cantSplit w:val="0"/>
          <w:trHeight w:val="456" w:hRule="atLeast"/>
          <w:tblHeader w:val="0"/>
        </w:trPr>
        <w:tc>
          <w:tcPr/>
          <w:p w:rsidR="00000000" w:rsidDel="00000000" w:rsidP="00000000" w:rsidRDefault="00000000" w:rsidRPr="00000000" w14:paraId="0000003A">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Forudsætninger</w:t>
            </w:r>
          </w:p>
        </w:tc>
        <w:tc>
          <w:tcPr/>
          <w:p w:rsidR="00000000" w:rsidDel="00000000" w:rsidP="00000000" w:rsidRDefault="00000000" w:rsidRPr="00000000" w14:paraId="0000003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Populationerne synes ikke normalfordelte dette er undersøgt vha. normalfraktildiagram. Villaer samt ejerlejligheder synes ikke at stamme fra normalfordelte populationer, dette vil kunne give problemer med kvaliteten af analysen (Se normalfraktildiagrammer nedenfor).</w:t>
            </w:r>
          </w:p>
          <w:p w:rsidR="00000000" w:rsidDel="00000000" w:rsidP="00000000" w:rsidRDefault="00000000" w:rsidRPr="00000000" w14:paraId="0000003C">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Populationerne har samme varians, dette er undersøgt vha. Bartletts test for varianshomogenitet, se nedenfor, vi forkaster nulhypotesen, hvorfor de 3 populationer ikke har ens varianser, forudsætningen er således ikke opfyldt hvilket kan give problemer med kvaliteten af analysen.</w:t>
            </w:r>
          </w:p>
        </w:tc>
      </w:tr>
      <w:tr>
        <w:trPr>
          <w:cantSplit w:val="0"/>
          <w:trHeight w:val="256" w:hRule="atLeast"/>
          <w:tblHeader w:val="0"/>
        </w:trPr>
        <w:tc>
          <w:tcPr/>
          <w:p w:rsidR="00000000" w:rsidDel="00000000" w:rsidP="00000000" w:rsidRDefault="00000000" w:rsidRPr="00000000" w14:paraId="0000003D">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Hypotese</w:t>
            </w:r>
          </w:p>
        </w:tc>
        <w:tc>
          <w:tcPr/>
          <w:p w:rsidR="00000000" w:rsidDel="00000000" w:rsidP="00000000" w:rsidRDefault="00000000" w:rsidRPr="00000000" w14:paraId="0000003E">
            <w:pPr>
              <w:jc w:val="center"/>
              <w:rPr>
                <w:rFonts w:ascii="Calibri" w:cs="Calibri" w:eastAsia="Calibri" w:hAnsi="Calibri"/>
                <w:sz w:val="20"/>
                <w:szCs w:val="20"/>
              </w:rPr>
            </w:pPr>
            <m:oMath>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H</m:t>
                  </m:r>
                </m:e>
                <m:sub>
                  <m:r>
                    <w:rPr>
                      <w:rFonts w:ascii="Cambria Math" w:cs="Cambria Math" w:eastAsia="Cambria Math" w:hAnsi="Cambria Math"/>
                      <w:sz w:val="20"/>
                      <w:szCs w:val="20"/>
                    </w:rPr>
                    <m:t xml:space="preserve">0</m:t>
                  </m:r>
                </m:sub>
              </m:sSub>
              <m:r>
                <w:rPr>
                  <w:rFonts w:ascii="Cambria Math" w:cs="Cambria Math" w:eastAsia="Cambria Math" w:hAnsi="Cambria Math"/>
                  <w:sz w:val="20"/>
                  <w:szCs w:val="20"/>
                </w:rPr>
                <m:t xml:space="preserve">:</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μ</m:t>
                  </m:r>
                </m:e>
                <m:sub>
                  <m:r>
                    <w:rPr>
                      <w:rFonts w:ascii="Cambria Math" w:cs="Cambria Math" w:eastAsia="Cambria Math" w:hAnsi="Cambria Math"/>
                      <w:sz w:val="20"/>
                      <w:szCs w:val="20"/>
                    </w:rPr>
                    <m:t xml:space="preserve">ejerlejlighed</m:t>
                  </m:r>
                </m:sub>
              </m:sSub>
              <m:r>
                <w:rPr>
                  <w:rFonts w:ascii="Cambria Math" w:cs="Cambria Math" w:eastAsia="Cambria Math" w:hAnsi="Cambria Math"/>
                  <w:sz w:val="20"/>
                  <w:szCs w:val="20"/>
                </w:rPr>
                <m:t xml:space="preserve">=</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μ</m:t>
                  </m:r>
                </m:e>
                <m:sub>
                  <m:r>
                    <w:rPr>
                      <w:rFonts w:ascii="Cambria Math" w:cs="Cambria Math" w:eastAsia="Cambria Math" w:hAnsi="Cambria Math"/>
                      <w:sz w:val="20"/>
                      <w:szCs w:val="20"/>
                    </w:rPr>
                    <m:t xml:space="preserve">villa</m:t>
                  </m:r>
                </m:sub>
              </m:sSub>
              <m:r>
                <w:rPr>
                  <w:rFonts w:ascii="Cambria Math" w:cs="Cambria Math" w:eastAsia="Cambria Math" w:hAnsi="Cambria Math"/>
                  <w:sz w:val="20"/>
                  <w:szCs w:val="20"/>
                </w:rPr>
                <m:t xml:space="preserve">=</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μ</m:t>
                  </m:r>
                </m:e>
                <m:sub>
                  <m:r>
                    <w:rPr>
                      <w:rFonts w:ascii="Cambria Math" w:cs="Cambria Math" w:eastAsia="Cambria Math" w:hAnsi="Cambria Math"/>
                      <w:sz w:val="20"/>
                      <w:szCs w:val="20"/>
                    </w:rPr>
                    <m:t xml:space="preserve">rækkehus</m:t>
                  </m:r>
                </m:sub>
              </m:sSub>
            </m:oMath>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3F">
            <w:pPr>
              <w:jc w:val="center"/>
              <w:rPr>
                <w:rFonts w:ascii="Calibri" w:cs="Calibri" w:eastAsia="Calibri" w:hAnsi="Calibri"/>
                <w:sz w:val="20"/>
                <w:szCs w:val="20"/>
              </w:rPr>
            </w:pPr>
            <m:oMath>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H</m:t>
                  </m:r>
                </m:e>
                <m:sub>
                  <m:r>
                    <w:rPr>
                      <w:rFonts w:ascii="Cambria Math" w:cs="Cambria Math" w:eastAsia="Cambria Math" w:hAnsi="Cambria Math"/>
                      <w:sz w:val="20"/>
                      <w:szCs w:val="20"/>
                    </w:rPr>
                    <m:t xml:space="preserve">1</m:t>
                  </m:r>
                </m:sub>
              </m:sSub>
              <m:r>
                <w:rPr>
                  <w:rFonts w:ascii="Cambria Math" w:cs="Cambria Math" w:eastAsia="Cambria Math" w:hAnsi="Cambria Math"/>
                  <w:sz w:val="20"/>
                  <w:szCs w:val="20"/>
                </w:rPr>
                <m:t xml:space="preserve">:</m:t>
              </m:r>
            </m:oMath>
            <w:r w:rsidDel="00000000" w:rsidR="00000000" w:rsidRPr="00000000">
              <w:rPr>
                <w:rFonts w:ascii="Calibri" w:cs="Calibri" w:eastAsia="Calibri" w:hAnsi="Calibri"/>
                <w:sz w:val="20"/>
                <w:szCs w:val="20"/>
                <w:rtl w:val="0"/>
              </w:rPr>
              <w:t xml:space="preserve"> Ikke alle gennemsnitlige boligpriser er ens for de 3 ejendomstyper</w:t>
            </w:r>
          </w:p>
        </w:tc>
      </w:tr>
      <w:tr>
        <w:trPr>
          <w:cantSplit w:val="0"/>
          <w:trHeight w:val="274" w:hRule="atLeast"/>
          <w:tblHeader w:val="0"/>
        </w:trPr>
        <w:tc>
          <w:tcPr/>
          <w:p w:rsidR="00000000" w:rsidDel="00000000" w:rsidP="00000000" w:rsidRDefault="00000000" w:rsidRPr="00000000" w14:paraId="00000040">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Teststørrelse</w:t>
            </w:r>
          </w:p>
        </w:tc>
        <w:tc>
          <w:tcPr/>
          <w:p w:rsidR="00000000" w:rsidDel="00000000" w:rsidP="00000000" w:rsidRDefault="00000000" w:rsidRPr="00000000" w14:paraId="00000041">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0,278</w:t>
            </w:r>
          </w:p>
        </w:tc>
      </w:tr>
      <w:tr>
        <w:trPr>
          <w:cantSplit w:val="0"/>
          <w:trHeight w:val="256" w:hRule="atLeast"/>
          <w:tblHeader w:val="0"/>
        </w:trPr>
        <w:tc>
          <w:tcPr/>
          <w:p w:rsidR="00000000" w:rsidDel="00000000" w:rsidP="00000000" w:rsidRDefault="00000000" w:rsidRPr="00000000" w14:paraId="00000042">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P-værdi/signifikanssandsynlighed</w:t>
            </w:r>
          </w:p>
        </w:tc>
        <w:tc>
          <w:tcPr/>
          <w:p w:rsidR="00000000" w:rsidDel="00000000" w:rsidP="00000000" w:rsidRDefault="00000000" w:rsidRPr="00000000" w14:paraId="00000043">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75,75%</w:t>
            </w:r>
          </w:p>
        </w:tc>
      </w:tr>
      <w:tr>
        <w:trPr>
          <w:cantSplit w:val="0"/>
          <w:trHeight w:val="256" w:hRule="atLeast"/>
          <w:tblHeader w:val="0"/>
        </w:trPr>
        <w:tc>
          <w:tcPr/>
          <w:p w:rsidR="00000000" w:rsidDel="00000000" w:rsidP="00000000" w:rsidRDefault="00000000" w:rsidRPr="00000000" w14:paraId="00000044">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Signifikansniveau</w:t>
            </w:r>
          </w:p>
        </w:tc>
        <w:tc>
          <w:tcPr/>
          <w:p w:rsidR="00000000" w:rsidDel="00000000" w:rsidP="00000000" w:rsidRDefault="00000000" w:rsidRPr="00000000" w14:paraId="00000045">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w:t>
            </w:r>
          </w:p>
        </w:tc>
      </w:tr>
      <w:tr>
        <w:trPr>
          <w:cantSplit w:val="0"/>
          <w:trHeight w:val="256" w:hRule="atLeast"/>
          <w:tblHeader w:val="0"/>
        </w:trPr>
        <w:tc>
          <w:tcPr/>
          <w:p w:rsidR="00000000" w:rsidDel="00000000" w:rsidP="00000000" w:rsidRDefault="00000000" w:rsidRPr="00000000" w14:paraId="00000046">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Teknisk konklusion</w:t>
            </w:r>
          </w:p>
        </w:tc>
        <w:tc>
          <w:tcPr/>
          <w:p w:rsidR="00000000" w:rsidDel="00000000" w:rsidP="00000000" w:rsidRDefault="00000000" w:rsidRPr="00000000" w14:paraId="0000004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Da p-værdien 75,75% er større end signifikansniveauet på 5%, kan vi ikke forkaste nulhypotesen. </w:t>
            </w:r>
          </w:p>
        </w:tc>
      </w:tr>
      <w:tr>
        <w:trPr>
          <w:cantSplit w:val="0"/>
          <w:trHeight w:val="749" w:hRule="atLeast"/>
          <w:tblHeader w:val="0"/>
        </w:trPr>
        <w:tc>
          <w:tcPr/>
          <w:p w:rsidR="00000000" w:rsidDel="00000000" w:rsidP="00000000" w:rsidRDefault="00000000" w:rsidRPr="00000000" w14:paraId="00000048">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Ikke-teknisk konklusion</w:t>
            </w:r>
          </w:p>
        </w:tc>
        <w:tc>
          <w:tcPr/>
          <w:p w:rsidR="00000000" w:rsidDel="00000000" w:rsidP="00000000" w:rsidRDefault="00000000" w:rsidRPr="00000000" w14:paraId="0000004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 gennemsnitlige kontantpriser for de 3 ejendomstyper er således ens.</w:t>
            </w:r>
          </w:p>
        </w:tc>
      </w:tr>
      <w:tr>
        <w:trPr>
          <w:cantSplit w:val="0"/>
          <w:trHeight w:val="259" w:hRule="atLeast"/>
          <w:tblHeader w:val="0"/>
        </w:trPr>
        <w:tc>
          <w:tcPr>
            <w:gridSpan w:val="2"/>
            <w:tcMar>
              <w:left w:w="70.0" w:type="dxa"/>
              <w:right w:w="70.0" w:type="dxa"/>
            </w:tcMar>
          </w:tcPr>
          <w:p w:rsidR="00000000" w:rsidDel="00000000" w:rsidP="00000000" w:rsidRDefault="00000000" w:rsidRPr="00000000" w14:paraId="0000004A">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Rækkehuse</w:t>
            </w:r>
          </w:p>
          <w:p w:rsidR="00000000" w:rsidDel="00000000" w:rsidP="00000000" w:rsidRDefault="00000000" w:rsidRPr="00000000" w14:paraId="0000004B">
            <w:pPr>
              <w:rPr>
                <w:rFonts w:ascii="Calibri" w:cs="Calibri" w:eastAsia="Calibri" w:hAnsi="Calibri"/>
                <w:sz w:val="20"/>
                <w:szCs w:val="20"/>
              </w:rPr>
            </w:pPr>
            <w:r w:rsidDel="00000000" w:rsidR="00000000" w:rsidRPr="00000000">
              <w:rPr/>
              <w:drawing>
                <wp:inline distB="0" distT="0" distL="0" distR="0">
                  <wp:extent cx="3937258" cy="1839538"/>
                  <wp:effectExtent b="0" l="0" r="0" t="0"/>
                  <wp:docPr id="4" name="image12.png"/>
                  <a:graphic>
                    <a:graphicData uri="http://schemas.openxmlformats.org/drawingml/2006/picture">
                      <pic:pic>
                        <pic:nvPicPr>
                          <pic:cNvPr id="0" name="image12.png"/>
                          <pic:cNvPicPr preferRelativeResize="0"/>
                        </pic:nvPicPr>
                        <pic:blipFill>
                          <a:blip r:embed="rId10"/>
                          <a:srcRect b="0" l="0" r="0" t="0"/>
                          <a:stretch>
                            <a:fillRect/>
                          </a:stretch>
                        </pic:blipFill>
                        <pic:spPr>
                          <a:xfrm>
                            <a:off x="0" y="0"/>
                            <a:ext cx="3937258" cy="1839538"/>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Ejerlejligheder</w:t>
            </w:r>
          </w:p>
          <w:p w:rsidR="00000000" w:rsidDel="00000000" w:rsidP="00000000" w:rsidRDefault="00000000" w:rsidRPr="00000000" w14:paraId="0000004D">
            <w:pPr>
              <w:rPr>
                <w:rFonts w:ascii="Calibri" w:cs="Calibri" w:eastAsia="Calibri" w:hAnsi="Calibri"/>
                <w:sz w:val="20"/>
                <w:szCs w:val="20"/>
              </w:rPr>
            </w:pPr>
            <w:r w:rsidDel="00000000" w:rsidR="00000000" w:rsidRPr="00000000">
              <w:rPr/>
              <w:drawing>
                <wp:inline distB="0" distT="0" distL="0" distR="0">
                  <wp:extent cx="3918406" cy="1830731"/>
                  <wp:effectExtent b="0" l="0" r="0" t="0"/>
                  <wp:docPr id="7"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3918406" cy="1830731"/>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Villaer:</w:t>
            </w:r>
          </w:p>
          <w:p w:rsidR="00000000" w:rsidDel="00000000" w:rsidP="00000000" w:rsidRDefault="00000000" w:rsidRPr="00000000" w14:paraId="0000004F">
            <w:pPr>
              <w:rPr>
                <w:rFonts w:ascii="Calibri" w:cs="Calibri" w:eastAsia="Calibri" w:hAnsi="Calibri"/>
                <w:sz w:val="20"/>
                <w:szCs w:val="20"/>
              </w:rPr>
            </w:pPr>
            <w:r w:rsidDel="00000000" w:rsidR="00000000" w:rsidRPr="00000000">
              <w:rPr/>
              <w:drawing>
                <wp:inline distB="0" distT="0" distL="0" distR="0">
                  <wp:extent cx="3490476" cy="1649991"/>
                  <wp:effectExtent b="0" l="0" r="0" t="0"/>
                  <wp:docPr id="6"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3490476" cy="1649991"/>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Bartletts test:</w:t>
            </w:r>
          </w:p>
          <w:p w:rsidR="00000000" w:rsidDel="00000000" w:rsidP="00000000" w:rsidRDefault="00000000" w:rsidRPr="00000000" w14:paraId="00000051">
            <w:pPr>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836604" cy="1187842"/>
                  <wp:effectExtent b="0" l="0" r="0" t="0"/>
                  <wp:docPr id="9" name="image15.png"/>
                  <a:graphic>
                    <a:graphicData uri="http://schemas.openxmlformats.org/drawingml/2006/picture">
                      <pic:pic>
                        <pic:nvPicPr>
                          <pic:cNvPr id="0" name="image15.png"/>
                          <pic:cNvPicPr preferRelativeResize="0"/>
                        </pic:nvPicPr>
                        <pic:blipFill>
                          <a:blip r:embed="rId13"/>
                          <a:srcRect b="0" l="0" r="0" t="0"/>
                          <a:stretch>
                            <a:fillRect/>
                          </a:stretch>
                        </pic:blipFill>
                        <pic:spPr>
                          <a:xfrm>
                            <a:off x="0" y="0"/>
                            <a:ext cx="3836604" cy="1187842"/>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4081777" cy="852947"/>
                  <wp:effectExtent b="0" l="0" r="0" t="0"/>
                  <wp:docPr id="8" name="image13.png"/>
                  <a:graphic>
                    <a:graphicData uri="http://schemas.openxmlformats.org/drawingml/2006/picture">
                      <pic:pic>
                        <pic:nvPicPr>
                          <pic:cNvPr id="0" name="image13.png"/>
                          <pic:cNvPicPr preferRelativeResize="0"/>
                        </pic:nvPicPr>
                        <pic:blipFill>
                          <a:blip r:embed="rId14"/>
                          <a:srcRect b="0" l="0" r="0" t="0"/>
                          <a:stretch>
                            <a:fillRect/>
                          </a:stretch>
                        </pic:blipFill>
                        <pic:spPr>
                          <a:xfrm>
                            <a:off x="0" y="0"/>
                            <a:ext cx="4081777" cy="852947"/>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54">
      <w:pPr>
        <w:spacing w:after="280" w:before="280" w:lineRule="auto"/>
        <w:ind w:left="360" w:firstLine="0"/>
        <w:rPr>
          <w:rFonts w:ascii="Calibri" w:cs="Calibri" w:eastAsia="Calibri" w:hAnsi="Calibri"/>
          <w:i w:val="1"/>
        </w:rPr>
      </w:pPr>
      <w:r w:rsidDel="00000000" w:rsidR="00000000" w:rsidRPr="00000000">
        <w:rPr>
          <w:rtl w:val="0"/>
        </w:rPr>
      </w:r>
    </w:p>
    <w:p w:rsidR="00000000" w:rsidDel="00000000" w:rsidP="00000000" w:rsidRDefault="00000000" w:rsidRPr="00000000" w14:paraId="00000055">
      <w:pPr>
        <w:spacing w:after="280" w:before="280" w:lineRule="auto"/>
        <w:ind w:left="360" w:firstLine="0"/>
        <w:rPr>
          <w:rFonts w:ascii="Calibri" w:cs="Calibri" w:eastAsia="Calibri" w:hAnsi="Calibri"/>
          <w:i w:val="1"/>
        </w:rPr>
      </w:pPr>
      <w:r w:rsidDel="00000000" w:rsidR="00000000" w:rsidRPr="00000000">
        <w:br w:type="column"/>
      </w:r>
      <w:r w:rsidDel="00000000" w:rsidR="00000000" w:rsidRPr="00000000">
        <w:rPr>
          <w:rtl w:val="0"/>
        </w:rPr>
      </w:r>
    </w:p>
    <w:tbl>
      <w:tblPr>
        <w:tblStyle w:val="Table4"/>
        <w:tblW w:w="985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50"/>
        <w:gridCol w:w="50"/>
        <w:gridCol w:w="4656"/>
        <w:tblGridChange w:id="0">
          <w:tblGrid>
            <w:gridCol w:w="5150"/>
            <w:gridCol w:w="50"/>
            <w:gridCol w:w="4656"/>
          </w:tblGrid>
        </w:tblGridChange>
      </w:tblGrid>
      <w:tr>
        <w:trPr>
          <w:cantSplit w:val="0"/>
          <w:trHeight w:val="256" w:hRule="atLeast"/>
          <w:tblHeader w:val="0"/>
        </w:trPr>
        <w:tc>
          <w:tcPr>
            <w:gridSpan w:val="3"/>
          </w:tcPr>
          <w:p w:rsidR="00000000" w:rsidDel="00000000" w:rsidP="00000000" w:rsidRDefault="00000000" w:rsidRPr="00000000" w14:paraId="00000056">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ANOVA/ANAVA</w:t>
            </w:r>
          </w:p>
        </w:tc>
      </w:tr>
      <w:tr>
        <w:trPr>
          <w:cantSplit w:val="0"/>
          <w:trHeight w:val="456" w:hRule="atLeast"/>
          <w:tblHeader w:val="0"/>
        </w:trPr>
        <w:tc>
          <w:tcPr>
            <w:gridSpan w:val="2"/>
          </w:tcPr>
          <w:p w:rsidR="00000000" w:rsidDel="00000000" w:rsidP="00000000" w:rsidRDefault="00000000" w:rsidRPr="00000000" w14:paraId="0000005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Argumentation</w:t>
            </w:r>
          </w:p>
        </w:tc>
        <w:tc>
          <w:tcPr/>
          <w:p w:rsidR="00000000" w:rsidDel="00000000" w:rsidP="00000000" w:rsidRDefault="00000000" w:rsidRPr="00000000" w14:paraId="0000005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Da vi ønsker at sammenligne middelværdier for 3 kvantitative variable, benyttes ANOVA analysen.</w:t>
            </w:r>
          </w:p>
        </w:tc>
      </w:tr>
      <w:tr>
        <w:trPr>
          <w:cantSplit w:val="0"/>
          <w:trHeight w:val="456" w:hRule="atLeast"/>
          <w:tblHeader w:val="0"/>
        </w:trPr>
        <w:tc>
          <w:tcPr/>
          <w:p w:rsidR="00000000" w:rsidDel="00000000" w:rsidP="00000000" w:rsidRDefault="00000000" w:rsidRPr="00000000" w14:paraId="0000005C">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Forudsætninger</w:t>
            </w:r>
          </w:p>
        </w:tc>
        <w:tc>
          <w:tcPr>
            <w:gridSpan w:val="2"/>
          </w:tcPr>
          <w:p w:rsidR="00000000" w:rsidDel="00000000" w:rsidP="00000000" w:rsidRDefault="00000000" w:rsidRPr="00000000" w14:paraId="0000005D">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Populationerne for rækkehus og ejerlejlighed synes normalfordelte dette er undersøgt vha. normalfraktildiagram. Villaer synes ikke at stamme fra en normalfordelt population, dette kan give problemer med analysen.</w:t>
            </w:r>
          </w:p>
          <w:p w:rsidR="00000000" w:rsidDel="00000000" w:rsidP="00000000" w:rsidRDefault="00000000" w:rsidRPr="00000000" w14:paraId="0000005E">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Populationerne har ikke samme varians, dette er undersøgt vha. Bartletts test for varianshomogenitet, se nedenfor, dette kan give problemer med analysen.</w:t>
            </w:r>
          </w:p>
        </w:tc>
      </w:tr>
      <w:tr>
        <w:trPr>
          <w:cantSplit w:val="0"/>
          <w:trHeight w:val="256" w:hRule="atLeast"/>
          <w:tblHeader w:val="0"/>
        </w:trPr>
        <w:tc>
          <w:tcPr/>
          <w:p w:rsidR="00000000" w:rsidDel="00000000" w:rsidP="00000000" w:rsidRDefault="00000000" w:rsidRPr="00000000" w14:paraId="00000060">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Hypotese</w:t>
            </w:r>
          </w:p>
        </w:tc>
        <w:tc>
          <w:tcPr>
            <w:gridSpan w:val="2"/>
          </w:tcPr>
          <w:p w:rsidR="00000000" w:rsidDel="00000000" w:rsidP="00000000" w:rsidRDefault="00000000" w:rsidRPr="00000000" w14:paraId="00000061">
            <w:pPr>
              <w:jc w:val="center"/>
              <w:rPr>
                <w:rFonts w:ascii="Calibri" w:cs="Calibri" w:eastAsia="Calibri" w:hAnsi="Calibri"/>
                <w:sz w:val="20"/>
                <w:szCs w:val="20"/>
              </w:rPr>
            </w:pPr>
            <m:oMath>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H</m:t>
                  </m:r>
                </m:e>
                <m:sub>
                  <m:r>
                    <w:rPr>
                      <w:rFonts w:ascii="Cambria Math" w:cs="Cambria Math" w:eastAsia="Cambria Math" w:hAnsi="Cambria Math"/>
                      <w:sz w:val="20"/>
                      <w:szCs w:val="20"/>
                    </w:rPr>
                    <m:t xml:space="preserve">0</m:t>
                  </m:r>
                </m:sub>
              </m:sSub>
              <m:r>
                <w:rPr>
                  <w:rFonts w:ascii="Cambria Math" w:cs="Cambria Math" w:eastAsia="Cambria Math" w:hAnsi="Cambria Math"/>
                  <w:sz w:val="20"/>
                  <w:szCs w:val="20"/>
                </w:rPr>
                <m:t xml:space="preserve">:</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μ</m:t>
                  </m:r>
                </m:e>
                <m:sub>
                  <m:r>
                    <w:rPr>
                      <w:rFonts w:ascii="Cambria Math" w:cs="Cambria Math" w:eastAsia="Cambria Math" w:hAnsi="Cambria Math"/>
                      <w:sz w:val="20"/>
                      <w:szCs w:val="20"/>
                    </w:rPr>
                    <m:t xml:space="preserve">ejerlejlighed</m:t>
                  </m:r>
                </m:sub>
              </m:sSub>
              <m:r>
                <w:rPr>
                  <w:rFonts w:ascii="Cambria Math" w:cs="Cambria Math" w:eastAsia="Cambria Math" w:hAnsi="Cambria Math"/>
                  <w:sz w:val="20"/>
                  <w:szCs w:val="20"/>
                </w:rPr>
                <m:t xml:space="preserve">=</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μ</m:t>
                  </m:r>
                </m:e>
                <m:sub>
                  <m:r>
                    <w:rPr>
                      <w:rFonts w:ascii="Cambria Math" w:cs="Cambria Math" w:eastAsia="Cambria Math" w:hAnsi="Cambria Math"/>
                      <w:sz w:val="20"/>
                      <w:szCs w:val="20"/>
                    </w:rPr>
                    <m:t xml:space="preserve">villa</m:t>
                  </m:r>
                </m:sub>
              </m:sSub>
              <m:r>
                <w:rPr>
                  <w:rFonts w:ascii="Cambria Math" w:cs="Cambria Math" w:eastAsia="Cambria Math" w:hAnsi="Cambria Math"/>
                  <w:sz w:val="20"/>
                  <w:szCs w:val="20"/>
                </w:rPr>
                <m:t xml:space="preserve">=</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μ</m:t>
                  </m:r>
                </m:e>
                <m:sub>
                  <m:r>
                    <w:rPr>
                      <w:rFonts w:ascii="Cambria Math" w:cs="Cambria Math" w:eastAsia="Cambria Math" w:hAnsi="Cambria Math"/>
                      <w:sz w:val="20"/>
                      <w:szCs w:val="20"/>
                    </w:rPr>
                    <m:t xml:space="preserve">rækkehus</m:t>
                  </m:r>
                </m:sub>
              </m:sSub>
            </m:oMath>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62">
            <w:pPr>
              <w:jc w:val="center"/>
              <w:rPr>
                <w:rFonts w:ascii="Calibri" w:cs="Calibri" w:eastAsia="Calibri" w:hAnsi="Calibri"/>
                <w:sz w:val="20"/>
                <w:szCs w:val="20"/>
              </w:rPr>
            </w:pPr>
            <m:oMath>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H</m:t>
                  </m:r>
                </m:e>
                <m:sub>
                  <m:r>
                    <w:rPr>
                      <w:rFonts w:ascii="Cambria Math" w:cs="Cambria Math" w:eastAsia="Cambria Math" w:hAnsi="Cambria Math"/>
                      <w:sz w:val="20"/>
                      <w:szCs w:val="20"/>
                    </w:rPr>
                    <m:t xml:space="preserve">1</m:t>
                  </m:r>
                </m:sub>
              </m:sSub>
              <m:r>
                <w:rPr>
                  <w:rFonts w:ascii="Cambria Math" w:cs="Cambria Math" w:eastAsia="Cambria Math" w:hAnsi="Cambria Math"/>
                  <w:sz w:val="20"/>
                  <w:szCs w:val="20"/>
                </w:rPr>
                <m:t xml:space="preserve">:</m:t>
              </m:r>
            </m:oMath>
            <w:r w:rsidDel="00000000" w:rsidR="00000000" w:rsidRPr="00000000">
              <w:rPr>
                <w:rFonts w:ascii="Calibri" w:cs="Calibri" w:eastAsia="Calibri" w:hAnsi="Calibri"/>
                <w:sz w:val="20"/>
                <w:szCs w:val="20"/>
                <w:rtl w:val="0"/>
              </w:rPr>
              <w:t xml:space="preserve"> Ikke alle gennemsnitlige kvadratmeterpriser er ens for de 3 ejendomstyper</w:t>
            </w:r>
          </w:p>
        </w:tc>
      </w:tr>
      <w:tr>
        <w:trPr>
          <w:cantSplit w:val="0"/>
          <w:trHeight w:val="274" w:hRule="atLeast"/>
          <w:tblHeader w:val="0"/>
        </w:trPr>
        <w:tc>
          <w:tcPr/>
          <w:p w:rsidR="00000000" w:rsidDel="00000000" w:rsidP="00000000" w:rsidRDefault="00000000" w:rsidRPr="00000000" w14:paraId="00000064">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Teststørrelse</w:t>
            </w:r>
          </w:p>
        </w:tc>
        <w:tc>
          <w:tcPr>
            <w:gridSpan w:val="2"/>
          </w:tcPr>
          <w:p w:rsidR="00000000" w:rsidDel="00000000" w:rsidP="00000000" w:rsidRDefault="00000000" w:rsidRPr="00000000" w14:paraId="00000065">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45,59</w:t>
            </w:r>
          </w:p>
        </w:tc>
      </w:tr>
      <w:tr>
        <w:trPr>
          <w:cantSplit w:val="0"/>
          <w:trHeight w:val="256" w:hRule="atLeast"/>
          <w:tblHeader w:val="0"/>
        </w:trPr>
        <w:tc>
          <w:tcPr/>
          <w:p w:rsidR="00000000" w:rsidDel="00000000" w:rsidP="00000000" w:rsidRDefault="00000000" w:rsidRPr="00000000" w14:paraId="0000006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P-værdi/signifikanssandsynlighed</w:t>
            </w:r>
          </w:p>
        </w:tc>
        <w:tc>
          <w:tcPr>
            <w:gridSpan w:val="2"/>
          </w:tcPr>
          <w:p w:rsidR="00000000" w:rsidDel="00000000" w:rsidP="00000000" w:rsidRDefault="00000000" w:rsidRPr="00000000" w14:paraId="00000068">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w:t>
            </w:r>
          </w:p>
        </w:tc>
      </w:tr>
      <w:tr>
        <w:trPr>
          <w:cantSplit w:val="0"/>
          <w:trHeight w:val="256" w:hRule="atLeast"/>
          <w:tblHeader w:val="0"/>
        </w:trPr>
        <w:tc>
          <w:tcPr/>
          <w:p w:rsidR="00000000" w:rsidDel="00000000" w:rsidP="00000000" w:rsidRDefault="00000000" w:rsidRPr="00000000" w14:paraId="0000006A">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Signifikansniveau</w:t>
            </w:r>
          </w:p>
        </w:tc>
        <w:tc>
          <w:tcPr>
            <w:gridSpan w:val="2"/>
          </w:tcPr>
          <w:p w:rsidR="00000000" w:rsidDel="00000000" w:rsidP="00000000" w:rsidRDefault="00000000" w:rsidRPr="00000000" w14:paraId="0000006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w:t>
            </w:r>
          </w:p>
        </w:tc>
      </w:tr>
      <w:tr>
        <w:trPr>
          <w:cantSplit w:val="0"/>
          <w:trHeight w:val="256" w:hRule="atLeast"/>
          <w:tblHeader w:val="0"/>
        </w:trPr>
        <w:tc>
          <w:tcPr/>
          <w:p w:rsidR="00000000" w:rsidDel="00000000" w:rsidP="00000000" w:rsidRDefault="00000000" w:rsidRPr="00000000" w14:paraId="0000006D">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Teknisk konklusion</w:t>
            </w:r>
          </w:p>
        </w:tc>
        <w:tc>
          <w:tcPr>
            <w:gridSpan w:val="2"/>
          </w:tcPr>
          <w:p w:rsidR="00000000" w:rsidDel="00000000" w:rsidP="00000000" w:rsidRDefault="00000000" w:rsidRPr="00000000" w14:paraId="0000006E">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Da p-værdien 0% er mindre end signifikansniveauet på 5%, forkaster vi klart nulhypotesen.</w:t>
            </w:r>
          </w:p>
        </w:tc>
      </w:tr>
      <w:tr>
        <w:trPr>
          <w:cantSplit w:val="0"/>
          <w:trHeight w:val="749" w:hRule="atLeast"/>
          <w:tblHeader w:val="0"/>
        </w:trPr>
        <w:tc>
          <w:tcPr/>
          <w:p w:rsidR="00000000" w:rsidDel="00000000" w:rsidP="00000000" w:rsidRDefault="00000000" w:rsidRPr="00000000" w14:paraId="00000070">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Ikke-teknisk konklusion</w:t>
            </w:r>
          </w:p>
        </w:tc>
        <w:tc>
          <w:tcPr>
            <w:gridSpan w:val="2"/>
          </w:tcPr>
          <w:p w:rsidR="00000000" w:rsidDel="00000000" w:rsidP="00000000" w:rsidRDefault="00000000" w:rsidRPr="00000000" w14:paraId="00000071">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 gennemsnitlige kvadratmeterpriser for de 3 ejendomstyper er således IKKE ens.</w:t>
            </w:r>
          </w:p>
        </w:tc>
      </w:tr>
      <w:tr>
        <w:trPr>
          <w:cantSplit w:val="0"/>
          <w:trHeight w:val="259" w:hRule="atLeast"/>
          <w:tblHeader w:val="0"/>
        </w:trPr>
        <w:tc>
          <w:tcPr>
            <w:gridSpan w:val="3"/>
            <w:tcMar>
              <w:left w:w="70.0" w:type="dxa"/>
              <w:right w:w="70.0" w:type="dxa"/>
            </w:tcMar>
          </w:tcPr>
          <w:p w:rsidR="00000000" w:rsidDel="00000000" w:rsidP="00000000" w:rsidRDefault="00000000" w:rsidRPr="00000000" w14:paraId="00000073">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Rækkehus</w:t>
            </w:r>
          </w:p>
          <w:p w:rsidR="00000000" w:rsidDel="00000000" w:rsidP="00000000" w:rsidRDefault="00000000" w:rsidRPr="00000000" w14:paraId="00000074">
            <w:pPr>
              <w:rPr>
                <w:rFonts w:ascii="Calibri" w:cs="Calibri" w:eastAsia="Calibri" w:hAnsi="Calibri"/>
                <w:sz w:val="20"/>
                <w:szCs w:val="20"/>
              </w:rPr>
            </w:pPr>
            <w:r w:rsidDel="00000000" w:rsidR="00000000" w:rsidRPr="00000000">
              <w:rPr/>
              <w:drawing>
                <wp:inline distB="0" distT="0" distL="0" distR="0">
                  <wp:extent cx="4187377" cy="1979424"/>
                  <wp:effectExtent b="0" l="0" r="0" t="0"/>
                  <wp:docPr id="12" name="image11.png"/>
                  <a:graphic>
                    <a:graphicData uri="http://schemas.openxmlformats.org/drawingml/2006/picture">
                      <pic:pic>
                        <pic:nvPicPr>
                          <pic:cNvPr id="0" name="image11.png"/>
                          <pic:cNvPicPr preferRelativeResize="0"/>
                        </pic:nvPicPr>
                        <pic:blipFill>
                          <a:blip r:embed="rId15"/>
                          <a:srcRect b="0" l="0" r="0" t="0"/>
                          <a:stretch>
                            <a:fillRect/>
                          </a:stretch>
                        </pic:blipFill>
                        <pic:spPr>
                          <a:xfrm>
                            <a:off x="0" y="0"/>
                            <a:ext cx="4187377" cy="1979424"/>
                          </a:xfrm>
                          <a:prstGeom prst="rect"/>
                          <a:ln/>
                        </pic:spPr>
                      </pic:pic>
                    </a:graphicData>
                  </a:graphic>
                </wp:inline>
              </w:drawing>
            </w:r>
            <w:r w:rsidDel="00000000" w:rsidR="00000000" w:rsidRPr="00000000">
              <w:rPr>
                <w:rtl w:val="0"/>
              </w:rPr>
            </w:r>
          </w:p>
          <w:p w:rsidR="00000000" w:rsidDel="00000000" w:rsidP="00000000" w:rsidRDefault="00000000" w:rsidRPr="00000000" w14:paraId="00000075">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Ejerlejlighed</w:t>
            </w:r>
          </w:p>
          <w:p w:rsidR="00000000" w:rsidDel="00000000" w:rsidP="00000000" w:rsidRDefault="00000000" w:rsidRPr="00000000" w14:paraId="00000076">
            <w:pPr>
              <w:rPr>
                <w:rFonts w:ascii="Calibri" w:cs="Calibri" w:eastAsia="Calibri" w:hAnsi="Calibri"/>
                <w:sz w:val="20"/>
                <w:szCs w:val="20"/>
              </w:rPr>
            </w:pPr>
            <w:r w:rsidDel="00000000" w:rsidR="00000000" w:rsidRPr="00000000">
              <w:rPr/>
              <w:drawing>
                <wp:inline distB="0" distT="0" distL="0" distR="0">
                  <wp:extent cx="4190164" cy="1980742"/>
                  <wp:effectExtent b="0" l="0" r="0" t="0"/>
                  <wp:docPr id="10" name="image6.png"/>
                  <a:graphic>
                    <a:graphicData uri="http://schemas.openxmlformats.org/drawingml/2006/picture">
                      <pic:pic>
                        <pic:nvPicPr>
                          <pic:cNvPr id="0" name="image6.png"/>
                          <pic:cNvPicPr preferRelativeResize="0"/>
                        </pic:nvPicPr>
                        <pic:blipFill>
                          <a:blip r:embed="rId16"/>
                          <a:srcRect b="0" l="0" r="0" t="0"/>
                          <a:stretch>
                            <a:fillRect/>
                          </a:stretch>
                        </pic:blipFill>
                        <pic:spPr>
                          <a:xfrm>
                            <a:off x="0" y="0"/>
                            <a:ext cx="4190164" cy="1980742"/>
                          </a:xfrm>
                          <a:prstGeom prst="rect"/>
                          <a:ln/>
                        </pic:spPr>
                      </pic:pic>
                    </a:graphicData>
                  </a:graphic>
                </wp:inline>
              </w:drawing>
            </w:r>
            <w:r w:rsidDel="00000000" w:rsidR="00000000" w:rsidRPr="00000000">
              <w:rPr>
                <w:rtl w:val="0"/>
              </w:rPr>
            </w:r>
          </w:p>
          <w:p w:rsidR="00000000" w:rsidDel="00000000" w:rsidP="00000000" w:rsidRDefault="00000000" w:rsidRPr="00000000" w14:paraId="0000007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Villa</w:t>
            </w:r>
          </w:p>
          <w:p w:rsidR="00000000" w:rsidDel="00000000" w:rsidP="00000000" w:rsidRDefault="00000000" w:rsidRPr="00000000" w14:paraId="00000078">
            <w:pPr>
              <w:rPr/>
            </w:pPr>
            <w:r w:rsidDel="00000000" w:rsidR="00000000" w:rsidRPr="00000000">
              <w:rPr/>
              <w:drawing>
                <wp:inline distB="0" distT="0" distL="0" distR="0">
                  <wp:extent cx="4178979" cy="1975455"/>
                  <wp:effectExtent b="0" l="0" r="0" t="0"/>
                  <wp:docPr id="11" name="image14.png"/>
                  <a:graphic>
                    <a:graphicData uri="http://schemas.openxmlformats.org/drawingml/2006/picture">
                      <pic:pic>
                        <pic:nvPicPr>
                          <pic:cNvPr id="0" name="image14.png"/>
                          <pic:cNvPicPr preferRelativeResize="0"/>
                        </pic:nvPicPr>
                        <pic:blipFill>
                          <a:blip r:embed="rId17"/>
                          <a:srcRect b="0" l="0" r="0" t="0"/>
                          <a:stretch>
                            <a:fillRect/>
                          </a:stretch>
                        </pic:blipFill>
                        <pic:spPr>
                          <a:xfrm>
                            <a:off x="0" y="0"/>
                            <a:ext cx="4178979" cy="1975455"/>
                          </a:xfrm>
                          <a:prstGeom prst="rect"/>
                          <a:ln/>
                        </pic:spPr>
                      </pic:pic>
                    </a:graphicData>
                  </a:graphic>
                </wp:inline>
              </w:drawing>
            </w:r>
            <w:r w:rsidDel="00000000" w:rsidR="00000000" w:rsidRPr="00000000">
              <w:rPr>
                <w:rtl w:val="0"/>
              </w:rPr>
            </w:r>
          </w:p>
          <w:p w:rsidR="00000000" w:rsidDel="00000000" w:rsidP="00000000" w:rsidRDefault="00000000" w:rsidRPr="00000000" w14:paraId="00000079">
            <w:pPr>
              <w:rPr/>
            </w:pPr>
            <w:r w:rsidDel="00000000" w:rsidR="00000000" w:rsidRPr="00000000">
              <w:rPr>
                <w:rFonts w:ascii="Calibri" w:cs="Calibri" w:eastAsia="Calibri" w:hAnsi="Calibri"/>
                <w:sz w:val="20"/>
                <w:szCs w:val="20"/>
                <w:rtl w:val="0"/>
              </w:rPr>
              <w:t xml:space="preserve">Bartletts test</w:t>
            </w:r>
            <w:r w:rsidDel="00000000" w:rsidR="00000000" w:rsidRPr="00000000">
              <w:rPr>
                <w:rtl w:val="0"/>
              </w:rPr>
            </w:r>
          </w:p>
          <w:p w:rsidR="00000000" w:rsidDel="00000000" w:rsidP="00000000" w:rsidRDefault="00000000" w:rsidRPr="00000000" w14:paraId="0000007A">
            <w:pPr>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4173225" cy="1292063"/>
                  <wp:effectExtent b="0" l="0" r="0" t="0"/>
                  <wp:docPr id="13" name="image10.png"/>
                  <a:graphic>
                    <a:graphicData uri="http://schemas.openxmlformats.org/drawingml/2006/picture">
                      <pic:pic>
                        <pic:nvPicPr>
                          <pic:cNvPr id="0" name="image10.png"/>
                          <pic:cNvPicPr preferRelativeResize="0"/>
                        </pic:nvPicPr>
                        <pic:blipFill>
                          <a:blip r:embed="rId18"/>
                          <a:srcRect b="0" l="0" r="0" t="0"/>
                          <a:stretch>
                            <a:fillRect/>
                          </a:stretch>
                        </pic:blipFill>
                        <pic:spPr>
                          <a:xfrm>
                            <a:off x="0" y="0"/>
                            <a:ext cx="4173225" cy="1292063"/>
                          </a:xfrm>
                          <a:prstGeom prst="rect"/>
                          <a:ln/>
                        </pic:spPr>
                      </pic:pic>
                    </a:graphicData>
                  </a:graphic>
                </wp:inline>
              </w:drawing>
            </w:r>
            <w:r w:rsidDel="00000000" w:rsidR="00000000" w:rsidRPr="00000000">
              <w:rPr>
                <w:rtl w:val="0"/>
              </w:rPr>
            </w:r>
          </w:p>
          <w:p w:rsidR="00000000" w:rsidDel="00000000" w:rsidP="00000000" w:rsidRDefault="00000000" w:rsidRPr="00000000" w14:paraId="0000007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Test af ens middelværdier</w:t>
            </w:r>
          </w:p>
          <w:p w:rsidR="00000000" w:rsidDel="00000000" w:rsidP="00000000" w:rsidRDefault="00000000" w:rsidRPr="00000000" w14:paraId="0000007C">
            <w:pPr>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4255208" cy="889187"/>
                  <wp:effectExtent b="0" l="0" r="0" t="0"/>
                  <wp:docPr id="14" name="image9.png"/>
                  <a:graphic>
                    <a:graphicData uri="http://schemas.openxmlformats.org/drawingml/2006/picture">
                      <pic:pic>
                        <pic:nvPicPr>
                          <pic:cNvPr id="0" name="image9.png"/>
                          <pic:cNvPicPr preferRelativeResize="0"/>
                        </pic:nvPicPr>
                        <pic:blipFill>
                          <a:blip r:embed="rId19"/>
                          <a:srcRect b="0" l="0" r="0" t="0"/>
                          <a:stretch>
                            <a:fillRect/>
                          </a:stretch>
                        </pic:blipFill>
                        <pic:spPr>
                          <a:xfrm>
                            <a:off x="0" y="0"/>
                            <a:ext cx="4255208" cy="889187"/>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3.c</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Det giver mening, ejerlejligheder/rækkehuse er typisk mindre med attraktive beliggenheder, derfor højere kvm pris end villaer, der typisk er større, hvilket betyder nogenlunde samme kontantpris.</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4.</w:t>
      </w:r>
    </w:p>
    <w:p w:rsidR="00000000" w:rsidDel="00000000" w:rsidP="00000000" w:rsidRDefault="00000000" w:rsidRPr="00000000" w14:paraId="00000087">
      <w:pPr>
        <w:rPr/>
      </w:pPr>
      <w:r w:rsidDel="00000000" w:rsidR="00000000" w:rsidRPr="00000000">
        <w:rPr>
          <w:rtl w:val="0"/>
        </w:rPr>
        <w:t xml:space="preserve">R kommandoer:</w:t>
      </w:r>
    </w:p>
    <w:p w:rsidR="00000000" w:rsidDel="00000000" w:rsidP="00000000" w:rsidRDefault="00000000" w:rsidRPr="00000000" w14:paraId="00000088">
      <w:pPr>
        <w:rPr/>
      </w:pPr>
      <w:r w:rsidDel="00000000" w:rsidR="00000000" w:rsidRPr="00000000">
        <w:rPr>
          <w:rtl w:val="0"/>
        </w:rPr>
        <w:t xml:space="preserve">library(psych)</w:t>
      </w:r>
    </w:p>
    <w:p w:rsidR="00000000" w:rsidDel="00000000" w:rsidP="00000000" w:rsidRDefault="00000000" w:rsidRPr="00000000" w14:paraId="00000089">
      <w:pPr>
        <w:rPr/>
      </w:pPr>
      <w:r w:rsidDel="00000000" w:rsidR="00000000" w:rsidRPr="00000000">
        <w:rPr>
          <w:rtl w:val="0"/>
        </w:rPr>
        <w:t xml:space="preserve">cortest.bartlett(data)</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corrplot(cor(data), order = "hclust", tl.col='black', tl.cex=.5)</w:t>
      </w:r>
    </w:p>
    <w:p w:rsidR="00000000" w:rsidDel="00000000" w:rsidP="00000000" w:rsidRDefault="00000000" w:rsidRPr="00000000" w14:paraId="0000008C">
      <w:pPr>
        <w:rPr/>
      </w:pPr>
      <w:r w:rsidDel="00000000" w:rsidR="00000000" w:rsidRPr="00000000">
        <w:br w:type="page"/>
      </w: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Output:</w:t>
      </w:r>
    </w:p>
    <w:p w:rsidR="00000000" w:rsidDel="00000000" w:rsidP="00000000" w:rsidRDefault="00000000" w:rsidRPr="00000000" w14:paraId="0000008E">
      <w:pPr>
        <w:rPr/>
      </w:pPr>
      <w:r w:rsidDel="00000000" w:rsidR="00000000" w:rsidRPr="00000000">
        <w:rPr>
          <w:rtl w:val="0"/>
        </w:rPr>
        <w:t xml:space="preserve">$chisq</w:t>
      </w:r>
    </w:p>
    <w:p w:rsidR="00000000" w:rsidDel="00000000" w:rsidP="00000000" w:rsidRDefault="00000000" w:rsidRPr="00000000" w14:paraId="0000008F">
      <w:pPr>
        <w:rPr/>
      </w:pPr>
      <w:r w:rsidDel="00000000" w:rsidR="00000000" w:rsidRPr="00000000">
        <w:rPr>
          <w:rtl w:val="0"/>
        </w:rPr>
        <w:t xml:space="preserve">[1] 7565.119</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$p.value</w:t>
      </w:r>
    </w:p>
    <w:p w:rsidR="00000000" w:rsidDel="00000000" w:rsidP="00000000" w:rsidRDefault="00000000" w:rsidRPr="00000000" w14:paraId="00000092">
      <w:pPr>
        <w:rPr/>
      </w:pPr>
      <w:r w:rsidDel="00000000" w:rsidR="00000000" w:rsidRPr="00000000">
        <w:rPr>
          <w:rtl w:val="0"/>
        </w:rPr>
        <w:t xml:space="preserve">[1] 0</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$df</w:t>
      </w:r>
    </w:p>
    <w:p w:rsidR="00000000" w:rsidDel="00000000" w:rsidP="00000000" w:rsidRDefault="00000000" w:rsidRPr="00000000" w14:paraId="00000095">
      <w:pPr>
        <w:rPr/>
      </w:pPr>
      <w:r w:rsidDel="00000000" w:rsidR="00000000" w:rsidRPr="00000000">
        <w:rPr>
          <w:rtl w:val="0"/>
        </w:rPr>
        <w:t xml:space="preserve">[1] 55</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drawing>
          <wp:inline distB="114300" distT="114300" distL="114300" distR="114300">
            <wp:extent cx="6119820" cy="3568700"/>
            <wp:effectExtent b="0" l="0" r="0" t="0"/>
            <wp:docPr id="15" name="image8.png"/>
            <a:graphic>
              <a:graphicData uri="http://schemas.openxmlformats.org/drawingml/2006/picture">
                <pic:pic>
                  <pic:nvPicPr>
                    <pic:cNvPr id="0" name="image8.png"/>
                    <pic:cNvPicPr preferRelativeResize="0"/>
                  </pic:nvPicPr>
                  <pic:blipFill>
                    <a:blip r:embed="rId20"/>
                    <a:srcRect b="0" l="0" r="0" t="0"/>
                    <a:stretch>
                      <a:fillRect/>
                    </a:stretch>
                  </pic:blipFill>
                  <pic:spPr>
                    <a:xfrm>
                      <a:off x="0" y="0"/>
                      <a:ext cx="6119820" cy="3568700"/>
                    </a:xfrm>
                    <a:prstGeom prst="rect"/>
                    <a:ln/>
                  </pic:spPr>
                </pic:pic>
              </a:graphicData>
            </a:graphic>
          </wp:inline>
        </w:drawing>
      </w: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drawing>
          <wp:inline distB="114300" distT="114300" distL="114300" distR="114300">
            <wp:extent cx="6119820" cy="3568700"/>
            <wp:effectExtent b="0" l="0" r="0" t="0"/>
            <wp:docPr id="16" name="image5.png"/>
            <a:graphic>
              <a:graphicData uri="http://schemas.openxmlformats.org/drawingml/2006/picture">
                <pic:pic>
                  <pic:nvPicPr>
                    <pic:cNvPr id="0" name="image5.png"/>
                    <pic:cNvPicPr preferRelativeResize="0"/>
                  </pic:nvPicPr>
                  <pic:blipFill>
                    <a:blip r:embed="rId21"/>
                    <a:srcRect b="0" l="0" r="0" t="0"/>
                    <a:stretch>
                      <a:fillRect/>
                    </a:stretch>
                  </pic:blipFill>
                  <pic:spPr>
                    <a:xfrm>
                      <a:off x="0" y="0"/>
                      <a:ext cx="6119820" cy="3568700"/>
                    </a:xfrm>
                    <a:prstGeom prst="rect"/>
                    <a:ln/>
                  </pic:spPr>
                </pic:pic>
              </a:graphicData>
            </a:graphic>
          </wp:inline>
        </w:drawing>
      </w: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&gt; ev &lt;- eigen(cor(data))</w:t>
      </w:r>
    </w:p>
    <w:p w:rsidR="00000000" w:rsidDel="00000000" w:rsidP="00000000" w:rsidRDefault="00000000" w:rsidRPr="00000000" w14:paraId="0000009D">
      <w:pPr>
        <w:rPr/>
      </w:pPr>
      <w:r w:rsidDel="00000000" w:rsidR="00000000" w:rsidRPr="00000000">
        <w:rPr>
          <w:rtl w:val="0"/>
        </w:rPr>
        <w:t xml:space="preserve">&gt; ev$values</w:t>
      </w:r>
    </w:p>
    <w:p w:rsidR="00000000" w:rsidDel="00000000" w:rsidP="00000000" w:rsidRDefault="00000000" w:rsidRPr="00000000" w14:paraId="0000009E">
      <w:pPr>
        <w:rPr/>
      </w:pPr>
      <w:r w:rsidDel="00000000" w:rsidR="00000000" w:rsidRPr="00000000">
        <w:rPr>
          <w:rtl w:val="0"/>
        </w:rPr>
        <w:t xml:space="preserve"> [</w:t>
      </w:r>
      <w:r w:rsidDel="00000000" w:rsidR="00000000" w:rsidRPr="00000000">
        <w:rPr>
          <w:highlight w:val="yellow"/>
          <w:rtl w:val="0"/>
        </w:rPr>
        <w:t xml:space="preserve">1] 6.009196e+00 1.995170e+00</w:t>
      </w:r>
      <w:r w:rsidDel="00000000" w:rsidR="00000000" w:rsidRPr="00000000">
        <w:rPr>
          <w:rtl w:val="0"/>
        </w:rPr>
        <w:t xml:space="preserve"> 9.529557e-01 8.501914e-01 7.168457e-01 2.763135e-01</w:t>
      </w:r>
    </w:p>
    <w:p w:rsidR="00000000" w:rsidDel="00000000" w:rsidP="00000000" w:rsidRDefault="00000000" w:rsidRPr="00000000" w14:paraId="0000009F">
      <w:pPr>
        <w:rPr/>
      </w:pPr>
      <w:r w:rsidDel="00000000" w:rsidR="00000000" w:rsidRPr="00000000">
        <w:rPr>
          <w:rtl w:val="0"/>
        </w:rPr>
        <w:t xml:space="preserve"> [7] 1.346741e-01 6.135051e-02 3.070142e-03 1.557724e-04 7.630903e-05</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highlight w:val="yellow"/>
        </w:rPr>
      </w:pPr>
      <w:r w:rsidDel="00000000" w:rsidR="00000000" w:rsidRPr="00000000">
        <w:rPr>
          <w:highlight w:val="yellow"/>
          <w:rtl w:val="0"/>
        </w:rPr>
        <w:t xml:space="preserve">Bartletts test med p-værdi 0 viser vi kan gennemføre faktoranalysen</w:t>
      </w:r>
    </w:p>
    <w:p w:rsidR="00000000" w:rsidDel="00000000" w:rsidP="00000000" w:rsidRDefault="00000000" w:rsidRPr="00000000" w14:paraId="000000A2">
      <w:pPr>
        <w:rPr>
          <w:highlight w:val="yellow"/>
        </w:rPr>
      </w:pPr>
      <w:r w:rsidDel="00000000" w:rsidR="00000000" w:rsidRPr="00000000">
        <w:rPr>
          <w:highlight w:val="yellow"/>
          <w:rtl w:val="0"/>
        </w:rPr>
        <w:t xml:space="preserve">Vi ser af eigenvalues og screeplot at det er optimalt at benytte 2 faktorer.</w:t>
      </w:r>
    </w:p>
    <w:p w:rsidR="00000000" w:rsidDel="00000000" w:rsidP="00000000" w:rsidRDefault="00000000" w:rsidRPr="00000000" w14:paraId="000000A3">
      <w:pPr>
        <w:rPr>
          <w:highlight w:val="yellow"/>
        </w:rPr>
      </w:pPr>
      <w:r w:rsidDel="00000000" w:rsidR="00000000" w:rsidRPr="00000000">
        <w:rPr>
          <w:highlight w:val="yellow"/>
          <w:rtl w:val="0"/>
        </w:rPr>
        <w:t xml:space="preserve">2 faktorer, største faktor relaterer sig til priser, 2. faktor til størrelse/rum. Der er ikke synderlig sammenhæng mellem faktorerne, da fx. store boliger i provinsen ikke nødvendigvis er dyre.</w:t>
      </w:r>
    </w:p>
    <w:p w:rsidR="00000000" w:rsidDel="00000000" w:rsidP="00000000" w:rsidRDefault="00000000" w:rsidRPr="00000000" w14:paraId="000000A4">
      <w:pPr>
        <w:rPr>
          <w:highlight w:val="yellow"/>
        </w:rPr>
      </w:pPr>
      <w:r w:rsidDel="00000000" w:rsidR="00000000" w:rsidRPr="00000000">
        <w:rPr>
          <w:highlight w:val="yellow"/>
          <w:rtl w:val="0"/>
        </w:rPr>
        <w:t xml:space="preserve">Postnummer er negativt korreleret med priser pga. lavere postnummer tættere på middelalderbyen i København.</w:t>
      </w:r>
    </w:p>
    <w:p w:rsidR="00000000" w:rsidDel="00000000" w:rsidP="00000000" w:rsidRDefault="00000000" w:rsidRPr="00000000" w14:paraId="000000A5">
      <w:pPr>
        <w:rPr>
          <w:highlight w:val="yellow"/>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Call:</w:t>
      </w:r>
    </w:p>
    <w:p w:rsidR="00000000" w:rsidDel="00000000" w:rsidP="00000000" w:rsidRDefault="00000000" w:rsidRPr="00000000" w14:paraId="000000A8">
      <w:pPr>
        <w:rPr/>
      </w:pPr>
      <w:r w:rsidDel="00000000" w:rsidR="00000000" w:rsidRPr="00000000">
        <w:rPr>
          <w:rtl w:val="0"/>
        </w:rPr>
        <w:t xml:space="preserve">factanal(x = data, factors = 2)</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Uniquenesses:</w:t>
      </w:r>
    </w:p>
    <w:p w:rsidR="00000000" w:rsidDel="00000000" w:rsidP="00000000" w:rsidRDefault="00000000" w:rsidRPr="00000000" w14:paraId="000000AB">
      <w:pPr>
        <w:rPr/>
      </w:pPr>
      <w:r w:rsidDel="00000000" w:rsidR="00000000" w:rsidRPr="00000000">
        <w:rPr>
          <w:rtl w:val="0"/>
        </w:rPr>
        <w:t xml:space="preserve">     Kontantpris       Postnummer       Udbetaling       Boligareal   Antal værelser </w:t>
      </w:r>
    </w:p>
    <w:p w:rsidR="00000000" w:rsidDel="00000000" w:rsidP="00000000" w:rsidRDefault="00000000" w:rsidRPr="00000000" w14:paraId="000000AC">
      <w:pPr>
        <w:rPr/>
      </w:pPr>
      <w:r w:rsidDel="00000000" w:rsidR="00000000" w:rsidRPr="00000000">
        <w:rPr>
          <w:rtl w:val="0"/>
        </w:rPr>
        <w:t xml:space="preserve">           0.005            0.851            0.005            0.005            0.469 </w:t>
      </w:r>
    </w:p>
    <w:p w:rsidR="00000000" w:rsidDel="00000000" w:rsidP="00000000" w:rsidRDefault="00000000" w:rsidRPr="00000000" w14:paraId="000000AD">
      <w:pPr>
        <w:rPr/>
      </w:pPr>
      <w:r w:rsidDel="00000000" w:rsidR="00000000" w:rsidRPr="00000000">
        <w:rPr>
          <w:rtl w:val="0"/>
        </w:rPr>
        <w:t xml:space="preserve"> Grundareal kvm. Tidligere udbudt Kvadratmeterpris     Ejerudgifter           Brutto </w:t>
      </w:r>
    </w:p>
    <w:p w:rsidR="00000000" w:rsidDel="00000000" w:rsidP="00000000" w:rsidRDefault="00000000" w:rsidRPr="00000000" w14:paraId="000000AE">
      <w:pPr>
        <w:rPr/>
      </w:pPr>
      <w:r w:rsidDel="00000000" w:rsidR="00000000" w:rsidRPr="00000000">
        <w:rPr>
          <w:rtl w:val="0"/>
        </w:rPr>
        <w:t xml:space="preserve">           0.868            0.955            0.135            0.143            0.005 </w:t>
      </w:r>
    </w:p>
    <w:p w:rsidR="00000000" w:rsidDel="00000000" w:rsidP="00000000" w:rsidRDefault="00000000" w:rsidRPr="00000000" w14:paraId="000000AF">
      <w:pPr>
        <w:rPr/>
      </w:pPr>
      <w:r w:rsidDel="00000000" w:rsidR="00000000" w:rsidRPr="00000000">
        <w:rPr>
          <w:rtl w:val="0"/>
        </w:rPr>
        <w:t xml:space="preserve">           Netto </w:t>
      </w:r>
    </w:p>
    <w:p w:rsidR="00000000" w:rsidDel="00000000" w:rsidP="00000000" w:rsidRDefault="00000000" w:rsidRPr="00000000" w14:paraId="000000B0">
      <w:pPr>
        <w:rPr/>
      </w:pPr>
      <w:r w:rsidDel="00000000" w:rsidR="00000000" w:rsidRPr="00000000">
        <w:rPr>
          <w:rtl w:val="0"/>
        </w:rPr>
        <w:t xml:space="preserve">           0.005 </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t xml:space="preserve">Loadings:</w:t>
      </w:r>
    </w:p>
    <w:p w:rsidR="00000000" w:rsidDel="00000000" w:rsidP="00000000" w:rsidRDefault="00000000" w:rsidRPr="00000000" w14:paraId="000000B3">
      <w:pPr>
        <w:rPr/>
      </w:pPr>
      <w:r w:rsidDel="00000000" w:rsidR="00000000" w:rsidRPr="00000000">
        <w:rPr>
          <w:rtl w:val="0"/>
        </w:rPr>
        <w:t xml:space="preserve">                 Factor1 Factor2</w:t>
      </w:r>
    </w:p>
    <w:p w:rsidR="00000000" w:rsidDel="00000000" w:rsidP="00000000" w:rsidRDefault="00000000" w:rsidRPr="00000000" w14:paraId="000000B4">
      <w:pPr>
        <w:rPr/>
      </w:pPr>
      <w:r w:rsidDel="00000000" w:rsidR="00000000" w:rsidRPr="00000000">
        <w:rPr>
          <w:rtl w:val="0"/>
        </w:rPr>
        <w:t xml:space="preserve">Kontantpris       0.978   0.204 </w:t>
      </w:r>
    </w:p>
    <w:p w:rsidR="00000000" w:rsidDel="00000000" w:rsidP="00000000" w:rsidRDefault="00000000" w:rsidRPr="00000000" w14:paraId="000000B5">
      <w:pPr>
        <w:rPr/>
      </w:pPr>
      <w:r w:rsidDel="00000000" w:rsidR="00000000" w:rsidRPr="00000000">
        <w:rPr>
          <w:rtl w:val="0"/>
        </w:rPr>
        <w:t xml:space="preserve">Postnummer       -0.379         </w:t>
      </w:r>
    </w:p>
    <w:p w:rsidR="00000000" w:rsidDel="00000000" w:rsidP="00000000" w:rsidRDefault="00000000" w:rsidRPr="00000000" w14:paraId="000000B6">
      <w:pPr>
        <w:rPr/>
      </w:pPr>
      <w:r w:rsidDel="00000000" w:rsidR="00000000" w:rsidRPr="00000000">
        <w:rPr>
          <w:rtl w:val="0"/>
        </w:rPr>
        <w:t xml:space="preserve">Udbetaling        0.978   0.201 </w:t>
      </w:r>
    </w:p>
    <w:p w:rsidR="00000000" w:rsidDel="00000000" w:rsidP="00000000" w:rsidRDefault="00000000" w:rsidRPr="00000000" w14:paraId="000000B7">
      <w:pPr>
        <w:rPr/>
      </w:pPr>
      <w:r w:rsidDel="00000000" w:rsidR="00000000" w:rsidRPr="00000000">
        <w:rPr>
          <w:rtl w:val="0"/>
        </w:rPr>
        <w:t xml:space="preserve">Boligareal        0.206   0.976 </w:t>
      </w:r>
    </w:p>
    <w:p w:rsidR="00000000" w:rsidDel="00000000" w:rsidP="00000000" w:rsidRDefault="00000000" w:rsidRPr="00000000" w14:paraId="000000B8">
      <w:pPr>
        <w:rPr/>
      </w:pPr>
      <w:r w:rsidDel="00000000" w:rsidR="00000000" w:rsidRPr="00000000">
        <w:rPr>
          <w:rtl w:val="0"/>
        </w:rPr>
        <w:t xml:space="preserve">Antal værelser            0.728 </w:t>
      </w:r>
    </w:p>
    <w:p w:rsidR="00000000" w:rsidDel="00000000" w:rsidP="00000000" w:rsidRDefault="00000000" w:rsidRPr="00000000" w14:paraId="000000B9">
      <w:pPr>
        <w:rPr/>
      </w:pPr>
      <w:r w:rsidDel="00000000" w:rsidR="00000000" w:rsidRPr="00000000">
        <w:rPr>
          <w:rtl w:val="0"/>
        </w:rPr>
        <w:t xml:space="preserve">Grundareal kvm.           0.363 </w:t>
      </w:r>
    </w:p>
    <w:p w:rsidR="00000000" w:rsidDel="00000000" w:rsidP="00000000" w:rsidRDefault="00000000" w:rsidRPr="00000000" w14:paraId="000000BA">
      <w:pPr>
        <w:rPr/>
      </w:pPr>
      <w:r w:rsidDel="00000000" w:rsidR="00000000" w:rsidRPr="00000000">
        <w:rPr>
          <w:rtl w:val="0"/>
        </w:rPr>
        <w:t xml:space="preserve">Tidligere udbudt          0.205 </w:t>
      </w:r>
    </w:p>
    <w:p w:rsidR="00000000" w:rsidDel="00000000" w:rsidP="00000000" w:rsidRDefault="00000000" w:rsidRPr="00000000" w14:paraId="000000BB">
      <w:pPr>
        <w:rPr/>
      </w:pPr>
      <w:r w:rsidDel="00000000" w:rsidR="00000000" w:rsidRPr="00000000">
        <w:rPr>
          <w:rtl w:val="0"/>
        </w:rPr>
        <w:t xml:space="preserve">Kvadratmeterpris  0.917  -0.154 </w:t>
      </w:r>
    </w:p>
    <w:p w:rsidR="00000000" w:rsidDel="00000000" w:rsidP="00000000" w:rsidRDefault="00000000" w:rsidRPr="00000000" w14:paraId="000000BC">
      <w:pPr>
        <w:rPr/>
      </w:pPr>
      <w:r w:rsidDel="00000000" w:rsidR="00000000" w:rsidRPr="00000000">
        <w:rPr>
          <w:rtl w:val="0"/>
        </w:rPr>
        <w:t xml:space="preserve">Ejerudgifter      0.909   0.173 </w:t>
      </w:r>
    </w:p>
    <w:p w:rsidR="00000000" w:rsidDel="00000000" w:rsidP="00000000" w:rsidRDefault="00000000" w:rsidRPr="00000000" w14:paraId="000000BD">
      <w:pPr>
        <w:rPr/>
      </w:pPr>
      <w:r w:rsidDel="00000000" w:rsidR="00000000" w:rsidRPr="00000000">
        <w:rPr>
          <w:rtl w:val="0"/>
        </w:rPr>
        <w:t xml:space="preserve">Brutto            0.978   0.205 </w:t>
      </w:r>
    </w:p>
    <w:p w:rsidR="00000000" w:rsidDel="00000000" w:rsidP="00000000" w:rsidRDefault="00000000" w:rsidRPr="00000000" w14:paraId="000000BE">
      <w:pPr>
        <w:rPr/>
      </w:pPr>
      <w:r w:rsidDel="00000000" w:rsidR="00000000" w:rsidRPr="00000000">
        <w:rPr>
          <w:rtl w:val="0"/>
        </w:rPr>
        <w:t xml:space="preserve">Netto             0.978   0.203 </w:t>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t xml:space="preserve">               Factor1 Factor2</w:t>
      </w:r>
    </w:p>
    <w:p w:rsidR="00000000" w:rsidDel="00000000" w:rsidP="00000000" w:rsidRDefault="00000000" w:rsidRPr="00000000" w14:paraId="000000C1">
      <w:pPr>
        <w:rPr/>
      </w:pPr>
      <w:r w:rsidDel="00000000" w:rsidR="00000000" w:rsidRPr="00000000">
        <w:rPr>
          <w:rtl w:val="0"/>
        </w:rPr>
        <w:t xml:space="preserve">SS loadings      5.685   1.881</w:t>
      </w:r>
    </w:p>
    <w:p w:rsidR="00000000" w:rsidDel="00000000" w:rsidP="00000000" w:rsidRDefault="00000000" w:rsidRPr="00000000" w14:paraId="000000C2">
      <w:pPr>
        <w:rPr/>
      </w:pPr>
      <w:r w:rsidDel="00000000" w:rsidR="00000000" w:rsidRPr="00000000">
        <w:rPr>
          <w:rtl w:val="0"/>
        </w:rPr>
        <w:t xml:space="preserve">Proportion Var   0.517   0.171</w:t>
      </w:r>
    </w:p>
    <w:p w:rsidR="00000000" w:rsidDel="00000000" w:rsidP="00000000" w:rsidRDefault="00000000" w:rsidRPr="00000000" w14:paraId="000000C3">
      <w:pPr>
        <w:rPr/>
      </w:pPr>
      <w:r w:rsidDel="00000000" w:rsidR="00000000" w:rsidRPr="00000000">
        <w:rPr>
          <w:rtl w:val="0"/>
        </w:rPr>
        <w:t xml:space="preserve">Cumulative Var   0.517   0.688</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Test of the hypothesis that 2 factors are sufficient.</w:t>
      </w:r>
    </w:p>
    <w:p w:rsidR="00000000" w:rsidDel="00000000" w:rsidP="00000000" w:rsidRDefault="00000000" w:rsidRPr="00000000" w14:paraId="000000C6">
      <w:pPr>
        <w:rPr/>
      </w:pPr>
      <w:r w:rsidDel="00000000" w:rsidR="00000000" w:rsidRPr="00000000">
        <w:rPr>
          <w:rtl w:val="0"/>
        </w:rPr>
        <w:t xml:space="preserve">The chi square statistic is 1651.52 on 34 degrees of freedom.</w:t>
      </w:r>
    </w:p>
    <w:p w:rsidR="00000000" w:rsidDel="00000000" w:rsidP="00000000" w:rsidRDefault="00000000" w:rsidRPr="00000000" w14:paraId="000000C7">
      <w:pPr>
        <w:rPr/>
      </w:pPr>
      <w:r w:rsidDel="00000000" w:rsidR="00000000" w:rsidRPr="00000000">
        <w:rPr>
          <w:rtl w:val="0"/>
        </w:rPr>
        <w:t xml:space="preserve">The p-value is 0 </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5.</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drawing>
          <wp:inline distB="114300" distT="114300" distL="114300" distR="114300">
            <wp:extent cx="6119820" cy="3568700"/>
            <wp:effectExtent b="0" l="0" r="0" t="0"/>
            <wp:docPr id="17" name="image2.png"/>
            <a:graphic>
              <a:graphicData uri="http://schemas.openxmlformats.org/drawingml/2006/picture">
                <pic:pic>
                  <pic:nvPicPr>
                    <pic:cNvPr id="0" name="image2.png"/>
                    <pic:cNvPicPr preferRelativeResize="0"/>
                  </pic:nvPicPr>
                  <pic:blipFill>
                    <a:blip r:embed="rId22"/>
                    <a:srcRect b="0" l="0" r="0" t="0"/>
                    <a:stretch>
                      <a:fillRect/>
                    </a:stretch>
                  </pic:blipFill>
                  <pic:spPr>
                    <a:xfrm>
                      <a:off x="0" y="0"/>
                      <a:ext cx="6119820" cy="3568700"/>
                    </a:xfrm>
                    <a:prstGeom prst="rect"/>
                    <a:ln/>
                  </pic:spPr>
                </pic:pic>
              </a:graphicData>
            </a:graphic>
          </wp:inline>
        </w:drawing>
      </w: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sectPr>
      <w:pgSz w:h="16838" w:w="11906" w:orient="portrait"/>
      <w:pgMar w:bottom="1701" w:top="1701"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Helvetica Neue Ligh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ambria Math">
    <w:embedRegular w:fontKey="{00000000-0000-0000-0000-000000000000}" r:id="rId5"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Helvetica Neue Light" w:cs="Helvetica Neue Light" w:eastAsia="Helvetica Neue Light" w:hAnsi="Helvetica Neue Light"/>
        <w:sz w:val="24"/>
        <w:szCs w:val="24"/>
        <w:lang w:val="da-DK"/>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rPr>
      <w:rFonts w:ascii="Helvetica Neue Light" w:cs="Helvetica Neue Light" w:eastAsia="Helvetica Neue Light" w:hAnsi="Helvetica Neue Light"/>
    </w:rPr>
    <w:tblPr>
      <w:tblStyleRowBandSize w:val="1"/>
      <w:tblStyleColBandSize w:val="1"/>
      <w:tblCellMar>
        <w:top w:w="0.0" w:type="dxa"/>
        <w:left w:w="108.0" w:type="dxa"/>
        <w:bottom w:w="0.0" w:type="dxa"/>
        <w:right w:w="108.0" w:type="dxa"/>
      </w:tblCellMar>
    </w:tblPr>
  </w:style>
  <w:style w:type="table" w:styleId="Table2">
    <w:basedOn w:val="TableNormal"/>
    <w:rPr>
      <w:rFonts w:ascii="Helvetica Neue Light" w:cs="Helvetica Neue Light" w:eastAsia="Helvetica Neue Light" w:hAnsi="Helvetica Neue Light"/>
    </w:rPr>
    <w:tblPr>
      <w:tblStyleRowBandSize w:val="1"/>
      <w:tblStyleColBandSize w:val="1"/>
      <w:tblCellMar>
        <w:top w:w="0.0" w:type="dxa"/>
        <w:left w:w="108.0" w:type="dxa"/>
        <w:bottom w:w="0.0" w:type="dxa"/>
        <w:right w:w="108.0" w:type="dxa"/>
      </w:tblCellMar>
    </w:tblPr>
  </w:style>
  <w:style w:type="table" w:styleId="Table3">
    <w:basedOn w:val="TableNormal"/>
    <w:rPr>
      <w:rFonts w:ascii="Helvetica Neue Light" w:cs="Helvetica Neue Light" w:eastAsia="Helvetica Neue Light" w:hAnsi="Helvetica Neue Light"/>
    </w:rPr>
    <w:tblPr>
      <w:tblStyleRowBandSize w:val="1"/>
      <w:tblStyleColBandSize w:val="1"/>
      <w:tblCellMar>
        <w:top w:w="0.0" w:type="dxa"/>
        <w:left w:w="108.0" w:type="dxa"/>
        <w:bottom w:w="0.0" w:type="dxa"/>
        <w:right w:w="108.0" w:type="dxa"/>
      </w:tblCellMar>
    </w:tblPr>
  </w:style>
  <w:style w:type="table" w:styleId="Table4">
    <w:basedOn w:val="TableNormal"/>
    <w:rPr>
      <w:rFonts w:ascii="Helvetica Neue Light" w:cs="Helvetica Neue Light" w:eastAsia="Helvetica Neue Light" w:hAnsi="Helvetica Neue Light"/>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8.png"/><Relationship Id="rId11" Type="http://schemas.openxmlformats.org/officeDocument/2006/relationships/image" Target="media/image7.png"/><Relationship Id="rId22" Type="http://schemas.openxmlformats.org/officeDocument/2006/relationships/image" Target="media/image2.png"/><Relationship Id="rId10" Type="http://schemas.openxmlformats.org/officeDocument/2006/relationships/image" Target="media/image12.png"/><Relationship Id="rId21" Type="http://schemas.openxmlformats.org/officeDocument/2006/relationships/image" Target="media/image5.png"/><Relationship Id="rId13" Type="http://schemas.openxmlformats.org/officeDocument/2006/relationships/image" Target="media/image15.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7.png"/><Relationship Id="rId15" Type="http://schemas.openxmlformats.org/officeDocument/2006/relationships/image" Target="media/image11.png"/><Relationship Id="rId14" Type="http://schemas.openxmlformats.org/officeDocument/2006/relationships/image" Target="media/image13.png"/><Relationship Id="rId17" Type="http://schemas.openxmlformats.org/officeDocument/2006/relationships/image" Target="media/image14.png"/><Relationship Id="rId16" Type="http://schemas.openxmlformats.org/officeDocument/2006/relationships/image" Target="media/image6.png"/><Relationship Id="rId5" Type="http://schemas.openxmlformats.org/officeDocument/2006/relationships/styles" Target="styles.xml"/><Relationship Id="rId19" Type="http://schemas.openxmlformats.org/officeDocument/2006/relationships/image" Target="media/image9.png"/><Relationship Id="rId6" Type="http://schemas.openxmlformats.org/officeDocument/2006/relationships/image" Target="media/image3.png"/><Relationship Id="rId18" Type="http://schemas.openxmlformats.org/officeDocument/2006/relationships/image" Target="media/image10.png"/><Relationship Id="rId7" Type="http://schemas.openxmlformats.org/officeDocument/2006/relationships/image" Target="media/image4.png"/><Relationship Id="rId8" Type="http://schemas.openxmlformats.org/officeDocument/2006/relationships/image" Target="media/image16.png"/></Relationships>
</file>

<file path=word/_rels/fontTable.xml.rels><?xml version="1.0" encoding="UTF-8" standalone="yes"?><Relationships xmlns="http://schemas.openxmlformats.org/package/2006/relationships"><Relationship Id="rId1" Type="http://schemas.openxmlformats.org/officeDocument/2006/relationships/font" Target="fonts/HelveticaNeueLight-regular.ttf"/><Relationship Id="rId2" Type="http://schemas.openxmlformats.org/officeDocument/2006/relationships/font" Target="fonts/HelveticaNeueLight-bold.ttf"/><Relationship Id="rId3" Type="http://schemas.openxmlformats.org/officeDocument/2006/relationships/font" Target="fonts/HelveticaNeueLight-italic.ttf"/><Relationship Id="rId4" Type="http://schemas.openxmlformats.org/officeDocument/2006/relationships/font" Target="fonts/HelveticaNeueLight-boldItalic.ttf"/><Relationship Id="rId5"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