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9F" w:rsidRPr="00C85277" w:rsidRDefault="00113232" w:rsidP="005C58DD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C85277">
        <w:rPr>
          <w:rFonts w:ascii="Times New Roman" w:hAnsi="Times New Roman" w:cs="Times New Roman"/>
          <w:b/>
          <w:bCs/>
          <w:sz w:val="28"/>
        </w:rPr>
        <w:t>Estoppel</w:t>
      </w:r>
    </w:p>
    <w:p w:rsidR="005C58DD" w:rsidRPr="00AC4F2B" w:rsidRDefault="005C58DD" w:rsidP="005C5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8DD" w:rsidRPr="00381E1A" w:rsidRDefault="005C58DD" w:rsidP="005C58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E1A">
        <w:rPr>
          <w:rFonts w:ascii="Times New Roman" w:hAnsi="Times New Roman" w:cs="Times New Roman"/>
          <w:b/>
          <w:sz w:val="24"/>
          <w:szCs w:val="24"/>
        </w:rPr>
        <w:t>Assumption which relying party adopts</w:t>
      </w:r>
    </w:p>
    <w:p w:rsidR="005C58DD" w:rsidRDefault="005C58DD" w:rsidP="005C58D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Jorden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Money</w:t>
      </w:r>
      <w:r>
        <w:rPr>
          <w:rFonts w:ascii="Times New Roman" w:hAnsi="Times New Roman" w:cs="Times New Roman"/>
          <w:sz w:val="24"/>
          <w:szCs w:val="24"/>
        </w:rPr>
        <w:t xml:space="preserve">) or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 conduct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e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s v Maher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party assumes other won’t enforce strict legal rights (</w:t>
      </w:r>
      <w:r w:rsidRPr="00AA06D1">
        <w:rPr>
          <w:rFonts w:ascii="Times New Roman" w:hAnsi="Times New Roman" w:cs="Times New Roman"/>
          <w:i/>
          <w:sz w:val="24"/>
          <w:szCs w:val="20"/>
        </w:rPr>
        <w:t xml:space="preserve">Je </w:t>
      </w:r>
      <w:proofErr w:type="spellStart"/>
      <w:r w:rsidRPr="00AA06D1">
        <w:rPr>
          <w:rFonts w:ascii="Times New Roman" w:hAnsi="Times New Roman" w:cs="Times New Roman"/>
          <w:i/>
          <w:sz w:val="24"/>
          <w:szCs w:val="20"/>
        </w:rPr>
        <w:t>Maintiendrai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; </w:t>
      </w:r>
      <w:proofErr w:type="spellStart"/>
      <w:r w:rsidRPr="00FA19A2">
        <w:rPr>
          <w:rFonts w:ascii="Times New Roman" w:hAnsi="Times New Roman" w:cs="Times New Roman"/>
          <w:i/>
          <w:sz w:val="24"/>
          <w:szCs w:val="24"/>
        </w:rPr>
        <w:t>Legione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a legal relationship existing/would be existing between parties is required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Stores; Mobil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Wellcome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other authorities have found differently (</w:t>
      </w:r>
      <w:r>
        <w:rPr>
          <w:rFonts w:ascii="Times New Roman" w:hAnsi="Times New Roman" w:cs="Times New Roman"/>
          <w:i/>
          <w:sz w:val="24"/>
          <w:szCs w:val="24"/>
        </w:rPr>
        <w:t>W v G</w:t>
      </w:r>
      <w:r>
        <w:rPr>
          <w:rFonts w:ascii="Times New Roman" w:hAnsi="Times New Roman" w:cs="Times New Roman"/>
          <w:sz w:val="24"/>
          <w:szCs w:val="24"/>
        </w:rPr>
        <w:t xml:space="preserve"> - co-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habitees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Pr="00C214D5" w:rsidRDefault="005C58DD" w:rsidP="005C58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4D5">
        <w:rPr>
          <w:rFonts w:ascii="Times New Roman" w:hAnsi="Times New Roman" w:cs="Times New Roman"/>
          <w:b/>
          <w:sz w:val="24"/>
          <w:szCs w:val="24"/>
        </w:rPr>
        <w:t>Inducement</w:t>
      </w:r>
    </w:p>
    <w:p w:rsidR="005C58DD" w:rsidRDefault="005C58DD" w:rsidP="005C58D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Assumption relying party adopts must be induced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conduct, </w:t>
      </w:r>
      <w:r w:rsidRPr="008A086F">
        <w:rPr>
          <w:rFonts w:ascii="Times New Roman" w:hAnsi="Times New Roman" w:cs="Times New Roman"/>
          <w:sz w:val="24"/>
          <w:szCs w:val="24"/>
          <w:u w:val="single"/>
        </w:rPr>
        <w:t>including silence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Cases have held that inducement must be clear and unequivocal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Legione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 Mobil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more recent cases have held that the principle relies on ‘induced </w:t>
      </w:r>
      <w:proofErr w:type="gramStart"/>
      <w:r>
        <w:rPr>
          <w:rFonts w:ascii="Times New Roman" w:hAnsi="Times New Roman" w:cs="Times New Roman"/>
          <w:sz w:val="24"/>
          <w:szCs w:val="24"/>
        </w:rPr>
        <w:t>assumptions</w:t>
      </w:r>
      <w:proofErr w:type="gramEnd"/>
      <w:r>
        <w:rPr>
          <w:rFonts w:ascii="Times New Roman" w:hAnsi="Times New Roman" w:cs="Times New Roman"/>
          <w:sz w:val="24"/>
          <w:szCs w:val="24"/>
        </w:rPr>
        <w:t>’, not express promises/representations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Pr="00C214D5" w:rsidRDefault="005C58DD" w:rsidP="005C58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4D5">
        <w:rPr>
          <w:rFonts w:ascii="Times New Roman" w:hAnsi="Times New Roman" w:cs="Times New Roman"/>
          <w:b/>
          <w:sz w:val="24"/>
          <w:szCs w:val="24"/>
        </w:rPr>
        <w:t>Detrimental reliance</w:t>
      </w:r>
    </w:p>
    <w:p w:rsidR="005C58DD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Relying party acts in faith of inducement, to his/her detriment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Legione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Pr="0071466F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Representor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choosing not to enforce legal rights can depart from position, but not if </w:t>
      </w:r>
      <w:proofErr w:type="gramStart"/>
      <w:r>
        <w:rPr>
          <w:rFonts w:ascii="Times New Roman" w:hAnsi="Times New Roman" w:cs="Times New Roman"/>
          <w:sz w:val="24"/>
          <w:szCs w:val="20"/>
        </w:rPr>
        <w:t>relying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party suffers detriment as result (</w:t>
      </w:r>
      <w:r w:rsidRPr="00AA06D1">
        <w:rPr>
          <w:rFonts w:ascii="Times New Roman" w:hAnsi="Times New Roman" w:cs="Times New Roman"/>
          <w:i/>
          <w:sz w:val="24"/>
          <w:szCs w:val="20"/>
        </w:rPr>
        <w:t xml:space="preserve">Je </w:t>
      </w:r>
      <w:proofErr w:type="spellStart"/>
      <w:r w:rsidRPr="00AA06D1">
        <w:rPr>
          <w:rFonts w:ascii="Times New Roman" w:hAnsi="Times New Roman" w:cs="Times New Roman"/>
          <w:i/>
          <w:sz w:val="24"/>
          <w:szCs w:val="20"/>
        </w:rPr>
        <w:t>Maintiendrai</w:t>
      </w:r>
      <w:proofErr w:type="spellEnd"/>
      <w:r>
        <w:rPr>
          <w:rFonts w:ascii="Times New Roman" w:hAnsi="Times New Roman" w:cs="Times New Roman"/>
          <w:sz w:val="24"/>
          <w:szCs w:val="20"/>
        </w:rPr>
        <w:t>).</w:t>
      </w:r>
    </w:p>
    <w:p w:rsidR="005C58DD" w:rsidRDefault="005C58DD" w:rsidP="005C58DD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“material disadvantage” if depart from assumption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Legione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However, other cases suggest that </w:t>
      </w:r>
      <w:proofErr w:type="spellStart"/>
      <w:r>
        <w:rPr>
          <w:rFonts w:ascii="Times New Roman" w:hAnsi="Times New Roman" w:cs="Times New Roman"/>
          <w:sz w:val="24"/>
          <w:szCs w:val="20"/>
        </w:rPr>
        <w:t>representor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must have </w:t>
      </w:r>
      <w:r w:rsidRPr="008D0769">
        <w:rPr>
          <w:rFonts w:ascii="Times New Roman" w:hAnsi="Times New Roman" w:cs="Times New Roman"/>
          <w:sz w:val="24"/>
          <w:szCs w:val="20"/>
          <w:u w:val="single"/>
        </w:rPr>
        <w:t>known</w:t>
      </w:r>
      <w:r>
        <w:rPr>
          <w:rFonts w:ascii="Times New Roman" w:hAnsi="Times New Roman" w:cs="Times New Roman"/>
          <w:sz w:val="24"/>
          <w:szCs w:val="20"/>
        </w:rPr>
        <w:t xml:space="preserve"> of relying party’s detriment, yet continued anyway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Pr="00AA06D1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proportionality between detriment to be avoided and remedy estoppel to be provided:</w:t>
      </w:r>
    </w:p>
    <w:p w:rsidR="005C58DD" w:rsidRDefault="005C58DD" w:rsidP="005C58DD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detriment give </w:t>
      </w:r>
      <w:r>
        <w:rPr>
          <w:rFonts w:ascii="Times New Roman" w:hAnsi="Times New Roman" w:cs="Times New Roman"/>
          <w:i/>
          <w:sz w:val="24"/>
          <w:szCs w:val="24"/>
        </w:rPr>
        <w:t>benefit</w:t>
      </w:r>
      <w:r>
        <w:rPr>
          <w:rFonts w:ascii="Times New Roman" w:hAnsi="Times New Roman" w:cs="Times New Roman"/>
          <w:sz w:val="24"/>
          <w:szCs w:val="24"/>
        </w:rPr>
        <w:t xml:space="preserve"> to relying party, then not detriment (</w:t>
      </w:r>
      <w:r>
        <w:rPr>
          <w:rFonts w:ascii="Times New Roman" w:hAnsi="Times New Roman" w:cs="Times New Roman"/>
          <w:i/>
          <w:sz w:val="24"/>
          <w:szCs w:val="24"/>
        </w:rPr>
        <w:t xml:space="preserve">Mobil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Wellcome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Non-financial detriment hard to uphold because of need to affirmatively demonstrate it (Mason CJ, dissenting, </w:t>
      </w:r>
      <w:proofErr w:type="spellStart"/>
      <w:r w:rsidRPr="00412513">
        <w:rPr>
          <w:rFonts w:ascii="Times New Roman" w:hAnsi="Times New Roman" w:cs="Times New Roman"/>
          <w:i/>
          <w:sz w:val="24"/>
          <w:szCs w:val="24"/>
        </w:rPr>
        <w:t>Verwayen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Pr="00C214D5" w:rsidRDefault="005C58DD" w:rsidP="005C58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4D5">
        <w:rPr>
          <w:rFonts w:ascii="Times New Roman" w:hAnsi="Times New Roman" w:cs="Times New Roman"/>
          <w:b/>
          <w:sz w:val="24"/>
          <w:szCs w:val="24"/>
        </w:rPr>
        <w:t>Reasonableness</w:t>
      </w:r>
    </w:p>
    <w:p w:rsidR="005C58DD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Reasonable expectation promise will induce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act on it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Relying parties’ reliance reasonable in circumstances (Deane J, </w:t>
      </w:r>
      <w:proofErr w:type="spellStart"/>
      <w:r w:rsidRPr="00412513">
        <w:rPr>
          <w:rFonts w:ascii="Times New Roman" w:hAnsi="Times New Roman" w:cs="Times New Roman"/>
          <w:i/>
          <w:sz w:val="24"/>
          <w:szCs w:val="24"/>
        </w:rPr>
        <w:t>Verwayen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8DD" w:rsidRDefault="005C58DD" w:rsidP="005C5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8DD" w:rsidRPr="00C214D5" w:rsidRDefault="005C58DD" w:rsidP="005C58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4D5">
        <w:rPr>
          <w:rFonts w:ascii="Times New Roman" w:hAnsi="Times New Roman" w:cs="Times New Roman"/>
          <w:b/>
          <w:sz w:val="24"/>
          <w:szCs w:val="24"/>
        </w:rPr>
        <w:lastRenderedPageBreak/>
        <w:t>Unconscionable conduct</w:t>
      </w:r>
    </w:p>
    <w:p w:rsidR="005C58DD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Representor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behaving unjustly by departing from promise/representation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76">
        <w:rPr>
          <w:rFonts w:ascii="Times New Roman" w:hAnsi="Times New Roman" w:cs="Times New Roman"/>
          <w:i/>
          <w:sz w:val="24"/>
          <w:szCs w:val="24"/>
        </w:rPr>
        <w:t>Verwayen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Representor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nothing to correct understanding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Waltons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Legionne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Maintiendrai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Unconscionable conduct relates to estopped parties’ actions in all circumstances (Deane J,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</w:t>
      </w:r>
      <w:r w:rsidRPr="00412513">
        <w:rPr>
          <w:rFonts w:ascii="Times New Roman" w:hAnsi="Times New Roman" w:cs="Times New Roman"/>
          <w:i/>
          <w:sz w:val="24"/>
          <w:szCs w:val="24"/>
        </w:rPr>
        <w:t>erwayen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Pr="00C214D5" w:rsidRDefault="005C58DD" w:rsidP="005C58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4D5">
        <w:rPr>
          <w:rFonts w:ascii="Times New Roman" w:hAnsi="Times New Roman" w:cs="Times New Roman"/>
          <w:b/>
          <w:sz w:val="24"/>
          <w:szCs w:val="24"/>
        </w:rPr>
        <w:t>Departure/threatened departure</w:t>
      </w:r>
    </w:p>
    <w:p w:rsidR="005C58DD" w:rsidRPr="00776545" w:rsidRDefault="005C58DD" w:rsidP="005C58D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Representor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to depart, or threaten to depart, to make estoppel claim necessary.</w:t>
      </w:r>
    </w:p>
    <w:p w:rsidR="005C58DD" w:rsidRDefault="005C58DD"/>
    <w:p w:rsidR="005C58DD" w:rsidRPr="00565EBA" w:rsidRDefault="005C58DD" w:rsidP="005C58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EBA">
        <w:rPr>
          <w:rFonts w:ascii="Times New Roman" w:hAnsi="Times New Roman" w:cs="Times New Roman"/>
          <w:b/>
          <w:sz w:val="24"/>
          <w:szCs w:val="24"/>
        </w:rPr>
        <w:t>Compensation from successful estoppel claim</w:t>
      </w:r>
    </w:p>
    <w:p w:rsidR="005C58DD" w:rsidRDefault="005C58DD" w:rsidP="005C58DD">
      <w:pPr>
        <w:pStyle w:val="ColorfulList-Accen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estoppel remedy </w:t>
      </w:r>
      <w:r>
        <w:rPr>
          <w:rFonts w:ascii="Times New Roman" w:hAnsi="Times New Roman" w:cs="Times New Roman"/>
          <w:sz w:val="24"/>
          <w:szCs w:val="20"/>
        </w:rPr>
        <w:t xml:space="preserve">is </w:t>
      </w:r>
      <w:r w:rsidRPr="00B76F64">
        <w:rPr>
          <w:rFonts w:ascii="Times New Roman" w:hAnsi="Times New Roman" w:cs="Times New Roman"/>
          <w:sz w:val="24"/>
          <w:szCs w:val="20"/>
        </w:rPr>
        <w:t xml:space="preserve">“the </w:t>
      </w:r>
      <w:r>
        <w:rPr>
          <w:rFonts w:ascii="Times New Roman" w:hAnsi="Times New Roman" w:cs="Times New Roman"/>
          <w:sz w:val="24"/>
          <w:szCs w:val="20"/>
        </w:rPr>
        <w:t>minimum equity to do ‘justice’” (</w:t>
      </w:r>
      <w:proofErr w:type="spellStart"/>
      <w:r>
        <w:rPr>
          <w:rFonts w:ascii="Times New Roman" w:hAnsi="Times New Roman" w:cs="Times New Roman"/>
          <w:sz w:val="24"/>
          <w:szCs w:val="20"/>
        </w:rPr>
        <w:t>Scarman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LJ in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Crabb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Arun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District Council</w:t>
      </w:r>
      <w:r>
        <w:rPr>
          <w:rFonts w:ascii="Times New Roman" w:hAnsi="Times New Roman" w:cs="Times New Roman"/>
          <w:sz w:val="24"/>
          <w:szCs w:val="20"/>
        </w:rPr>
        <w:t>, quoted by Brennan J in</w:t>
      </w:r>
      <w:r w:rsidRPr="00AC4F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513">
        <w:rPr>
          <w:rFonts w:ascii="Times New Roman" w:hAnsi="Times New Roman" w:cs="Times New Roman"/>
          <w:i/>
          <w:sz w:val="24"/>
          <w:szCs w:val="24"/>
        </w:rPr>
        <w:t>Verwayen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pStyle w:val="ColorfulList-Accen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Relying party has prima facie entitlement to have assumption upheld. However, entitlement will be altered if estopped party ends up unjustly disadvantaged (</w:t>
      </w:r>
      <w:proofErr w:type="spellStart"/>
      <w:r w:rsidRPr="00766CD9">
        <w:rPr>
          <w:rFonts w:ascii="Times New Roman" w:hAnsi="Times New Roman" w:cs="Times New Roman"/>
          <w:i/>
          <w:sz w:val="24"/>
          <w:szCs w:val="24"/>
        </w:rPr>
        <w:t>Giumelli</w:t>
      </w:r>
      <w:proofErr w:type="spellEnd"/>
      <w:r w:rsidRPr="00766CD9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766CD9">
        <w:rPr>
          <w:rFonts w:ascii="Times New Roman" w:hAnsi="Times New Roman" w:cs="Times New Roman"/>
          <w:i/>
          <w:sz w:val="24"/>
          <w:szCs w:val="24"/>
        </w:rPr>
        <w:t>Giumelli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 w:rsidP="005C58DD">
      <w:pPr>
        <w:pStyle w:val="ColorfulList-Accen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Reliance interest – Minimum equity to compensate relying parties’ expenditure (Mason CJ in </w:t>
      </w:r>
      <w:proofErr w:type="spellStart"/>
      <w:r w:rsidRPr="00412513">
        <w:rPr>
          <w:rFonts w:ascii="Times New Roman" w:hAnsi="Times New Roman" w:cs="Times New Roman"/>
          <w:i/>
          <w:sz w:val="24"/>
          <w:szCs w:val="24"/>
        </w:rPr>
        <w:t>Verwayen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Pr="00AC4F2B" w:rsidRDefault="005C58DD" w:rsidP="005C58DD">
      <w:pPr>
        <w:pStyle w:val="ColorfulList-Accen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 interest – What relying party actually expected to get from the promise/representation. Done by ordering specific performance or damages in lieu of this (</w:t>
      </w:r>
      <w:proofErr w:type="spellStart"/>
      <w:r w:rsidRPr="00766CD9">
        <w:rPr>
          <w:rFonts w:ascii="Times New Roman" w:hAnsi="Times New Roman" w:cs="Times New Roman"/>
          <w:i/>
          <w:sz w:val="24"/>
          <w:szCs w:val="24"/>
        </w:rPr>
        <w:t>Giumelli</w:t>
      </w:r>
      <w:proofErr w:type="spellEnd"/>
      <w:r w:rsidRPr="00766CD9">
        <w:rPr>
          <w:rFonts w:ascii="Times New Roman" w:hAnsi="Times New Roman" w:cs="Times New Roman"/>
          <w:i/>
          <w:sz w:val="24"/>
          <w:szCs w:val="24"/>
        </w:rPr>
        <w:t xml:space="preserve"> v Giumelli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58DD" w:rsidRDefault="005C58DD"/>
    <w:sectPr w:rsidR="005C58DD" w:rsidSect="005C58D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E1" w:rsidRDefault="007904E1" w:rsidP="007904E1">
      <w:pPr>
        <w:spacing w:after="0" w:line="240" w:lineRule="auto"/>
      </w:pPr>
      <w:r>
        <w:separator/>
      </w:r>
    </w:p>
  </w:endnote>
  <w:endnote w:type="continuationSeparator" w:id="0">
    <w:p w:rsidR="007904E1" w:rsidRDefault="007904E1" w:rsidP="0079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E1" w:rsidRPr="007904E1" w:rsidRDefault="007904E1" w:rsidP="007904E1">
    <w:pPr>
      <w:pStyle w:val="NoSpacing"/>
      <w:rPr>
        <w:i/>
        <w:sz w:val="16"/>
        <w:szCs w:val="16"/>
      </w:rPr>
    </w:pPr>
    <w:r w:rsidRPr="00E347EB">
      <w:rPr>
        <w:rStyle w:val="apple-style-span"/>
        <w:i/>
        <w:sz w:val="16"/>
        <w:szCs w:val="16"/>
      </w:rPr>
      <w:t>Notes by</w:t>
    </w:r>
    <w:r w:rsidRPr="00E347EB">
      <w:rPr>
        <w:rStyle w:val="apple-converted-space"/>
        <w:i/>
        <w:sz w:val="16"/>
        <w:szCs w:val="16"/>
      </w:rPr>
      <w:t> </w:t>
    </w:r>
    <w:r w:rsidRPr="00E347EB">
      <w:rPr>
        <w:rStyle w:val="apple-style-span"/>
        <w:b/>
        <w:i/>
        <w:sz w:val="16"/>
        <w:szCs w:val="16"/>
      </w:rPr>
      <w:t>All Things Law</w:t>
    </w:r>
    <w:r w:rsidRPr="00E347EB">
      <w:rPr>
        <w:rStyle w:val="apple-style-span"/>
        <w:i/>
        <w:sz w:val="16"/>
        <w:szCs w:val="16"/>
      </w:rPr>
      <w:t xml:space="preserve"> </w:t>
    </w:r>
    <w:r>
      <w:rPr>
        <w:rStyle w:val="apple-style-span"/>
        <w:i/>
        <w:sz w:val="16"/>
        <w:szCs w:val="16"/>
      </w:rPr>
      <w:t xml:space="preserve">– </w:t>
    </w:r>
    <w:hyperlink r:id="rId1" w:history="1">
      <w:r w:rsidRPr="00B3656D">
        <w:rPr>
          <w:rStyle w:val="Hyperlink"/>
          <w:rFonts w:eastAsia="SimSun"/>
          <w:i/>
          <w:sz w:val="16"/>
          <w:szCs w:val="16"/>
        </w:rPr>
        <w:t>http://law.timdavis.com.au</w:t>
      </w:r>
    </w:hyperlink>
    <w:r>
      <w:rPr>
        <w:rStyle w:val="apple-style-span"/>
        <w:i/>
        <w:sz w:val="16"/>
        <w:szCs w:val="16"/>
      </w:rPr>
      <w:t xml:space="preserve"> </w:t>
    </w:r>
    <w:r w:rsidRPr="00E347EB">
      <w:rPr>
        <w:rStyle w:val="apple-style-span"/>
        <w:i/>
        <w:sz w:val="16"/>
        <w:szCs w:val="16"/>
      </w:rPr>
      <w:t xml:space="preserve">- A Law Forum to discuss everything about Studying Law - from Law Subjects, Notes and Questions to Law Clerkships and Jobs. </w:t>
    </w:r>
    <w:r w:rsidRPr="00DA081E">
      <w:rPr>
        <w:rStyle w:val="apple-style-span"/>
        <w:b/>
        <w:i/>
        <w:sz w:val="16"/>
        <w:szCs w:val="16"/>
      </w:rPr>
      <w:t>Credit: Christopher Angus.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E1" w:rsidRDefault="007904E1" w:rsidP="007904E1">
      <w:pPr>
        <w:spacing w:after="0" w:line="240" w:lineRule="auto"/>
      </w:pPr>
      <w:r>
        <w:separator/>
      </w:r>
    </w:p>
  </w:footnote>
  <w:footnote w:type="continuationSeparator" w:id="0">
    <w:p w:rsidR="007904E1" w:rsidRDefault="007904E1" w:rsidP="0079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E1" w:rsidRDefault="00113232" w:rsidP="007904E1">
    <w:pPr>
      <w:pStyle w:val="Header"/>
      <w:jc w:val="right"/>
    </w:pPr>
    <w:r>
      <w:rPr>
        <w:i/>
        <w:noProof/>
        <w:sz w:val="20"/>
        <w:szCs w:val="20"/>
        <w:lang w:val="en-US" w:eastAsia="en-US" w:bidi="ar-SA"/>
      </w:rPr>
      <w:drawing>
        <wp:inline distT="0" distB="0" distL="0" distR="0">
          <wp:extent cx="551815" cy="336550"/>
          <wp:effectExtent l="0" t="0" r="0" b="0"/>
          <wp:docPr id="2" name="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B81"/>
    <w:multiLevelType w:val="hybridMultilevel"/>
    <w:tmpl w:val="675A6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31E98"/>
    <w:multiLevelType w:val="hybridMultilevel"/>
    <w:tmpl w:val="D7BE4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B021B"/>
    <w:multiLevelType w:val="hybridMultilevel"/>
    <w:tmpl w:val="06DC7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06F9E"/>
    <w:multiLevelType w:val="hybridMultilevel"/>
    <w:tmpl w:val="164CD2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394B42"/>
    <w:multiLevelType w:val="hybridMultilevel"/>
    <w:tmpl w:val="B192C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03F85"/>
    <w:multiLevelType w:val="hybridMultilevel"/>
    <w:tmpl w:val="886E7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2A469A"/>
    <w:multiLevelType w:val="hybridMultilevel"/>
    <w:tmpl w:val="9D80E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63304"/>
    <w:multiLevelType w:val="multilevel"/>
    <w:tmpl w:val="C29EC1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A1187"/>
    <w:multiLevelType w:val="hybridMultilevel"/>
    <w:tmpl w:val="4496A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F"/>
    <w:rsid w:val="00113232"/>
    <w:rsid w:val="005C58DD"/>
    <w:rsid w:val="007904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3319F"/>
    <w:pPr>
      <w:spacing w:after="200" w:line="276" w:lineRule="auto"/>
    </w:pPr>
    <w:rPr>
      <w:rFonts w:ascii="Calibri" w:eastAsia="SimSun" w:hAnsi="Calibri" w:cs="Helvetica"/>
      <w:sz w:val="22"/>
      <w:szCs w:val="28"/>
      <w:lang w:val="en-AU" w:eastAsia="zh-CN" w:bidi="th-T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9F"/>
    <w:rPr>
      <w:rFonts w:ascii="Calibri" w:eastAsia="SimSun" w:hAnsi="Calibri" w:cs="Helvetica"/>
      <w:sz w:val="22"/>
      <w:szCs w:val="28"/>
      <w:lang w:val="en-AU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23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9F"/>
    <w:rPr>
      <w:rFonts w:ascii="Calibri" w:eastAsia="SimSun" w:hAnsi="Calibri" w:cs="Helvetica"/>
      <w:sz w:val="22"/>
      <w:szCs w:val="28"/>
      <w:lang w:val="en-AU" w:eastAsia="zh-CN" w:bidi="th-TH"/>
    </w:rPr>
  </w:style>
  <w:style w:type="paragraph" w:styleId="ColorfulList-Accent1">
    <w:name w:val="Colorful List Accent 1"/>
    <w:basedOn w:val="Normal"/>
    <w:uiPriority w:val="34"/>
    <w:qFormat/>
    <w:rsid w:val="0023319F"/>
    <w:pPr>
      <w:ind w:left="720"/>
      <w:contextualSpacing/>
    </w:pPr>
  </w:style>
  <w:style w:type="character" w:styleId="Hyperlink">
    <w:name w:val="Hyperlink"/>
    <w:rsid w:val="007904E1"/>
    <w:rPr>
      <w:color w:val="0000FF"/>
      <w:u w:val="single"/>
    </w:rPr>
  </w:style>
  <w:style w:type="character" w:customStyle="1" w:styleId="apple-converted-space">
    <w:name w:val="apple-converted-space"/>
    <w:rsid w:val="007904E1"/>
  </w:style>
  <w:style w:type="character" w:customStyle="1" w:styleId="apple-style-span">
    <w:name w:val="apple-style-span"/>
    <w:rsid w:val="007904E1"/>
  </w:style>
  <w:style w:type="paragraph" w:styleId="NoSpacing">
    <w:name w:val="No Spacing"/>
    <w:uiPriority w:val="1"/>
    <w:qFormat/>
    <w:rsid w:val="007904E1"/>
    <w:rPr>
      <w:rFonts w:ascii="Times New Roman" w:eastAsia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rsid w:val="00113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3232"/>
    <w:rPr>
      <w:rFonts w:ascii="Tahoma" w:eastAsia="SimSun" w:hAnsi="Tahoma" w:cs="Angsana New"/>
      <w:sz w:val="16"/>
      <w:lang w:val="en-AU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3319F"/>
    <w:pPr>
      <w:spacing w:after="200" w:line="276" w:lineRule="auto"/>
    </w:pPr>
    <w:rPr>
      <w:rFonts w:ascii="Calibri" w:eastAsia="SimSun" w:hAnsi="Calibri" w:cs="Helvetica"/>
      <w:sz w:val="22"/>
      <w:szCs w:val="28"/>
      <w:lang w:val="en-AU" w:eastAsia="zh-CN" w:bidi="th-T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9F"/>
    <w:rPr>
      <w:rFonts w:ascii="Calibri" w:eastAsia="SimSun" w:hAnsi="Calibri" w:cs="Helvetica"/>
      <w:sz w:val="22"/>
      <w:szCs w:val="28"/>
      <w:lang w:val="en-AU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23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9F"/>
    <w:rPr>
      <w:rFonts w:ascii="Calibri" w:eastAsia="SimSun" w:hAnsi="Calibri" w:cs="Helvetica"/>
      <w:sz w:val="22"/>
      <w:szCs w:val="28"/>
      <w:lang w:val="en-AU" w:eastAsia="zh-CN" w:bidi="th-TH"/>
    </w:rPr>
  </w:style>
  <w:style w:type="paragraph" w:styleId="ColorfulList-Accent1">
    <w:name w:val="Colorful List Accent 1"/>
    <w:basedOn w:val="Normal"/>
    <w:uiPriority w:val="34"/>
    <w:qFormat/>
    <w:rsid w:val="0023319F"/>
    <w:pPr>
      <w:ind w:left="720"/>
      <w:contextualSpacing/>
    </w:pPr>
  </w:style>
  <w:style w:type="character" w:styleId="Hyperlink">
    <w:name w:val="Hyperlink"/>
    <w:rsid w:val="007904E1"/>
    <w:rPr>
      <w:color w:val="0000FF"/>
      <w:u w:val="single"/>
    </w:rPr>
  </w:style>
  <w:style w:type="character" w:customStyle="1" w:styleId="apple-converted-space">
    <w:name w:val="apple-converted-space"/>
    <w:rsid w:val="007904E1"/>
  </w:style>
  <w:style w:type="character" w:customStyle="1" w:styleId="apple-style-span">
    <w:name w:val="apple-style-span"/>
    <w:rsid w:val="007904E1"/>
  </w:style>
  <w:style w:type="paragraph" w:styleId="NoSpacing">
    <w:name w:val="No Spacing"/>
    <w:uiPriority w:val="1"/>
    <w:qFormat/>
    <w:rsid w:val="007904E1"/>
    <w:rPr>
      <w:rFonts w:ascii="Times New Roman" w:eastAsia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rsid w:val="00113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3232"/>
    <w:rPr>
      <w:rFonts w:ascii="Tahoma" w:eastAsia="SimSun" w:hAnsi="Tahoma" w:cs="Angsana New"/>
      <w:sz w:val="16"/>
      <w:lang w:val="en-AU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w.timdavi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http://law.timdavis.com.au/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Angus</dc:creator>
  <cp:keywords/>
  <cp:lastModifiedBy>Tim</cp:lastModifiedBy>
  <cp:revision>2</cp:revision>
  <dcterms:created xsi:type="dcterms:W3CDTF">2012-06-11T17:46:00Z</dcterms:created>
  <dcterms:modified xsi:type="dcterms:W3CDTF">2012-06-11T17:46:00Z</dcterms:modified>
</cp:coreProperties>
</file>