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9C3DE" w14:textId="72A512ED" w:rsidR="00C56894" w:rsidRPr="00D12C92" w:rsidRDefault="008D6E62" w:rsidP="00FE68DA">
      <w:pPr>
        <w:pStyle w:val="NoSpacing"/>
        <w:rPr>
          <w:rFonts w:cs="Times New Roman"/>
          <w:b/>
          <w:sz w:val="36"/>
          <w:szCs w:val="36"/>
          <w:u w:val="single"/>
        </w:rPr>
      </w:pPr>
      <w:r w:rsidRPr="00D12C92">
        <w:rPr>
          <w:rFonts w:cs="Times New Roman"/>
          <w:b/>
          <w:sz w:val="36"/>
          <w:szCs w:val="36"/>
          <w:u w:val="single"/>
        </w:rPr>
        <w:t>Admission to Practice</w:t>
      </w:r>
    </w:p>
    <w:p w14:paraId="294C94AC" w14:textId="77777777" w:rsidR="00FE68DA" w:rsidRDefault="00FE68DA" w:rsidP="00FE68DA">
      <w:pPr>
        <w:pStyle w:val="NoSpacing"/>
        <w:rPr>
          <w:rFonts w:cs="Times New Roman"/>
          <w:szCs w:val="24"/>
        </w:rPr>
      </w:pPr>
    </w:p>
    <w:p w14:paraId="23FCCB8B" w14:textId="75A4C143" w:rsidR="001D01C9" w:rsidRPr="008C456F" w:rsidRDefault="00DB20DC" w:rsidP="008C456F">
      <w:pPr>
        <w:pStyle w:val="NoSpacing"/>
        <w:rPr>
          <w:rFonts w:cs="Times New Roman"/>
          <w:b/>
          <w:szCs w:val="24"/>
          <w:u w:val="single"/>
        </w:rPr>
      </w:pPr>
      <w:r w:rsidRPr="008C456F">
        <w:rPr>
          <w:rFonts w:cs="Times New Roman"/>
          <w:b/>
          <w:szCs w:val="24"/>
          <w:u w:val="single"/>
        </w:rPr>
        <w:t>Academic Requirements</w:t>
      </w:r>
    </w:p>
    <w:p w14:paraId="613E6578" w14:textId="5BE98C17" w:rsidR="002B5B55" w:rsidRPr="0041096F" w:rsidRDefault="00F36897" w:rsidP="0041096F">
      <w:pPr>
        <w:pStyle w:val="NoSpacing"/>
        <w:numPr>
          <w:ilvl w:val="0"/>
          <w:numId w:val="1"/>
        </w:numPr>
        <w:rPr>
          <w:rFonts w:cs="Times New Roman"/>
          <w:szCs w:val="24"/>
        </w:rPr>
      </w:pPr>
      <w:r w:rsidRPr="0041096F">
        <w:rPr>
          <w:rFonts w:cs="Times New Roman"/>
          <w:b/>
          <w:i/>
          <w:szCs w:val="24"/>
        </w:rPr>
        <w:t>Scope</w:t>
      </w:r>
      <w:r w:rsidR="00F97190" w:rsidRPr="0041096F">
        <w:rPr>
          <w:rFonts w:cs="Times New Roman"/>
          <w:szCs w:val="24"/>
        </w:rPr>
        <w:t>–</w:t>
      </w:r>
      <w:r w:rsidR="002B5B55" w:rsidRPr="0041096F">
        <w:rPr>
          <w:rFonts w:cs="Times New Roman"/>
          <w:szCs w:val="24"/>
        </w:rPr>
        <w:t xml:space="preserve"> Admission to practice is premised on the fulfilment of educational requirements. </w:t>
      </w:r>
      <w:r w:rsidR="005F5635">
        <w:rPr>
          <w:rFonts w:cs="Times New Roman"/>
          <w:szCs w:val="24"/>
        </w:rPr>
        <w:t>“</w:t>
      </w:r>
      <w:proofErr w:type="gramStart"/>
      <w:r w:rsidR="002B5B55" w:rsidRPr="0041096F">
        <w:rPr>
          <w:rFonts w:cs="Times New Roman"/>
          <w:i/>
          <w:szCs w:val="24"/>
        </w:rPr>
        <w:t>those</w:t>
      </w:r>
      <w:proofErr w:type="gramEnd"/>
      <w:r w:rsidR="002B5B55" w:rsidRPr="0041096F">
        <w:rPr>
          <w:rFonts w:cs="Times New Roman"/>
          <w:i/>
          <w:szCs w:val="24"/>
        </w:rPr>
        <w:t xml:space="preserve"> who follow the high calling of a legal practitioner are competent and skilled to advise their clients and to attend to their affairs.”</w:t>
      </w:r>
    </w:p>
    <w:p w14:paraId="2453D802" w14:textId="07C4137F" w:rsidR="0041096F" w:rsidRPr="0041096F" w:rsidRDefault="0041096F" w:rsidP="0041096F">
      <w:pPr>
        <w:pStyle w:val="NoSpacing"/>
        <w:numPr>
          <w:ilvl w:val="1"/>
          <w:numId w:val="1"/>
        </w:numPr>
        <w:rPr>
          <w:rFonts w:cs="Times New Roman"/>
          <w:szCs w:val="24"/>
        </w:rPr>
      </w:pPr>
      <w:r w:rsidRPr="00262E80">
        <w:rPr>
          <w:rFonts w:cs="Times New Roman"/>
          <w:b/>
          <w:i/>
          <w:szCs w:val="24"/>
        </w:rPr>
        <w:t xml:space="preserve">Legal Practice Board v </w:t>
      </w:r>
      <w:proofErr w:type="spellStart"/>
      <w:r w:rsidRPr="00262E80">
        <w:rPr>
          <w:rFonts w:cs="Times New Roman"/>
          <w:b/>
          <w:i/>
          <w:szCs w:val="24"/>
        </w:rPr>
        <w:t>Ridah</w:t>
      </w:r>
      <w:proofErr w:type="spellEnd"/>
      <w:r w:rsidRPr="00B912FC">
        <w:rPr>
          <w:rFonts w:cs="Times New Roman"/>
          <w:i/>
          <w:szCs w:val="24"/>
        </w:rPr>
        <w:t xml:space="preserve"> (2004)</w:t>
      </w:r>
    </w:p>
    <w:p w14:paraId="2A8572B6" w14:textId="77777777" w:rsidR="002B5B55" w:rsidRDefault="002B5B55" w:rsidP="00DB20DC">
      <w:pPr>
        <w:pStyle w:val="NoSpacing"/>
        <w:rPr>
          <w:rFonts w:cs="Times New Roman"/>
          <w:szCs w:val="24"/>
        </w:rPr>
      </w:pPr>
    </w:p>
    <w:p w14:paraId="2C9333CE" w14:textId="4A2BB4E0" w:rsidR="008077F0" w:rsidRPr="0041096F" w:rsidRDefault="00E175D4" w:rsidP="0041096F">
      <w:pPr>
        <w:pStyle w:val="ListParagraph"/>
        <w:numPr>
          <w:ilvl w:val="0"/>
          <w:numId w:val="1"/>
        </w:numPr>
        <w:jc w:val="both"/>
        <w:rPr>
          <w:color w:val="000000"/>
        </w:rPr>
      </w:pPr>
      <w:r w:rsidRPr="0041096F">
        <w:rPr>
          <w:b/>
          <w:i/>
        </w:rPr>
        <w:t>Academic Course</w:t>
      </w:r>
      <w:r w:rsidRPr="0041096F">
        <w:rPr>
          <w:i/>
        </w:rPr>
        <w:t xml:space="preserve"> – </w:t>
      </w:r>
      <w:r w:rsidR="00DB20DC" w:rsidRPr="003C6A10">
        <w:t xml:space="preserve">Need to complete a tertiary academic course in Australia in specified areas of law subjects (11 law </w:t>
      </w:r>
      <w:r w:rsidR="00122098">
        <w:rPr>
          <w:color w:val="000000"/>
        </w:rPr>
        <w:t xml:space="preserve">subjects) – </w:t>
      </w:r>
      <w:r w:rsidR="00DB20DC" w:rsidRPr="00122098">
        <w:rPr>
          <w:i/>
          <w:color w:val="000000"/>
        </w:rPr>
        <w:t xml:space="preserve">s </w:t>
      </w:r>
      <w:r w:rsidR="008C456F" w:rsidRPr="00122098">
        <w:rPr>
          <w:i/>
          <w:color w:val="000000"/>
        </w:rPr>
        <w:t>2</w:t>
      </w:r>
      <w:r w:rsidR="00DB20DC" w:rsidRPr="00122098">
        <w:rPr>
          <w:i/>
          <w:color w:val="000000"/>
        </w:rPr>
        <w:t>.01(1)</w:t>
      </w:r>
      <w:r w:rsidR="00D47536" w:rsidRPr="00122098">
        <w:rPr>
          <w:i/>
          <w:color w:val="000000"/>
        </w:rPr>
        <w:t xml:space="preserve"> – s2.04</w:t>
      </w:r>
      <w:r w:rsidR="008077F0" w:rsidRPr="0041096F">
        <w:rPr>
          <w:color w:val="000000"/>
        </w:rPr>
        <w:t xml:space="preserve"> </w:t>
      </w:r>
      <w:r w:rsidR="008077F0" w:rsidRPr="0041096F">
        <w:rPr>
          <w:i/>
        </w:rPr>
        <w:t>Legal Profession (Admission) Rules 2008 (Vic)</w:t>
      </w:r>
      <w:r w:rsidR="008077F0" w:rsidRPr="0041096F">
        <w:rPr>
          <w:b/>
          <w:i/>
        </w:rPr>
        <w:t xml:space="preserve"> </w:t>
      </w:r>
    </w:p>
    <w:p w14:paraId="1FB8A64F" w14:textId="4818BB2F" w:rsidR="008077F0" w:rsidRPr="003C6A10" w:rsidRDefault="008077F0" w:rsidP="0041096F">
      <w:pPr>
        <w:numPr>
          <w:ilvl w:val="1"/>
          <w:numId w:val="1"/>
        </w:numPr>
        <w:jc w:val="both"/>
        <w:rPr>
          <w:color w:val="000000"/>
        </w:rPr>
      </w:pPr>
      <w:r w:rsidRPr="003C6A10">
        <w:rPr>
          <w:i/>
        </w:rPr>
        <w:t xml:space="preserve">Academic Requirements </w:t>
      </w:r>
      <w:r w:rsidR="00F97190" w:rsidRPr="003C6A10">
        <w:t>–</w:t>
      </w:r>
      <w:r w:rsidRPr="003C6A10">
        <w:t xml:space="preserve"> </w:t>
      </w:r>
      <w:r w:rsidR="0061253D">
        <w:t>Illustrates required academic requirements.</w:t>
      </w:r>
    </w:p>
    <w:p w14:paraId="0FA58624" w14:textId="77777777" w:rsidR="005D5D99" w:rsidRPr="003C6A10" w:rsidRDefault="005D5D99" w:rsidP="005D5D99">
      <w:pPr>
        <w:ind w:left="720"/>
        <w:jc w:val="both"/>
      </w:pPr>
    </w:p>
    <w:p w14:paraId="737CC065" w14:textId="69A7C3ED" w:rsidR="008077F0" w:rsidRPr="003C6A10" w:rsidRDefault="00E175D4" w:rsidP="0041096F">
      <w:pPr>
        <w:numPr>
          <w:ilvl w:val="0"/>
          <w:numId w:val="1"/>
        </w:numPr>
        <w:jc w:val="both"/>
      </w:pPr>
      <w:r w:rsidRPr="00CD4C44">
        <w:rPr>
          <w:b/>
          <w:i/>
        </w:rPr>
        <w:t>Practical Training</w:t>
      </w:r>
      <w:r w:rsidRPr="003C6A10">
        <w:rPr>
          <w:i/>
        </w:rPr>
        <w:t xml:space="preserve"> </w:t>
      </w:r>
      <w:r w:rsidRPr="003C6A10">
        <w:t xml:space="preserve">– </w:t>
      </w:r>
      <w:r w:rsidR="00DB20DC" w:rsidRPr="003C6A10">
        <w:t>Need to complete practical requirements which consist of either one year’s articles of clerkship with a lawyer, or a practical legal training course, or a combination of both</w:t>
      </w:r>
      <w:r w:rsidR="002D2FFD" w:rsidRPr="003C6A10">
        <w:t xml:space="preserve"> per 3.01</w:t>
      </w:r>
      <w:r w:rsidR="00FE2A0F" w:rsidRPr="003C6A10">
        <w:t xml:space="preserve"> – 3.04</w:t>
      </w:r>
    </w:p>
    <w:p w14:paraId="13DF2AE1" w14:textId="13183D66" w:rsidR="008077F0" w:rsidRPr="003C6A10" w:rsidRDefault="008077F0" w:rsidP="0041096F">
      <w:pPr>
        <w:numPr>
          <w:ilvl w:val="1"/>
          <w:numId w:val="1"/>
        </w:numPr>
        <w:jc w:val="both"/>
      </w:pPr>
      <w:r w:rsidRPr="00CD4C44">
        <w:rPr>
          <w:i/>
        </w:rPr>
        <w:t>Legal Profession (Admission) Rules 2008 (Vic)</w:t>
      </w:r>
      <w:r w:rsidRPr="003C6A10">
        <w:t xml:space="preserve"> </w:t>
      </w:r>
      <w:proofErr w:type="spellStart"/>
      <w:r w:rsidRPr="003C6A10">
        <w:t>rr</w:t>
      </w:r>
      <w:proofErr w:type="spellEnd"/>
      <w:r w:rsidRPr="003C6A10">
        <w:t xml:space="preserve"> 3.01, 3.05</w:t>
      </w:r>
      <w:r w:rsidR="00F97190" w:rsidRPr="003C6A10">
        <w:t>–</w:t>
      </w:r>
      <w:r w:rsidRPr="003C6A10">
        <w:t>3.15 (known as supervised workplace training)</w:t>
      </w:r>
    </w:p>
    <w:p w14:paraId="5C17C86D" w14:textId="77777777" w:rsidR="005D5D99" w:rsidRPr="003C6A10" w:rsidRDefault="005D5D99" w:rsidP="005D5D99">
      <w:pPr>
        <w:ind w:left="720"/>
        <w:jc w:val="both"/>
      </w:pPr>
    </w:p>
    <w:p w14:paraId="7B82143E" w14:textId="7BB4E199" w:rsidR="00DB20DC" w:rsidRPr="003C6A10" w:rsidRDefault="00610F6E" w:rsidP="0041096F">
      <w:pPr>
        <w:numPr>
          <w:ilvl w:val="0"/>
          <w:numId w:val="1"/>
        </w:numPr>
        <w:jc w:val="both"/>
      </w:pPr>
      <w:r w:rsidRPr="00DE2A0A">
        <w:rPr>
          <w:b/>
          <w:i/>
        </w:rPr>
        <w:t>Fit</w:t>
      </w:r>
      <w:r>
        <w:rPr>
          <w:i/>
        </w:rPr>
        <w:t xml:space="preserve"> </w:t>
      </w:r>
      <w:r w:rsidRPr="00CD4C44">
        <w:rPr>
          <w:b/>
          <w:i/>
        </w:rPr>
        <w:t>and Proper Person</w:t>
      </w:r>
      <w:r>
        <w:rPr>
          <w:i/>
        </w:rPr>
        <w:t xml:space="preserve"> – </w:t>
      </w:r>
      <w:r w:rsidR="00DB20DC" w:rsidRPr="003C6A10">
        <w:t xml:space="preserve">Power to admit rests with the Supreme Court and that the person is both eligible and a fit and proper person per </w:t>
      </w:r>
      <w:r w:rsidR="009F32F4" w:rsidRPr="003C6A10">
        <w:rPr>
          <w:b/>
          <w:i/>
        </w:rPr>
        <w:t>(Vic) s 2.3.6</w:t>
      </w:r>
      <w:r w:rsidR="00EF61CD">
        <w:rPr>
          <w:b/>
          <w:i/>
        </w:rPr>
        <w:t xml:space="preserve"> LPA 2004</w:t>
      </w:r>
      <w:r w:rsidR="00DB20DC" w:rsidRPr="003C6A10">
        <w:t xml:space="preserve"> </w:t>
      </w:r>
    </w:p>
    <w:p w14:paraId="60E89FA2" w14:textId="77777777" w:rsidR="005D5D99" w:rsidRPr="005D5D99" w:rsidRDefault="005D5D99" w:rsidP="00351955">
      <w:pPr>
        <w:jc w:val="both"/>
      </w:pPr>
    </w:p>
    <w:p w14:paraId="26F60181" w14:textId="77777777" w:rsidR="00DB20DC" w:rsidRPr="005D5D99" w:rsidRDefault="00DB20DC" w:rsidP="0041096F">
      <w:pPr>
        <w:numPr>
          <w:ilvl w:val="0"/>
          <w:numId w:val="1"/>
        </w:numPr>
        <w:jc w:val="both"/>
      </w:pPr>
      <w:r w:rsidRPr="005C3B46">
        <w:rPr>
          <w:b/>
          <w:i/>
        </w:rPr>
        <w:t>Definition of Court</w:t>
      </w:r>
      <w:r w:rsidRPr="005D5D99">
        <w:t xml:space="preserve"> – Page 4</w:t>
      </w:r>
    </w:p>
    <w:p w14:paraId="46A478F8" w14:textId="53A5E923" w:rsidR="00DB20DC" w:rsidRPr="00037722" w:rsidRDefault="00351955" w:rsidP="0041096F">
      <w:pPr>
        <w:numPr>
          <w:ilvl w:val="1"/>
          <w:numId w:val="1"/>
        </w:numPr>
        <w:jc w:val="both"/>
        <w:rPr>
          <w:i/>
        </w:rPr>
      </w:pPr>
      <w:r w:rsidRPr="00037722">
        <w:rPr>
          <w:i/>
        </w:rPr>
        <w:t>Anybody</w:t>
      </w:r>
      <w:r w:rsidR="0091724E" w:rsidRPr="00037722">
        <w:rPr>
          <w:i/>
        </w:rPr>
        <w:t xml:space="preserve"> described as such</w:t>
      </w:r>
    </w:p>
    <w:p w14:paraId="2EC1AA65" w14:textId="259E5372" w:rsidR="00DB20DC" w:rsidRPr="00037722" w:rsidRDefault="00DB20DC" w:rsidP="0041096F">
      <w:pPr>
        <w:numPr>
          <w:ilvl w:val="1"/>
          <w:numId w:val="1"/>
        </w:numPr>
        <w:jc w:val="both"/>
        <w:rPr>
          <w:i/>
        </w:rPr>
      </w:pPr>
      <w:r w:rsidRPr="00037722">
        <w:rPr>
          <w:i/>
        </w:rPr>
        <w:t>Any tribunal exercising judicial or quasi</w:t>
      </w:r>
      <w:r w:rsidR="00F97190" w:rsidRPr="00037722">
        <w:rPr>
          <w:i/>
        </w:rPr>
        <w:t>–</w:t>
      </w:r>
      <w:r w:rsidR="0091724E" w:rsidRPr="00037722">
        <w:rPr>
          <w:i/>
        </w:rPr>
        <w:t>judicial, functions</w:t>
      </w:r>
    </w:p>
    <w:p w14:paraId="56B2B889" w14:textId="3ADC48C7" w:rsidR="00DB20DC" w:rsidRPr="00037722" w:rsidRDefault="00DB20DC" w:rsidP="0041096F">
      <w:pPr>
        <w:numPr>
          <w:ilvl w:val="1"/>
          <w:numId w:val="1"/>
        </w:numPr>
        <w:jc w:val="both"/>
        <w:rPr>
          <w:i/>
        </w:rPr>
      </w:pPr>
      <w:r w:rsidRPr="00037722">
        <w:rPr>
          <w:i/>
        </w:rPr>
        <w:t>A pro</w:t>
      </w:r>
      <w:r w:rsidR="0091724E" w:rsidRPr="00037722">
        <w:rPr>
          <w:i/>
        </w:rPr>
        <w:t>fessional disciplinary tribunal</w:t>
      </w:r>
    </w:p>
    <w:p w14:paraId="215E436D" w14:textId="5BC75599" w:rsidR="00DB20DC" w:rsidRPr="00037722" w:rsidRDefault="0091724E" w:rsidP="0041096F">
      <w:pPr>
        <w:numPr>
          <w:ilvl w:val="1"/>
          <w:numId w:val="1"/>
        </w:numPr>
        <w:jc w:val="both"/>
        <w:rPr>
          <w:i/>
        </w:rPr>
      </w:pPr>
      <w:r w:rsidRPr="00037722">
        <w:rPr>
          <w:i/>
        </w:rPr>
        <w:t>An industrial tribunal</w:t>
      </w:r>
    </w:p>
    <w:p w14:paraId="384D7667" w14:textId="6A1A1237" w:rsidR="00DB20DC" w:rsidRPr="00037722" w:rsidRDefault="0091724E" w:rsidP="0041096F">
      <w:pPr>
        <w:numPr>
          <w:ilvl w:val="1"/>
          <w:numId w:val="1"/>
        </w:numPr>
        <w:jc w:val="both"/>
        <w:rPr>
          <w:i/>
        </w:rPr>
      </w:pPr>
      <w:r w:rsidRPr="00037722">
        <w:rPr>
          <w:i/>
        </w:rPr>
        <w:t>An administrative tribunal</w:t>
      </w:r>
    </w:p>
    <w:p w14:paraId="0EC4240A" w14:textId="7C342FAB" w:rsidR="00DB20DC" w:rsidRPr="00037722" w:rsidRDefault="00DB20DC" w:rsidP="0041096F">
      <w:pPr>
        <w:numPr>
          <w:ilvl w:val="1"/>
          <w:numId w:val="1"/>
        </w:numPr>
        <w:jc w:val="both"/>
        <w:rPr>
          <w:i/>
        </w:rPr>
      </w:pPr>
      <w:r w:rsidRPr="00037722">
        <w:rPr>
          <w:i/>
        </w:rPr>
        <w:t>An investigation or inquiry established or conducted u</w:t>
      </w:r>
      <w:r w:rsidR="0091724E" w:rsidRPr="00037722">
        <w:rPr>
          <w:i/>
        </w:rPr>
        <w:t>nder statute or by a Parliament</w:t>
      </w:r>
    </w:p>
    <w:p w14:paraId="15A74636" w14:textId="33FFB04E" w:rsidR="00DB20DC" w:rsidRPr="00037722" w:rsidRDefault="0091724E" w:rsidP="0041096F">
      <w:pPr>
        <w:numPr>
          <w:ilvl w:val="1"/>
          <w:numId w:val="1"/>
        </w:numPr>
        <w:jc w:val="both"/>
        <w:rPr>
          <w:i/>
        </w:rPr>
      </w:pPr>
      <w:r w:rsidRPr="00037722">
        <w:rPr>
          <w:i/>
        </w:rPr>
        <w:t>A Royal commission</w:t>
      </w:r>
    </w:p>
    <w:p w14:paraId="4D3D5065" w14:textId="77777777" w:rsidR="00DB20DC" w:rsidRPr="00037722" w:rsidRDefault="00DB20DC" w:rsidP="0041096F">
      <w:pPr>
        <w:numPr>
          <w:ilvl w:val="1"/>
          <w:numId w:val="1"/>
        </w:numPr>
        <w:jc w:val="both"/>
        <w:rPr>
          <w:i/>
        </w:rPr>
      </w:pPr>
      <w:proofErr w:type="gramStart"/>
      <w:r w:rsidRPr="00037722">
        <w:rPr>
          <w:i/>
        </w:rPr>
        <w:t>An arbitration</w:t>
      </w:r>
      <w:proofErr w:type="gramEnd"/>
      <w:r w:rsidRPr="00037722">
        <w:rPr>
          <w:i/>
        </w:rPr>
        <w:t xml:space="preserve"> or mediation or any other form of dispute resolution.</w:t>
      </w:r>
    </w:p>
    <w:p w14:paraId="6AA73FD2" w14:textId="77777777" w:rsidR="002B5B55" w:rsidRDefault="002B5B55" w:rsidP="00DB20DC">
      <w:pPr>
        <w:pStyle w:val="NoSpacing"/>
        <w:rPr>
          <w:rFonts w:cs="Times New Roman"/>
          <w:szCs w:val="24"/>
        </w:rPr>
      </w:pPr>
    </w:p>
    <w:p w14:paraId="0E3FCEAC" w14:textId="0A353221" w:rsidR="00853A4F" w:rsidRPr="00D12C92" w:rsidRDefault="00E872D7" w:rsidP="00853A4F">
      <w:pPr>
        <w:pStyle w:val="NoSpacing"/>
        <w:rPr>
          <w:rFonts w:cs="Times New Roman"/>
          <w:b/>
          <w:szCs w:val="24"/>
          <w:u w:val="single"/>
        </w:rPr>
      </w:pPr>
      <w:r w:rsidRPr="00D12C92">
        <w:rPr>
          <w:rFonts w:cs="Times New Roman"/>
          <w:b/>
          <w:szCs w:val="24"/>
          <w:u w:val="single"/>
        </w:rPr>
        <w:t>Character Requirements</w:t>
      </w:r>
    </w:p>
    <w:p w14:paraId="7CC76CEF" w14:textId="38F64113" w:rsidR="00275E91" w:rsidRPr="000042F4" w:rsidRDefault="00275E91" w:rsidP="00B21502">
      <w:pPr>
        <w:pStyle w:val="NoSpacing"/>
        <w:numPr>
          <w:ilvl w:val="0"/>
          <w:numId w:val="3"/>
        </w:numPr>
        <w:rPr>
          <w:rFonts w:cs="Times New Roman"/>
          <w:szCs w:val="24"/>
          <w:u w:val="single"/>
        </w:rPr>
      </w:pPr>
      <w:r w:rsidRPr="00F930FB">
        <w:rPr>
          <w:rFonts w:cs="Times New Roman"/>
          <w:b/>
          <w:szCs w:val="24"/>
          <w:u w:val="single"/>
        </w:rPr>
        <w:t>General Requirements</w:t>
      </w:r>
    </w:p>
    <w:p w14:paraId="5543D104" w14:textId="5B22BEC8" w:rsidR="00B910B5" w:rsidRDefault="00C23C99" w:rsidP="00B21502">
      <w:pPr>
        <w:pStyle w:val="NoSpacing"/>
        <w:numPr>
          <w:ilvl w:val="1"/>
          <w:numId w:val="3"/>
        </w:numPr>
        <w:rPr>
          <w:rFonts w:cs="Times New Roman"/>
          <w:color w:val="000000"/>
          <w:szCs w:val="24"/>
        </w:rPr>
      </w:pPr>
      <w:r>
        <w:rPr>
          <w:rFonts w:cs="Times New Roman"/>
          <w:i/>
          <w:szCs w:val="24"/>
        </w:rPr>
        <w:t xml:space="preserve">A negative Test </w:t>
      </w:r>
      <w:r w:rsidR="00B2396E">
        <w:rPr>
          <w:rFonts w:cs="Times New Roman"/>
          <w:i/>
          <w:szCs w:val="24"/>
        </w:rPr>
        <w:t>–</w:t>
      </w:r>
      <w:r>
        <w:rPr>
          <w:rFonts w:cs="Times New Roman"/>
          <w:i/>
          <w:szCs w:val="24"/>
        </w:rPr>
        <w:t xml:space="preserve"> </w:t>
      </w:r>
      <w:r w:rsidR="00275E91" w:rsidRPr="00275E91">
        <w:rPr>
          <w:rFonts w:cs="Times New Roman"/>
          <w:szCs w:val="24"/>
        </w:rPr>
        <w:t xml:space="preserve">An applicant will be presumed to be of “good fame and character” and “fit and proper” unless there </w:t>
      </w:r>
      <w:r w:rsidR="00037722">
        <w:rPr>
          <w:rFonts w:cs="Times New Roman"/>
          <w:color w:val="000000"/>
          <w:szCs w:val="24"/>
        </w:rPr>
        <w:t>is evidence of past misconduct</w:t>
      </w:r>
      <w:r w:rsidR="00275E91" w:rsidRPr="00275E91">
        <w:rPr>
          <w:rFonts w:cs="Times New Roman"/>
          <w:color w:val="000000"/>
          <w:szCs w:val="24"/>
        </w:rPr>
        <w:t xml:space="preserve"> </w:t>
      </w:r>
    </w:p>
    <w:p w14:paraId="45FD61A3" w14:textId="77777777" w:rsidR="0095581E" w:rsidRPr="0095581E" w:rsidRDefault="0095581E" w:rsidP="0095581E">
      <w:pPr>
        <w:pStyle w:val="NoSpacing"/>
        <w:ind w:left="1440"/>
        <w:rPr>
          <w:rFonts w:cs="Times New Roman"/>
          <w:color w:val="000000"/>
          <w:szCs w:val="24"/>
        </w:rPr>
      </w:pPr>
    </w:p>
    <w:p w14:paraId="2651B626" w14:textId="6DF7FBE8" w:rsidR="00275E91" w:rsidRDefault="00275E91" w:rsidP="00B21502">
      <w:pPr>
        <w:pStyle w:val="NoSpacing"/>
        <w:numPr>
          <w:ilvl w:val="1"/>
          <w:numId w:val="3"/>
        </w:numPr>
        <w:rPr>
          <w:rFonts w:cs="Times New Roman"/>
          <w:color w:val="000000"/>
          <w:szCs w:val="24"/>
        </w:rPr>
      </w:pPr>
      <w:r w:rsidRPr="00275E91">
        <w:rPr>
          <w:rFonts w:cs="Times New Roman"/>
          <w:color w:val="000000"/>
          <w:szCs w:val="24"/>
        </w:rPr>
        <w:t>It is possible to be of “good fame and character” but not be “fit and proper”</w:t>
      </w:r>
      <w:r w:rsidR="00852667">
        <w:rPr>
          <w:rFonts w:cs="Times New Roman"/>
          <w:color w:val="000000"/>
          <w:szCs w:val="24"/>
        </w:rPr>
        <w:t>? Yes.</w:t>
      </w:r>
      <w:r w:rsidRPr="00275E91">
        <w:rPr>
          <w:rFonts w:cs="Times New Roman"/>
          <w:color w:val="000000"/>
          <w:szCs w:val="24"/>
        </w:rPr>
        <w:t xml:space="preserve"> </w:t>
      </w:r>
      <w:r w:rsidRPr="00275E91">
        <w:rPr>
          <w:rFonts w:cs="Times New Roman"/>
          <w:b/>
          <w:i/>
          <w:color w:val="000000"/>
          <w:szCs w:val="24"/>
        </w:rPr>
        <w:t xml:space="preserve">Victorian </w:t>
      </w:r>
      <w:r>
        <w:rPr>
          <w:rFonts w:cs="Times New Roman"/>
          <w:b/>
          <w:i/>
          <w:color w:val="000000"/>
          <w:szCs w:val="24"/>
        </w:rPr>
        <w:t>L</w:t>
      </w:r>
      <w:r w:rsidRPr="00275E91">
        <w:rPr>
          <w:rFonts w:cs="Times New Roman"/>
          <w:b/>
          <w:i/>
          <w:color w:val="000000"/>
          <w:szCs w:val="24"/>
        </w:rPr>
        <w:t>awyers RPA Ltd v X</w:t>
      </w:r>
      <w:r w:rsidRPr="00275E91">
        <w:rPr>
          <w:rFonts w:cs="Times New Roman"/>
          <w:color w:val="000000"/>
          <w:szCs w:val="24"/>
        </w:rPr>
        <w:t>.</w:t>
      </w:r>
    </w:p>
    <w:p w14:paraId="1E29DDE1" w14:textId="77777777" w:rsidR="007B621E" w:rsidRDefault="007B621E" w:rsidP="007B621E">
      <w:pPr>
        <w:pStyle w:val="ListParagraph"/>
        <w:rPr>
          <w:color w:val="000000"/>
        </w:rPr>
      </w:pPr>
    </w:p>
    <w:p w14:paraId="1C6D41BC" w14:textId="77777777" w:rsidR="00573D9F" w:rsidRDefault="00275E91" w:rsidP="00841C34">
      <w:pPr>
        <w:pStyle w:val="NoSpacing"/>
        <w:ind w:firstLine="360"/>
        <w:rPr>
          <w:rFonts w:cs="Times New Roman"/>
          <w:color w:val="000000"/>
          <w:szCs w:val="24"/>
        </w:rPr>
      </w:pPr>
      <w:r w:rsidRPr="00275E91">
        <w:rPr>
          <w:rFonts w:cs="Times New Roman"/>
          <w:b/>
          <w:i/>
          <w:color w:val="000000"/>
          <w:szCs w:val="24"/>
        </w:rPr>
        <w:t>Victorian Lawyers RPA Ltd v X</w:t>
      </w:r>
      <w:r w:rsidRPr="00275E91">
        <w:rPr>
          <w:rFonts w:cs="Times New Roman"/>
          <w:color w:val="000000"/>
          <w:szCs w:val="24"/>
        </w:rPr>
        <w:t xml:space="preserve">: </w:t>
      </w:r>
    </w:p>
    <w:p w14:paraId="0B32AB60" w14:textId="1B884915" w:rsidR="00275E91" w:rsidRPr="007B621E" w:rsidRDefault="00852667" w:rsidP="00B21502">
      <w:pPr>
        <w:pStyle w:val="NoSpacing"/>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rPr>
          <w:rFonts w:cs="Times New Roman"/>
          <w:szCs w:val="24"/>
        </w:rPr>
      </w:pPr>
      <w:r w:rsidRPr="007B621E">
        <w:rPr>
          <w:rFonts w:cs="Times New Roman"/>
          <w:color w:val="000000"/>
          <w:szCs w:val="24"/>
        </w:rPr>
        <w:t>X</w:t>
      </w:r>
      <w:r w:rsidR="00275E91" w:rsidRPr="007B621E">
        <w:rPr>
          <w:rFonts w:cs="Times New Roman"/>
          <w:color w:val="000000"/>
          <w:szCs w:val="24"/>
        </w:rPr>
        <w:t xml:space="preserve"> pleaded guilty to six accounts of making fals</w:t>
      </w:r>
      <w:r w:rsidR="000C293B" w:rsidRPr="007B621E">
        <w:rPr>
          <w:rFonts w:cs="Times New Roman"/>
          <w:color w:val="000000"/>
          <w:szCs w:val="24"/>
        </w:rPr>
        <w:t>e accusations of sexual assault</w:t>
      </w:r>
      <w:r w:rsidR="001B1BEA" w:rsidRPr="007B621E">
        <w:rPr>
          <w:rFonts w:cs="Times New Roman"/>
          <w:color w:val="000000"/>
          <w:szCs w:val="24"/>
        </w:rPr>
        <w:t xml:space="preserve">. </w:t>
      </w:r>
      <w:r w:rsidR="007B621E" w:rsidRPr="007B621E">
        <w:rPr>
          <w:rFonts w:cs="Times New Roman"/>
          <w:color w:val="000000"/>
          <w:szCs w:val="24"/>
        </w:rPr>
        <w:t xml:space="preserve">Didn’t appreciate her actions. </w:t>
      </w:r>
      <w:r w:rsidR="00275E91" w:rsidRPr="007B621E">
        <w:rPr>
          <w:rFonts w:cs="Times New Roman"/>
          <w:color w:val="000000"/>
          <w:szCs w:val="24"/>
        </w:rPr>
        <w:t>She also failed to inform the Board of Examiners of the relevant circumstances surrounding the charges she had made and thus seriously misled the Board</w:t>
      </w:r>
      <w:r w:rsidR="00275E91" w:rsidRPr="007B621E">
        <w:rPr>
          <w:rFonts w:cs="Times New Roman"/>
          <w:szCs w:val="24"/>
        </w:rPr>
        <w:t>.</w:t>
      </w:r>
      <w:r w:rsidR="007B621E" w:rsidRPr="007B621E">
        <w:rPr>
          <w:rFonts w:cs="Times New Roman"/>
          <w:szCs w:val="24"/>
        </w:rPr>
        <w:t xml:space="preserve"> </w:t>
      </w:r>
      <w:r w:rsidR="00275E91" w:rsidRPr="007B621E">
        <w:rPr>
          <w:rFonts w:cs="Times New Roman"/>
          <w:szCs w:val="24"/>
        </w:rPr>
        <w:t xml:space="preserve">The applicant was otherwise found to be a person of good character and </w:t>
      </w:r>
      <w:proofErr w:type="spellStart"/>
      <w:r w:rsidR="00275E91" w:rsidRPr="007B621E">
        <w:rPr>
          <w:rFonts w:cs="Times New Roman"/>
          <w:szCs w:val="24"/>
        </w:rPr>
        <w:t>reputation</w:t>
      </w:r>
      <w:proofErr w:type="gramStart"/>
      <w:r w:rsidR="00275E91" w:rsidRPr="007B621E">
        <w:rPr>
          <w:rFonts w:cs="Times New Roman"/>
          <w:szCs w:val="24"/>
        </w:rPr>
        <w:t>:</w:t>
      </w:r>
      <w:r w:rsidR="00275E91" w:rsidRPr="007B621E">
        <w:rPr>
          <w:rFonts w:cs="Times New Roman"/>
          <w:b/>
          <w:szCs w:val="24"/>
        </w:rPr>
        <w:t>Held</w:t>
      </w:r>
      <w:proofErr w:type="spellEnd"/>
      <w:proofErr w:type="gramEnd"/>
      <w:r w:rsidR="00275E91" w:rsidRPr="007B621E">
        <w:rPr>
          <w:rFonts w:cs="Times New Roman"/>
          <w:b/>
          <w:szCs w:val="24"/>
        </w:rPr>
        <w:t>:</w:t>
      </w:r>
      <w:r w:rsidR="00275E91" w:rsidRPr="007B621E">
        <w:rPr>
          <w:rFonts w:cs="Times New Roman"/>
          <w:szCs w:val="24"/>
        </w:rPr>
        <w:t xml:space="preserve"> her admission was refused </w:t>
      </w:r>
      <w:r w:rsidR="0091724E" w:rsidRPr="007B621E">
        <w:rPr>
          <w:rFonts w:cs="Times New Roman"/>
          <w:szCs w:val="24"/>
        </w:rPr>
        <w:t>because</w:t>
      </w:r>
      <w:r w:rsidR="00275E91" w:rsidRPr="007B621E">
        <w:rPr>
          <w:rFonts w:cs="Times New Roman"/>
          <w:szCs w:val="24"/>
        </w:rPr>
        <w:t xml:space="preserve"> </w:t>
      </w:r>
      <w:r w:rsidR="00275E91" w:rsidRPr="007B621E">
        <w:rPr>
          <w:rFonts w:cs="Times New Roman"/>
          <w:i/>
          <w:szCs w:val="24"/>
        </w:rPr>
        <w:t>“one who is not capable of dealing appropriately with awkward facts of this kind in one’s own life (</w:t>
      </w:r>
      <w:proofErr w:type="spellStart"/>
      <w:r w:rsidR="00275E91" w:rsidRPr="007B621E">
        <w:rPr>
          <w:rFonts w:cs="Times New Roman"/>
          <w:i/>
          <w:szCs w:val="24"/>
        </w:rPr>
        <w:t>i.e</w:t>
      </w:r>
      <w:proofErr w:type="spellEnd"/>
      <w:r w:rsidR="00275E91" w:rsidRPr="007B621E">
        <w:rPr>
          <w:rFonts w:cs="Times New Roman"/>
          <w:i/>
          <w:szCs w:val="24"/>
        </w:rPr>
        <w:t xml:space="preserve"> that she has or may have caused great harm to others) cannot be entrusted appropriately to advise clients who are similarly placed.</w:t>
      </w:r>
      <w:r w:rsidR="000C293B" w:rsidRPr="007B621E">
        <w:rPr>
          <w:rFonts w:cs="Times New Roman"/>
          <w:i/>
          <w:szCs w:val="24"/>
        </w:rPr>
        <w:t>”</w:t>
      </w:r>
    </w:p>
    <w:p w14:paraId="31E545E9" w14:textId="1FB01CEE" w:rsidR="00275E91" w:rsidRPr="00275E91" w:rsidRDefault="00275E91" w:rsidP="00275E91">
      <w:pPr>
        <w:pStyle w:val="NoSpacing"/>
        <w:rPr>
          <w:rFonts w:cs="Times New Roman"/>
          <w:szCs w:val="24"/>
        </w:rPr>
      </w:pPr>
      <w:r w:rsidRPr="00275E91">
        <w:rPr>
          <w:rFonts w:cs="Times New Roman"/>
          <w:szCs w:val="24"/>
        </w:rPr>
        <w:lastRenderedPageBreak/>
        <w:t xml:space="preserve">Although the principles of what constitutes “good fame and character” are unclear and undefined, the cases can be divided into </w:t>
      </w:r>
      <w:r w:rsidR="000F795C">
        <w:rPr>
          <w:rFonts w:cs="Times New Roman"/>
          <w:szCs w:val="24"/>
        </w:rPr>
        <w:t>four</w:t>
      </w:r>
      <w:r w:rsidRPr="00275E91">
        <w:rPr>
          <w:rFonts w:cs="Times New Roman"/>
          <w:szCs w:val="24"/>
        </w:rPr>
        <w:t xml:space="preserve"> main categories:</w:t>
      </w:r>
    </w:p>
    <w:p w14:paraId="5D87E326" w14:textId="77777777" w:rsidR="00852667" w:rsidRDefault="00852667" w:rsidP="00275E91">
      <w:pPr>
        <w:pStyle w:val="NoSpacing"/>
        <w:rPr>
          <w:rFonts w:cs="Times New Roman"/>
          <w:b/>
          <w:szCs w:val="24"/>
          <w:u w:val="single"/>
        </w:rPr>
      </w:pPr>
    </w:p>
    <w:p w14:paraId="43B7D2C9" w14:textId="77777777" w:rsidR="00275E91" w:rsidRPr="00F930FB" w:rsidRDefault="00275E91" w:rsidP="00B21502">
      <w:pPr>
        <w:pStyle w:val="NoSpacing"/>
        <w:numPr>
          <w:ilvl w:val="0"/>
          <w:numId w:val="5"/>
        </w:numPr>
        <w:rPr>
          <w:rFonts w:cs="Times New Roman"/>
          <w:szCs w:val="24"/>
        </w:rPr>
      </w:pPr>
      <w:r w:rsidRPr="0059563F">
        <w:rPr>
          <w:rFonts w:cs="Times New Roman"/>
          <w:b/>
          <w:i/>
          <w:szCs w:val="24"/>
        </w:rPr>
        <w:t>Dishonesty</w:t>
      </w:r>
      <w:r w:rsidRPr="00F930FB">
        <w:rPr>
          <w:rFonts w:cs="Times New Roman"/>
          <w:b/>
          <w:szCs w:val="24"/>
        </w:rPr>
        <w:t>:</w:t>
      </w:r>
      <w:r w:rsidRPr="00F930FB">
        <w:rPr>
          <w:rFonts w:cs="Times New Roman"/>
          <w:szCs w:val="24"/>
        </w:rPr>
        <w:t xml:space="preserve"> includes theft, fraud, forgery, </w:t>
      </w:r>
      <w:proofErr w:type="spellStart"/>
      <w:r w:rsidRPr="00F930FB">
        <w:rPr>
          <w:rFonts w:cs="Times New Roman"/>
          <w:szCs w:val="24"/>
        </w:rPr>
        <w:t>etc</w:t>
      </w:r>
      <w:proofErr w:type="spellEnd"/>
      <w:r w:rsidRPr="00F930FB">
        <w:rPr>
          <w:rFonts w:cs="Times New Roman"/>
          <w:szCs w:val="24"/>
        </w:rPr>
        <w:t>, and lack of candour;</w:t>
      </w:r>
    </w:p>
    <w:p w14:paraId="7AA57144" w14:textId="77777777" w:rsidR="00FD2A51" w:rsidRPr="0059563F" w:rsidRDefault="00FD2A51" w:rsidP="00FD2A51">
      <w:pPr>
        <w:pStyle w:val="NoSpacing"/>
        <w:numPr>
          <w:ilvl w:val="0"/>
          <w:numId w:val="5"/>
        </w:numPr>
        <w:rPr>
          <w:rFonts w:cs="Times New Roman"/>
          <w:szCs w:val="24"/>
        </w:rPr>
      </w:pPr>
      <w:r w:rsidRPr="0059563F">
        <w:rPr>
          <w:rFonts w:cs="Times New Roman"/>
          <w:b/>
          <w:i/>
          <w:szCs w:val="24"/>
        </w:rPr>
        <w:t>Mental illness and/or substance abuse</w:t>
      </w:r>
    </w:p>
    <w:p w14:paraId="6B64D32B" w14:textId="07BC118F" w:rsidR="00275E91" w:rsidRPr="00F930FB" w:rsidRDefault="00275E91" w:rsidP="00B21502">
      <w:pPr>
        <w:pStyle w:val="NoSpacing"/>
        <w:numPr>
          <w:ilvl w:val="0"/>
          <w:numId w:val="5"/>
        </w:numPr>
        <w:rPr>
          <w:rFonts w:cs="Times New Roman"/>
          <w:szCs w:val="24"/>
        </w:rPr>
      </w:pPr>
      <w:r w:rsidRPr="0059563F">
        <w:rPr>
          <w:rFonts w:cs="Times New Roman"/>
          <w:b/>
          <w:i/>
          <w:szCs w:val="24"/>
        </w:rPr>
        <w:t>Personal moral standards</w:t>
      </w:r>
      <w:r w:rsidRPr="00F930FB">
        <w:rPr>
          <w:rFonts w:cs="Times New Roman"/>
          <w:b/>
          <w:szCs w:val="24"/>
        </w:rPr>
        <w:t>:</w:t>
      </w:r>
      <w:r w:rsidRPr="00F930FB">
        <w:rPr>
          <w:rFonts w:cs="Times New Roman"/>
          <w:szCs w:val="24"/>
        </w:rPr>
        <w:t xml:space="preserve"> not filed tax returns, use of drugs or alcohol, sexual, </w:t>
      </w:r>
      <w:r w:rsidR="00FD2A51">
        <w:rPr>
          <w:rFonts w:cs="Times New Roman"/>
          <w:szCs w:val="24"/>
        </w:rPr>
        <w:t xml:space="preserve">activity, criminal offences </w:t>
      </w:r>
      <w:proofErr w:type="spellStart"/>
      <w:r w:rsidR="00FD2A51">
        <w:rPr>
          <w:rFonts w:cs="Times New Roman"/>
          <w:szCs w:val="24"/>
        </w:rPr>
        <w:t>etc</w:t>
      </w:r>
      <w:proofErr w:type="spellEnd"/>
      <w:r w:rsidR="00FD2A51">
        <w:rPr>
          <w:rFonts w:cs="Times New Roman"/>
          <w:szCs w:val="24"/>
        </w:rPr>
        <w:t>, political activity</w:t>
      </w:r>
    </w:p>
    <w:p w14:paraId="61F6A80D" w14:textId="77777777" w:rsidR="0095581E" w:rsidRDefault="0095581E" w:rsidP="0095581E">
      <w:pPr>
        <w:pStyle w:val="NoSpacing"/>
        <w:rPr>
          <w:rFonts w:cs="Times New Roman"/>
          <w:b/>
          <w:szCs w:val="24"/>
          <w:u w:val="single"/>
        </w:rPr>
      </w:pPr>
    </w:p>
    <w:p w14:paraId="14014760" w14:textId="19C3FF3D" w:rsidR="0095581E" w:rsidRPr="000042F4" w:rsidRDefault="0065383F" w:rsidP="00B21502">
      <w:pPr>
        <w:pStyle w:val="NoSpacing"/>
        <w:numPr>
          <w:ilvl w:val="0"/>
          <w:numId w:val="3"/>
        </w:numPr>
        <w:rPr>
          <w:rFonts w:cs="Times New Roman"/>
          <w:szCs w:val="24"/>
          <w:u w:val="single"/>
        </w:rPr>
      </w:pPr>
      <w:r>
        <w:rPr>
          <w:rFonts w:cs="Times New Roman"/>
          <w:b/>
          <w:szCs w:val="24"/>
          <w:u w:val="single"/>
        </w:rPr>
        <w:t>Suitability Matters</w:t>
      </w:r>
      <w:r w:rsidR="00C743A6">
        <w:rPr>
          <w:rFonts w:cs="Times New Roman"/>
          <w:b/>
          <w:szCs w:val="24"/>
          <w:u w:val="single"/>
        </w:rPr>
        <w:t xml:space="preserve"> – </w:t>
      </w:r>
      <w:r w:rsidR="00C743A6" w:rsidRPr="00975B9E">
        <w:rPr>
          <w:rFonts w:cs="Times New Roman"/>
          <w:b/>
          <w:i/>
          <w:szCs w:val="24"/>
          <w:u w:val="single"/>
        </w:rPr>
        <w:t>s1.2.6 &amp; 2.3.3</w:t>
      </w:r>
      <w:r w:rsidR="00D330D8" w:rsidRPr="00975B9E">
        <w:rPr>
          <w:rFonts w:cs="Times New Roman"/>
          <w:b/>
          <w:i/>
          <w:szCs w:val="24"/>
          <w:u w:val="single"/>
        </w:rPr>
        <w:t xml:space="preserve"> LPA</w:t>
      </w:r>
    </w:p>
    <w:p w14:paraId="51B2BE6A" w14:textId="77777777" w:rsidR="00F05FED" w:rsidRDefault="00F05FED" w:rsidP="00F05FED">
      <w:pPr>
        <w:pStyle w:val="NoSpacing"/>
        <w:numPr>
          <w:ilvl w:val="1"/>
          <w:numId w:val="3"/>
        </w:numPr>
        <w:rPr>
          <w:rFonts w:cs="Times New Roman"/>
          <w:szCs w:val="24"/>
        </w:rPr>
      </w:pPr>
      <w:r w:rsidRPr="00F043A5">
        <w:rPr>
          <w:rFonts w:cs="Times New Roman"/>
          <w:b/>
          <w:szCs w:val="24"/>
        </w:rPr>
        <w:t>Reason for suitability requirements</w:t>
      </w:r>
      <w:r>
        <w:rPr>
          <w:rFonts w:cs="Times New Roman"/>
          <w:szCs w:val="24"/>
        </w:rPr>
        <w:t>:</w:t>
      </w:r>
    </w:p>
    <w:p w14:paraId="513FC92A" w14:textId="77777777" w:rsidR="00F05FED" w:rsidRDefault="00F05FED" w:rsidP="00F05FED">
      <w:pPr>
        <w:pStyle w:val="NoSpacing"/>
        <w:numPr>
          <w:ilvl w:val="2"/>
          <w:numId w:val="3"/>
        </w:numPr>
        <w:rPr>
          <w:rFonts w:cs="Times New Roman"/>
          <w:szCs w:val="24"/>
        </w:rPr>
      </w:pPr>
      <w:r w:rsidRPr="00124885">
        <w:rPr>
          <w:rFonts w:cs="Times New Roman"/>
          <w:i/>
          <w:szCs w:val="24"/>
        </w:rPr>
        <w:t xml:space="preserve">Ex Parte </w:t>
      </w:r>
      <w:proofErr w:type="spellStart"/>
      <w:r w:rsidRPr="00124885">
        <w:rPr>
          <w:rFonts w:cs="Times New Roman"/>
          <w:i/>
          <w:szCs w:val="24"/>
        </w:rPr>
        <w:t>Lenehan</w:t>
      </w:r>
      <w:proofErr w:type="spellEnd"/>
      <w:r w:rsidRPr="00124885">
        <w:rPr>
          <w:rFonts w:cs="Times New Roman"/>
          <w:i/>
          <w:szCs w:val="24"/>
        </w:rPr>
        <w:t xml:space="preserve"> (1948)</w:t>
      </w:r>
      <w:r>
        <w:rPr>
          <w:rFonts w:cs="Times New Roman"/>
          <w:szCs w:val="24"/>
        </w:rPr>
        <w:t xml:space="preserve"> and also </w:t>
      </w:r>
      <w:r w:rsidRPr="00124885">
        <w:rPr>
          <w:rFonts w:cs="Times New Roman"/>
          <w:i/>
          <w:szCs w:val="24"/>
        </w:rPr>
        <w:t>Re Application for Admission as a Legal Practitioner (2004)</w:t>
      </w:r>
      <w:r>
        <w:rPr>
          <w:rFonts w:cs="Times New Roman"/>
          <w:szCs w:val="24"/>
        </w:rPr>
        <w:t xml:space="preserve"> – </w:t>
      </w:r>
    </w:p>
    <w:p w14:paraId="1715363D" w14:textId="6542686F" w:rsidR="00F05FED" w:rsidRPr="00037722" w:rsidRDefault="00037722" w:rsidP="00F05FED">
      <w:pPr>
        <w:pStyle w:val="NoSpacing"/>
        <w:numPr>
          <w:ilvl w:val="3"/>
          <w:numId w:val="3"/>
        </w:numPr>
        <w:rPr>
          <w:rFonts w:cs="Times New Roman"/>
          <w:szCs w:val="24"/>
        </w:rPr>
      </w:pPr>
      <w:r w:rsidRPr="00037722">
        <w:rPr>
          <w:rFonts w:cs="Times New Roman"/>
          <w:i/>
          <w:szCs w:val="24"/>
        </w:rPr>
        <w:t>‘</w:t>
      </w:r>
      <w:r w:rsidR="00F05FED" w:rsidRPr="00037722">
        <w:rPr>
          <w:rFonts w:cs="Times New Roman"/>
          <w:i/>
          <w:szCs w:val="24"/>
        </w:rPr>
        <w:t>The reason for inquiry into fame and character is that a person admitted to the profession is held out as fit to be entrusted by the public with their affairs and confidence , in whose integrity the public can be confident.</w:t>
      </w:r>
      <w:r w:rsidRPr="00037722">
        <w:rPr>
          <w:rFonts w:cs="Times New Roman"/>
          <w:i/>
          <w:szCs w:val="24"/>
        </w:rPr>
        <w:t>’</w:t>
      </w:r>
    </w:p>
    <w:p w14:paraId="23CE7DCE" w14:textId="77777777" w:rsidR="00F05FED" w:rsidRDefault="00F05FED" w:rsidP="00F05FED">
      <w:pPr>
        <w:pStyle w:val="NoSpacing"/>
        <w:ind w:left="2880"/>
        <w:rPr>
          <w:rFonts w:cs="Times New Roman"/>
          <w:szCs w:val="24"/>
        </w:rPr>
      </w:pPr>
    </w:p>
    <w:p w14:paraId="43BD11CA" w14:textId="1F86AA75" w:rsidR="00F05FED" w:rsidRDefault="00F05FED" w:rsidP="00F05FED">
      <w:pPr>
        <w:pStyle w:val="NoSpacing"/>
        <w:numPr>
          <w:ilvl w:val="1"/>
          <w:numId w:val="3"/>
        </w:numPr>
        <w:rPr>
          <w:rFonts w:cs="Times New Roman"/>
          <w:szCs w:val="24"/>
        </w:rPr>
      </w:pPr>
      <w:r>
        <w:rPr>
          <w:rFonts w:cs="Times New Roman"/>
          <w:i/>
          <w:szCs w:val="24"/>
        </w:rPr>
        <w:t xml:space="preserve">Board of Examiners </w:t>
      </w:r>
      <w:r w:rsidR="000A0364">
        <w:rPr>
          <w:rFonts w:cs="Times New Roman"/>
          <w:i/>
          <w:szCs w:val="24"/>
        </w:rPr>
        <w:t>reviews</w:t>
      </w:r>
      <w:r>
        <w:rPr>
          <w:rFonts w:cs="Times New Roman"/>
          <w:i/>
          <w:szCs w:val="24"/>
        </w:rPr>
        <w:t xml:space="preserve"> Fame &amp; Character </w:t>
      </w:r>
      <w:r>
        <w:rPr>
          <w:rFonts w:cs="Times New Roman"/>
          <w:szCs w:val="24"/>
        </w:rPr>
        <w:t xml:space="preserve">– </w:t>
      </w:r>
      <w:r w:rsidR="00187285">
        <w:rPr>
          <w:rFonts w:cs="Times New Roman"/>
          <w:szCs w:val="24"/>
        </w:rPr>
        <w:t>s</w:t>
      </w:r>
      <w:r w:rsidR="00187285" w:rsidRPr="00187285">
        <w:rPr>
          <w:rFonts w:cs="Times New Roman"/>
          <w:i/>
          <w:szCs w:val="24"/>
        </w:rPr>
        <w:t>2.3.6, 2.3.10 LPA</w:t>
      </w:r>
      <w:r w:rsidR="00187285">
        <w:rPr>
          <w:rFonts w:cs="Times New Roman"/>
          <w:szCs w:val="24"/>
        </w:rPr>
        <w:t xml:space="preserve"> – </w:t>
      </w:r>
      <w:r>
        <w:rPr>
          <w:rFonts w:cs="Times New Roman"/>
          <w:szCs w:val="24"/>
        </w:rPr>
        <w:t>An admission board (or like) to advise the court as to an</w:t>
      </w:r>
      <w:r w:rsidR="00187285">
        <w:rPr>
          <w:rFonts w:cs="Times New Roman"/>
          <w:szCs w:val="24"/>
        </w:rPr>
        <w:t xml:space="preserve"> applicant’s fame and character.</w:t>
      </w:r>
    </w:p>
    <w:p w14:paraId="330E6D44" w14:textId="77777777" w:rsidR="00E03789" w:rsidRDefault="00E03789" w:rsidP="00E03789">
      <w:pPr>
        <w:pStyle w:val="NoSpacing"/>
        <w:ind w:left="1440"/>
        <w:rPr>
          <w:rFonts w:cs="Times New Roman"/>
          <w:szCs w:val="24"/>
        </w:rPr>
      </w:pPr>
    </w:p>
    <w:p w14:paraId="6FCB6E56" w14:textId="14449C2D" w:rsidR="009F4C7F" w:rsidRDefault="0032661A" w:rsidP="00B21502">
      <w:pPr>
        <w:pStyle w:val="NoSpacing"/>
        <w:numPr>
          <w:ilvl w:val="1"/>
          <w:numId w:val="3"/>
        </w:numPr>
        <w:rPr>
          <w:rFonts w:cs="Times New Roman"/>
          <w:szCs w:val="24"/>
        </w:rPr>
      </w:pPr>
      <w:r>
        <w:rPr>
          <w:rFonts w:cs="Times New Roman"/>
          <w:szCs w:val="24"/>
        </w:rPr>
        <w:t>They primarily include per s1.2.6</w:t>
      </w:r>
      <w:r w:rsidR="00915583">
        <w:rPr>
          <w:rFonts w:cs="Times New Roman"/>
          <w:szCs w:val="24"/>
        </w:rPr>
        <w:t xml:space="preserve"> – </w:t>
      </w:r>
    </w:p>
    <w:p w14:paraId="28E1566A" w14:textId="77777777" w:rsidR="00134EBD" w:rsidRDefault="00134EBD" w:rsidP="00134EBD">
      <w:pPr>
        <w:pStyle w:val="ListParagraph"/>
      </w:pPr>
    </w:p>
    <w:p w14:paraId="6E4D5C78" w14:textId="4E4BA1A3" w:rsidR="00134EBD" w:rsidRPr="00696481" w:rsidRDefault="00975B9E" w:rsidP="00134EBD">
      <w:pPr>
        <w:pStyle w:val="NoSpacing"/>
        <w:numPr>
          <w:ilvl w:val="2"/>
          <w:numId w:val="3"/>
        </w:numPr>
        <w:rPr>
          <w:rFonts w:cs="Times New Roman"/>
          <w:szCs w:val="24"/>
        </w:rPr>
      </w:pPr>
      <w:r w:rsidRPr="00296186">
        <w:rPr>
          <w:rFonts w:cs="Times New Roman"/>
          <w:b/>
          <w:i/>
          <w:szCs w:val="24"/>
        </w:rPr>
        <w:t>Good Fame &amp; Character</w:t>
      </w:r>
      <w:r>
        <w:rPr>
          <w:rFonts w:cs="Times New Roman"/>
          <w:szCs w:val="24"/>
        </w:rPr>
        <w:t xml:space="preserve"> – </w:t>
      </w:r>
      <w:r w:rsidRPr="00975B9E">
        <w:rPr>
          <w:rFonts w:cs="Times New Roman"/>
          <w:i/>
          <w:szCs w:val="24"/>
        </w:rPr>
        <w:t>s1.2.6(a) LPA</w:t>
      </w:r>
    </w:p>
    <w:p w14:paraId="2FFCA8B0" w14:textId="77777777" w:rsidR="00696481" w:rsidRPr="00975B9E" w:rsidRDefault="00696481" w:rsidP="00A9611A">
      <w:pPr>
        <w:pStyle w:val="NoSpacing"/>
        <w:ind w:left="2160"/>
        <w:rPr>
          <w:rFonts w:cs="Times New Roman"/>
          <w:szCs w:val="24"/>
        </w:rPr>
      </w:pPr>
    </w:p>
    <w:p w14:paraId="07DEEDC0" w14:textId="2DE4E391" w:rsidR="00975B9E" w:rsidRPr="00696481" w:rsidRDefault="00124771" w:rsidP="00975B9E">
      <w:pPr>
        <w:pStyle w:val="NoSpacing"/>
        <w:numPr>
          <w:ilvl w:val="2"/>
          <w:numId w:val="3"/>
        </w:numPr>
        <w:rPr>
          <w:rFonts w:cs="Times New Roman"/>
          <w:szCs w:val="24"/>
        </w:rPr>
      </w:pPr>
      <w:r w:rsidRPr="00296186">
        <w:rPr>
          <w:rFonts w:cs="Times New Roman"/>
          <w:b/>
          <w:i/>
          <w:szCs w:val="24"/>
        </w:rPr>
        <w:t>Is or has been insolvent</w:t>
      </w:r>
      <w:r>
        <w:rPr>
          <w:rFonts w:cs="Times New Roman"/>
          <w:szCs w:val="24"/>
        </w:rPr>
        <w:t xml:space="preserve"> </w:t>
      </w:r>
      <w:r w:rsidR="00975B9E">
        <w:rPr>
          <w:rFonts w:cs="Times New Roman"/>
          <w:szCs w:val="24"/>
        </w:rPr>
        <w:t xml:space="preserve"> – </w:t>
      </w:r>
      <w:r w:rsidR="00975B9E" w:rsidRPr="00975B9E">
        <w:rPr>
          <w:rFonts w:cs="Times New Roman"/>
          <w:i/>
          <w:szCs w:val="24"/>
        </w:rPr>
        <w:t>s1.2.6(</w:t>
      </w:r>
      <w:r w:rsidR="00C019D7">
        <w:rPr>
          <w:rFonts w:cs="Times New Roman"/>
          <w:i/>
          <w:szCs w:val="24"/>
        </w:rPr>
        <w:t>b</w:t>
      </w:r>
      <w:r w:rsidR="00975B9E" w:rsidRPr="00975B9E">
        <w:rPr>
          <w:rFonts w:cs="Times New Roman"/>
          <w:i/>
          <w:szCs w:val="24"/>
        </w:rPr>
        <w:t>) LPA</w:t>
      </w:r>
    </w:p>
    <w:p w14:paraId="0AE03890" w14:textId="77777777" w:rsidR="00696481" w:rsidRDefault="00696481" w:rsidP="00A9611A">
      <w:pPr>
        <w:pStyle w:val="NoSpacing"/>
        <w:ind w:left="2160"/>
        <w:rPr>
          <w:rFonts w:cs="Times New Roman"/>
          <w:szCs w:val="24"/>
        </w:rPr>
      </w:pPr>
    </w:p>
    <w:p w14:paraId="0E53A543" w14:textId="76FEBAC4" w:rsidR="00975B9E" w:rsidRDefault="00124771" w:rsidP="00975B9E">
      <w:pPr>
        <w:pStyle w:val="NoSpacing"/>
        <w:numPr>
          <w:ilvl w:val="2"/>
          <w:numId w:val="3"/>
        </w:numPr>
        <w:rPr>
          <w:rFonts w:cs="Times New Roman"/>
          <w:szCs w:val="24"/>
        </w:rPr>
      </w:pPr>
      <w:r w:rsidRPr="00296186">
        <w:rPr>
          <w:rFonts w:cs="Times New Roman"/>
          <w:b/>
          <w:i/>
          <w:szCs w:val="24"/>
        </w:rPr>
        <w:t xml:space="preserve">Guilty of </w:t>
      </w:r>
      <w:r w:rsidR="00696481" w:rsidRPr="00296186">
        <w:rPr>
          <w:rFonts w:cs="Times New Roman"/>
          <w:b/>
          <w:i/>
          <w:szCs w:val="24"/>
        </w:rPr>
        <w:t>an</w:t>
      </w:r>
      <w:r w:rsidRPr="00296186">
        <w:rPr>
          <w:rFonts w:cs="Times New Roman"/>
          <w:b/>
          <w:i/>
          <w:szCs w:val="24"/>
        </w:rPr>
        <w:t xml:space="preserve"> Offence in Australia or Foreign Country</w:t>
      </w:r>
      <w:r w:rsidR="00975B9E">
        <w:rPr>
          <w:rFonts w:cs="Times New Roman"/>
          <w:szCs w:val="24"/>
        </w:rPr>
        <w:t xml:space="preserve"> – </w:t>
      </w:r>
      <w:r w:rsidR="00975B9E" w:rsidRPr="00975B9E">
        <w:rPr>
          <w:rFonts w:cs="Times New Roman"/>
          <w:i/>
          <w:szCs w:val="24"/>
        </w:rPr>
        <w:t>s1.2.6(</w:t>
      </w:r>
      <w:r w:rsidR="00C019D7">
        <w:rPr>
          <w:rFonts w:cs="Times New Roman"/>
          <w:i/>
          <w:szCs w:val="24"/>
        </w:rPr>
        <w:t>c</w:t>
      </w:r>
      <w:r w:rsidR="00975B9E" w:rsidRPr="00975B9E">
        <w:rPr>
          <w:rFonts w:cs="Times New Roman"/>
          <w:i/>
          <w:szCs w:val="24"/>
        </w:rPr>
        <w:t>) LPA</w:t>
      </w:r>
      <w:r w:rsidR="00D45E8D">
        <w:rPr>
          <w:rFonts w:cs="Times New Roman"/>
          <w:szCs w:val="24"/>
        </w:rPr>
        <w:t xml:space="preserve"> – consider nature, time lapsed, age of offence.</w:t>
      </w:r>
    </w:p>
    <w:p w14:paraId="5DD85D9A" w14:textId="77777777" w:rsidR="00A9611A" w:rsidRDefault="00A9611A" w:rsidP="00A9611A">
      <w:pPr>
        <w:pStyle w:val="NoSpacing"/>
        <w:ind w:left="2160"/>
        <w:rPr>
          <w:rFonts w:cs="Times New Roman"/>
          <w:szCs w:val="24"/>
        </w:rPr>
      </w:pPr>
    </w:p>
    <w:p w14:paraId="39F7ABE5" w14:textId="01D749A9" w:rsidR="00975B9E" w:rsidRPr="00275289" w:rsidRDefault="00540FBD" w:rsidP="00975B9E">
      <w:pPr>
        <w:pStyle w:val="NoSpacing"/>
        <w:numPr>
          <w:ilvl w:val="2"/>
          <w:numId w:val="3"/>
        </w:numPr>
        <w:rPr>
          <w:rFonts w:cs="Times New Roman"/>
          <w:szCs w:val="24"/>
        </w:rPr>
      </w:pPr>
      <w:r w:rsidRPr="00296186">
        <w:rPr>
          <w:rFonts w:cs="Times New Roman"/>
          <w:b/>
          <w:i/>
          <w:szCs w:val="24"/>
        </w:rPr>
        <w:t>Engaged in Legal practice in Australia</w:t>
      </w:r>
      <w:r w:rsidR="00975B9E" w:rsidRPr="00540FBD">
        <w:rPr>
          <w:rFonts w:cs="Times New Roman"/>
          <w:b/>
          <w:szCs w:val="24"/>
        </w:rPr>
        <w:t xml:space="preserve"> </w:t>
      </w:r>
      <w:r w:rsidR="00975B9E">
        <w:rPr>
          <w:rFonts w:cs="Times New Roman"/>
          <w:szCs w:val="24"/>
        </w:rPr>
        <w:t xml:space="preserve">– </w:t>
      </w:r>
      <w:proofErr w:type="gramStart"/>
      <w:r w:rsidR="00975B9E" w:rsidRPr="00975B9E">
        <w:rPr>
          <w:rFonts w:cs="Times New Roman"/>
          <w:i/>
          <w:szCs w:val="24"/>
        </w:rPr>
        <w:t>s1.2.6(</w:t>
      </w:r>
      <w:proofErr w:type="gramEnd"/>
      <w:r w:rsidR="00A541A2">
        <w:rPr>
          <w:rFonts w:cs="Times New Roman"/>
          <w:i/>
          <w:szCs w:val="24"/>
        </w:rPr>
        <w:t>d</w:t>
      </w:r>
      <w:r w:rsidR="00975B9E" w:rsidRPr="00975B9E">
        <w:rPr>
          <w:rFonts w:cs="Times New Roman"/>
          <w:i/>
          <w:szCs w:val="24"/>
        </w:rPr>
        <w:t>) LPA</w:t>
      </w:r>
      <w:r>
        <w:rPr>
          <w:rFonts w:cs="Times New Roman"/>
          <w:i/>
          <w:szCs w:val="24"/>
        </w:rPr>
        <w:t xml:space="preserve"> – </w:t>
      </w:r>
      <w:r>
        <w:rPr>
          <w:rFonts w:cs="Times New Roman"/>
          <w:szCs w:val="24"/>
        </w:rPr>
        <w:t>(i) not admitted, no practising certificate (PC), breached a condition of PC.</w:t>
      </w:r>
    </w:p>
    <w:p w14:paraId="2189FB64" w14:textId="77777777" w:rsidR="00275289" w:rsidRDefault="00275289" w:rsidP="00A9611A">
      <w:pPr>
        <w:pStyle w:val="NoSpacing"/>
        <w:ind w:left="2160"/>
        <w:rPr>
          <w:rFonts w:cs="Times New Roman"/>
          <w:szCs w:val="24"/>
        </w:rPr>
      </w:pPr>
    </w:p>
    <w:p w14:paraId="6D8A3EA4" w14:textId="6626DAA5" w:rsidR="00975B9E" w:rsidRPr="00275289" w:rsidRDefault="004C4D60" w:rsidP="00975B9E">
      <w:pPr>
        <w:pStyle w:val="NoSpacing"/>
        <w:numPr>
          <w:ilvl w:val="2"/>
          <w:numId w:val="3"/>
        </w:numPr>
        <w:rPr>
          <w:rFonts w:cs="Times New Roman"/>
          <w:szCs w:val="24"/>
        </w:rPr>
      </w:pPr>
      <w:r w:rsidRPr="00296186">
        <w:rPr>
          <w:rFonts w:cs="Times New Roman"/>
          <w:b/>
          <w:i/>
          <w:szCs w:val="24"/>
        </w:rPr>
        <w:t>Engaged in Legal practice in Foreign Country</w:t>
      </w:r>
      <w:r w:rsidR="00975B9E">
        <w:rPr>
          <w:rFonts w:cs="Times New Roman"/>
          <w:szCs w:val="24"/>
        </w:rPr>
        <w:t xml:space="preserve"> – </w:t>
      </w:r>
      <w:proofErr w:type="gramStart"/>
      <w:r w:rsidR="00975B9E" w:rsidRPr="00975B9E">
        <w:rPr>
          <w:rFonts w:cs="Times New Roman"/>
          <w:i/>
          <w:szCs w:val="24"/>
        </w:rPr>
        <w:t>s1.2.6(</w:t>
      </w:r>
      <w:proofErr w:type="gramEnd"/>
      <w:r w:rsidR="00A541A2">
        <w:rPr>
          <w:rFonts w:cs="Times New Roman"/>
          <w:i/>
          <w:szCs w:val="24"/>
        </w:rPr>
        <w:t>e</w:t>
      </w:r>
      <w:r w:rsidR="00975B9E" w:rsidRPr="00975B9E">
        <w:rPr>
          <w:rFonts w:cs="Times New Roman"/>
          <w:i/>
          <w:szCs w:val="24"/>
        </w:rPr>
        <w:t>) LPA</w:t>
      </w:r>
      <w:r>
        <w:rPr>
          <w:rFonts w:cs="Times New Roman"/>
          <w:szCs w:val="24"/>
        </w:rPr>
        <w:t xml:space="preserve"> – </w:t>
      </w:r>
      <w:r w:rsidR="00EE7E77">
        <w:rPr>
          <w:rFonts w:cs="Times New Roman"/>
          <w:szCs w:val="24"/>
        </w:rPr>
        <w:t>not permitted to, permitted but in contravention.</w:t>
      </w:r>
    </w:p>
    <w:p w14:paraId="457DDC7B" w14:textId="77777777" w:rsidR="00275289" w:rsidRDefault="00275289" w:rsidP="00A9611A">
      <w:pPr>
        <w:pStyle w:val="NoSpacing"/>
        <w:ind w:left="2160"/>
        <w:rPr>
          <w:rFonts w:cs="Times New Roman"/>
          <w:szCs w:val="24"/>
        </w:rPr>
      </w:pPr>
    </w:p>
    <w:p w14:paraId="6B91FA3C" w14:textId="137B5298" w:rsidR="00975B9E" w:rsidRPr="00275289" w:rsidRDefault="00EE7E77" w:rsidP="00975B9E">
      <w:pPr>
        <w:pStyle w:val="NoSpacing"/>
        <w:numPr>
          <w:ilvl w:val="2"/>
          <w:numId w:val="3"/>
        </w:numPr>
        <w:rPr>
          <w:rFonts w:cs="Times New Roman"/>
          <w:szCs w:val="24"/>
        </w:rPr>
      </w:pPr>
      <w:r w:rsidRPr="00296186">
        <w:rPr>
          <w:rFonts w:cs="Times New Roman"/>
          <w:b/>
          <w:i/>
          <w:szCs w:val="24"/>
        </w:rPr>
        <w:t>Unresolved complaint, investigation, charge or order</w:t>
      </w:r>
      <w:r w:rsidR="00975B9E">
        <w:rPr>
          <w:rFonts w:cs="Times New Roman"/>
          <w:szCs w:val="24"/>
        </w:rPr>
        <w:t xml:space="preserve"> – </w:t>
      </w:r>
      <w:proofErr w:type="gramStart"/>
      <w:r w:rsidR="00975B9E" w:rsidRPr="00975B9E">
        <w:rPr>
          <w:rFonts w:cs="Times New Roman"/>
          <w:i/>
          <w:szCs w:val="24"/>
        </w:rPr>
        <w:t>s1.2.6(</w:t>
      </w:r>
      <w:proofErr w:type="gramEnd"/>
      <w:r>
        <w:rPr>
          <w:rFonts w:cs="Times New Roman"/>
          <w:i/>
          <w:szCs w:val="24"/>
        </w:rPr>
        <w:t>f</w:t>
      </w:r>
      <w:r w:rsidR="00975B9E" w:rsidRPr="00975B9E">
        <w:rPr>
          <w:rFonts w:cs="Times New Roman"/>
          <w:i/>
          <w:szCs w:val="24"/>
        </w:rPr>
        <w:t>) LPA</w:t>
      </w:r>
      <w:r>
        <w:rPr>
          <w:rFonts w:cs="Times New Roman"/>
          <w:szCs w:val="24"/>
        </w:rPr>
        <w:t xml:space="preserve"> – </w:t>
      </w:r>
      <w:r w:rsidR="000151E2">
        <w:rPr>
          <w:rFonts w:cs="Times New Roman"/>
          <w:szCs w:val="24"/>
        </w:rPr>
        <w:t>under Australian law, Foreign law.</w:t>
      </w:r>
    </w:p>
    <w:p w14:paraId="08803A85" w14:textId="77777777" w:rsidR="00275289" w:rsidRDefault="00275289" w:rsidP="00A9611A">
      <w:pPr>
        <w:pStyle w:val="NoSpacing"/>
        <w:ind w:left="2160"/>
        <w:rPr>
          <w:rFonts w:cs="Times New Roman"/>
          <w:szCs w:val="24"/>
        </w:rPr>
      </w:pPr>
    </w:p>
    <w:p w14:paraId="5A39B5C6" w14:textId="70CE59DB" w:rsidR="00975B9E" w:rsidRPr="00275289" w:rsidRDefault="00A8307C" w:rsidP="00975B9E">
      <w:pPr>
        <w:pStyle w:val="NoSpacing"/>
        <w:numPr>
          <w:ilvl w:val="2"/>
          <w:numId w:val="3"/>
        </w:numPr>
        <w:rPr>
          <w:rFonts w:cs="Times New Roman"/>
          <w:szCs w:val="24"/>
        </w:rPr>
      </w:pPr>
      <w:r w:rsidRPr="00296186">
        <w:rPr>
          <w:rFonts w:cs="Times New Roman"/>
          <w:b/>
          <w:i/>
          <w:szCs w:val="24"/>
        </w:rPr>
        <w:t>Any disciplinary complaint in any profession or occupation</w:t>
      </w:r>
      <w:r w:rsidR="00975B9E">
        <w:rPr>
          <w:rFonts w:cs="Times New Roman"/>
          <w:szCs w:val="24"/>
        </w:rPr>
        <w:t xml:space="preserve"> – </w:t>
      </w:r>
      <w:r w:rsidR="00975B9E" w:rsidRPr="00975B9E">
        <w:rPr>
          <w:rFonts w:cs="Times New Roman"/>
          <w:i/>
          <w:szCs w:val="24"/>
        </w:rPr>
        <w:t>s1.2.6(</w:t>
      </w:r>
      <w:r>
        <w:rPr>
          <w:rFonts w:cs="Times New Roman"/>
          <w:i/>
          <w:szCs w:val="24"/>
        </w:rPr>
        <w:t>g</w:t>
      </w:r>
      <w:r w:rsidR="00975B9E" w:rsidRPr="00975B9E">
        <w:rPr>
          <w:rFonts w:cs="Times New Roman"/>
          <w:i/>
          <w:szCs w:val="24"/>
        </w:rPr>
        <w:t>) LPA</w:t>
      </w:r>
      <w:r>
        <w:rPr>
          <w:rFonts w:cs="Times New Roman"/>
          <w:szCs w:val="24"/>
        </w:rPr>
        <w:t xml:space="preserve"> – in Australia, in Foreign country</w:t>
      </w:r>
    </w:p>
    <w:p w14:paraId="3A51C002" w14:textId="77777777" w:rsidR="00275289" w:rsidRDefault="00275289" w:rsidP="00A9611A">
      <w:pPr>
        <w:pStyle w:val="NoSpacing"/>
        <w:ind w:left="2160"/>
        <w:rPr>
          <w:rFonts w:cs="Times New Roman"/>
          <w:szCs w:val="24"/>
        </w:rPr>
      </w:pPr>
    </w:p>
    <w:p w14:paraId="72FF4F02" w14:textId="65C19E9C" w:rsidR="00975B9E" w:rsidRPr="00275289" w:rsidRDefault="00A8307C" w:rsidP="00975B9E">
      <w:pPr>
        <w:pStyle w:val="NoSpacing"/>
        <w:numPr>
          <w:ilvl w:val="2"/>
          <w:numId w:val="3"/>
        </w:numPr>
        <w:rPr>
          <w:rFonts w:cs="Times New Roman"/>
          <w:szCs w:val="24"/>
        </w:rPr>
      </w:pPr>
      <w:r w:rsidRPr="00296186">
        <w:rPr>
          <w:rFonts w:cs="Times New Roman"/>
          <w:b/>
          <w:i/>
          <w:szCs w:val="24"/>
        </w:rPr>
        <w:t xml:space="preserve">Name removed from a local, interstate, foreign </w:t>
      </w:r>
      <w:r w:rsidR="003300E7" w:rsidRPr="00296186">
        <w:rPr>
          <w:rFonts w:cs="Times New Roman"/>
          <w:b/>
          <w:i/>
          <w:szCs w:val="24"/>
        </w:rPr>
        <w:t xml:space="preserve">legal </w:t>
      </w:r>
      <w:r w:rsidRPr="00296186">
        <w:rPr>
          <w:rFonts w:cs="Times New Roman"/>
          <w:b/>
          <w:i/>
          <w:szCs w:val="24"/>
        </w:rPr>
        <w:t>roll</w:t>
      </w:r>
      <w:r w:rsidR="00975B9E">
        <w:rPr>
          <w:rFonts w:cs="Times New Roman"/>
          <w:szCs w:val="24"/>
        </w:rPr>
        <w:t xml:space="preserve"> – </w:t>
      </w:r>
      <w:r w:rsidR="00975B9E" w:rsidRPr="00975B9E">
        <w:rPr>
          <w:rFonts w:cs="Times New Roman"/>
          <w:i/>
          <w:szCs w:val="24"/>
        </w:rPr>
        <w:t>s1.2.6(</w:t>
      </w:r>
      <w:r>
        <w:rPr>
          <w:rFonts w:cs="Times New Roman"/>
          <w:i/>
          <w:szCs w:val="24"/>
        </w:rPr>
        <w:t>h</w:t>
      </w:r>
      <w:r w:rsidR="00975B9E" w:rsidRPr="00975B9E">
        <w:rPr>
          <w:rFonts w:cs="Times New Roman"/>
          <w:i/>
          <w:szCs w:val="24"/>
        </w:rPr>
        <w:t>) LPA</w:t>
      </w:r>
      <w:r w:rsidR="003300E7">
        <w:rPr>
          <w:rFonts w:cs="Times New Roman"/>
          <w:szCs w:val="24"/>
        </w:rPr>
        <w:t xml:space="preserve"> – in Australia, Foreign Country</w:t>
      </w:r>
    </w:p>
    <w:p w14:paraId="6D3FCF56" w14:textId="77777777" w:rsidR="00275289" w:rsidRDefault="00275289" w:rsidP="00A9611A">
      <w:pPr>
        <w:pStyle w:val="NoSpacing"/>
        <w:ind w:left="2160"/>
        <w:rPr>
          <w:rFonts w:cs="Times New Roman"/>
          <w:szCs w:val="24"/>
        </w:rPr>
      </w:pPr>
    </w:p>
    <w:p w14:paraId="4786F703" w14:textId="38CED312" w:rsidR="00975B9E" w:rsidRPr="00275289" w:rsidRDefault="00F53423" w:rsidP="00975B9E">
      <w:pPr>
        <w:pStyle w:val="NoSpacing"/>
        <w:numPr>
          <w:ilvl w:val="2"/>
          <w:numId w:val="3"/>
        </w:numPr>
        <w:rPr>
          <w:rFonts w:cs="Times New Roman"/>
          <w:szCs w:val="24"/>
        </w:rPr>
      </w:pPr>
      <w:r w:rsidRPr="00296186">
        <w:rPr>
          <w:rFonts w:cs="Times New Roman"/>
          <w:b/>
          <w:i/>
          <w:szCs w:val="24"/>
        </w:rPr>
        <w:t>Suspended or cancelled right to practice law in Australia or Foreign country</w:t>
      </w:r>
      <w:r w:rsidR="00975B9E">
        <w:rPr>
          <w:rFonts w:cs="Times New Roman"/>
          <w:szCs w:val="24"/>
        </w:rPr>
        <w:t xml:space="preserve"> – </w:t>
      </w:r>
      <w:r w:rsidR="00975B9E" w:rsidRPr="00975B9E">
        <w:rPr>
          <w:rFonts w:cs="Times New Roman"/>
          <w:i/>
          <w:szCs w:val="24"/>
        </w:rPr>
        <w:t>s1.2.6(</w:t>
      </w:r>
      <w:r w:rsidR="007D3404">
        <w:rPr>
          <w:rFonts w:cs="Times New Roman"/>
          <w:i/>
          <w:szCs w:val="24"/>
        </w:rPr>
        <w:t>i</w:t>
      </w:r>
      <w:r w:rsidR="00975B9E" w:rsidRPr="00975B9E">
        <w:rPr>
          <w:rFonts w:cs="Times New Roman"/>
          <w:i/>
          <w:szCs w:val="24"/>
        </w:rPr>
        <w:t>) LPA</w:t>
      </w:r>
    </w:p>
    <w:p w14:paraId="44020270" w14:textId="77777777" w:rsidR="00275289" w:rsidRDefault="00275289" w:rsidP="00A9611A">
      <w:pPr>
        <w:pStyle w:val="NoSpacing"/>
        <w:ind w:left="2160"/>
        <w:rPr>
          <w:rFonts w:cs="Times New Roman"/>
          <w:szCs w:val="24"/>
        </w:rPr>
      </w:pPr>
    </w:p>
    <w:p w14:paraId="1FBF0E86" w14:textId="1D5F39C9" w:rsidR="00975B9E" w:rsidRPr="00275289" w:rsidRDefault="00E57C45" w:rsidP="00975B9E">
      <w:pPr>
        <w:pStyle w:val="NoSpacing"/>
        <w:numPr>
          <w:ilvl w:val="2"/>
          <w:numId w:val="3"/>
        </w:numPr>
        <w:rPr>
          <w:rFonts w:cs="Times New Roman"/>
          <w:szCs w:val="24"/>
        </w:rPr>
      </w:pPr>
      <w:r w:rsidRPr="00296186">
        <w:rPr>
          <w:rFonts w:cs="Times New Roman"/>
          <w:b/>
          <w:i/>
          <w:szCs w:val="24"/>
        </w:rPr>
        <w:t>Disqualified from managing a corporation</w:t>
      </w:r>
      <w:r w:rsidR="004B5E11">
        <w:rPr>
          <w:rFonts w:cs="Times New Roman"/>
          <w:szCs w:val="24"/>
        </w:rPr>
        <w:t xml:space="preserve"> </w:t>
      </w:r>
      <w:r w:rsidR="00975B9E">
        <w:rPr>
          <w:rFonts w:cs="Times New Roman"/>
          <w:szCs w:val="24"/>
        </w:rPr>
        <w:t xml:space="preserve">– </w:t>
      </w:r>
      <w:r w:rsidR="00975B9E" w:rsidRPr="00975B9E">
        <w:rPr>
          <w:rFonts w:cs="Times New Roman"/>
          <w:i/>
          <w:szCs w:val="24"/>
        </w:rPr>
        <w:t>s1.2.6</w:t>
      </w:r>
      <w:r>
        <w:rPr>
          <w:rFonts w:cs="Times New Roman"/>
          <w:i/>
          <w:szCs w:val="24"/>
        </w:rPr>
        <w:t>(l</w:t>
      </w:r>
      <w:r w:rsidR="00975B9E" w:rsidRPr="00975B9E">
        <w:rPr>
          <w:rFonts w:cs="Times New Roman"/>
          <w:i/>
          <w:szCs w:val="24"/>
        </w:rPr>
        <w:t>) LPA</w:t>
      </w:r>
    </w:p>
    <w:p w14:paraId="331F15B0" w14:textId="77777777" w:rsidR="00275289" w:rsidRDefault="00275289" w:rsidP="00A9611A">
      <w:pPr>
        <w:pStyle w:val="NoSpacing"/>
        <w:ind w:left="2160"/>
        <w:rPr>
          <w:rFonts w:cs="Times New Roman"/>
          <w:szCs w:val="24"/>
        </w:rPr>
      </w:pPr>
    </w:p>
    <w:p w14:paraId="067FE52C" w14:textId="4D370DB5" w:rsidR="00975B9E" w:rsidRPr="00275289" w:rsidRDefault="00F043A5" w:rsidP="00975B9E">
      <w:pPr>
        <w:pStyle w:val="NoSpacing"/>
        <w:numPr>
          <w:ilvl w:val="2"/>
          <w:numId w:val="3"/>
        </w:numPr>
        <w:rPr>
          <w:rFonts w:cs="Times New Roman"/>
          <w:szCs w:val="24"/>
        </w:rPr>
      </w:pPr>
      <w:r w:rsidRPr="00296186">
        <w:rPr>
          <w:rFonts w:cs="Times New Roman"/>
          <w:b/>
          <w:i/>
          <w:szCs w:val="24"/>
        </w:rPr>
        <w:t>Suffers mental impairment</w:t>
      </w:r>
      <w:r w:rsidR="00975B9E">
        <w:rPr>
          <w:rFonts w:cs="Times New Roman"/>
          <w:szCs w:val="24"/>
        </w:rPr>
        <w:t xml:space="preserve"> – </w:t>
      </w:r>
      <w:r w:rsidR="00975B9E" w:rsidRPr="00975B9E">
        <w:rPr>
          <w:rFonts w:cs="Times New Roman"/>
          <w:i/>
          <w:szCs w:val="24"/>
        </w:rPr>
        <w:t>s1.2.6(</w:t>
      </w:r>
      <w:r w:rsidR="00F05FED">
        <w:rPr>
          <w:rFonts w:cs="Times New Roman"/>
          <w:i/>
          <w:szCs w:val="24"/>
        </w:rPr>
        <w:t>m</w:t>
      </w:r>
      <w:r w:rsidR="00975B9E" w:rsidRPr="00975B9E">
        <w:rPr>
          <w:rFonts w:cs="Times New Roman"/>
          <w:i/>
          <w:szCs w:val="24"/>
        </w:rPr>
        <w:t>) LPA</w:t>
      </w:r>
    </w:p>
    <w:p w14:paraId="06B628CE" w14:textId="77777777" w:rsidR="000F795C" w:rsidRDefault="000F795C" w:rsidP="00975B9E">
      <w:pPr>
        <w:pStyle w:val="NoSpacing"/>
        <w:rPr>
          <w:rFonts w:cs="Times New Roman"/>
          <w:szCs w:val="24"/>
        </w:rPr>
      </w:pPr>
    </w:p>
    <w:p w14:paraId="62C23026" w14:textId="57F36623" w:rsidR="000C18BB" w:rsidRDefault="00CB0C54" w:rsidP="00B21502">
      <w:pPr>
        <w:pStyle w:val="NoSpacing"/>
        <w:numPr>
          <w:ilvl w:val="0"/>
          <w:numId w:val="3"/>
        </w:numPr>
        <w:rPr>
          <w:rFonts w:cs="Times New Roman"/>
          <w:szCs w:val="24"/>
        </w:rPr>
      </w:pPr>
      <w:r>
        <w:rPr>
          <w:rFonts w:cs="Times New Roman"/>
          <w:b/>
          <w:szCs w:val="24"/>
          <w:u w:val="single"/>
        </w:rPr>
        <w:lastRenderedPageBreak/>
        <w:t>Good Fame and Character</w:t>
      </w:r>
      <w:r w:rsidR="00C07741" w:rsidRPr="00B92F09">
        <w:rPr>
          <w:rFonts w:cs="Times New Roman"/>
          <w:b/>
          <w:szCs w:val="24"/>
        </w:rPr>
        <w:t xml:space="preserve"> –</w:t>
      </w:r>
      <w:r w:rsidR="00C07741" w:rsidRPr="00B92F09">
        <w:rPr>
          <w:rFonts w:cs="Times New Roman"/>
          <w:szCs w:val="24"/>
        </w:rPr>
        <w:t xml:space="preserve"> </w:t>
      </w:r>
      <w:r w:rsidR="00B92F09" w:rsidRPr="00B92F09">
        <w:rPr>
          <w:rFonts w:cs="Times New Roman"/>
          <w:i/>
          <w:szCs w:val="24"/>
        </w:rPr>
        <w:t>s1.2.6(a) LPA</w:t>
      </w:r>
      <w:r w:rsidR="00ED7628">
        <w:rPr>
          <w:rFonts w:cs="Times New Roman"/>
          <w:i/>
          <w:szCs w:val="24"/>
        </w:rPr>
        <w:t xml:space="preserve">; </w:t>
      </w:r>
      <w:r w:rsidR="005175AA">
        <w:rPr>
          <w:rFonts w:cs="Times New Roman"/>
          <w:i/>
          <w:szCs w:val="24"/>
        </w:rPr>
        <w:t>s2.3.6(1)(a)(ii)</w:t>
      </w:r>
    </w:p>
    <w:p w14:paraId="2D4853DA" w14:textId="40838061" w:rsidR="002B5B55" w:rsidRDefault="002B5B55" w:rsidP="00B21502">
      <w:pPr>
        <w:pStyle w:val="ListParagraph"/>
        <w:numPr>
          <w:ilvl w:val="1"/>
          <w:numId w:val="3"/>
        </w:numPr>
      </w:pPr>
      <w:r>
        <w:t xml:space="preserve">The reason for inquiry into fame and character is that a person admitted to the profession is held out as fit to be </w:t>
      </w:r>
      <w:r w:rsidRPr="00187285">
        <w:rPr>
          <w:u w:val="single"/>
        </w:rPr>
        <w:t>entrusted by the public with their affairs and confidence , in whose integrity the public can be confident</w:t>
      </w:r>
    </w:p>
    <w:p w14:paraId="574CA868" w14:textId="77777777" w:rsidR="002B5B55" w:rsidRPr="002B5B55" w:rsidRDefault="002B5B55" w:rsidP="00B21502">
      <w:pPr>
        <w:pStyle w:val="ListParagraph"/>
        <w:numPr>
          <w:ilvl w:val="2"/>
          <w:numId w:val="3"/>
        </w:numPr>
      </w:pPr>
      <w:r w:rsidRPr="002B5B55">
        <w:rPr>
          <w:i/>
        </w:rPr>
        <w:t xml:space="preserve">Ex Parte </w:t>
      </w:r>
      <w:proofErr w:type="spellStart"/>
      <w:r w:rsidRPr="002B5B55">
        <w:rPr>
          <w:i/>
        </w:rPr>
        <w:t>Lenehan</w:t>
      </w:r>
      <w:proofErr w:type="spellEnd"/>
      <w:r w:rsidRPr="002B5B55">
        <w:rPr>
          <w:i/>
        </w:rPr>
        <w:t xml:space="preserve"> (1948) </w:t>
      </w:r>
    </w:p>
    <w:p w14:paraId="486BC7CC" w14:textId="3556A034" w:rsidR="002B5B55" w:rsidRPr="002B5B55" w:rsidRDefault="002B5B55" w:rsidP="00B21502">
      <w:pPr>
        <w:pStyle w:val="ListParagraph"/>
        <w:numPr>
          <w:ilvl w:val="2"/>
          <w:numId w:val="3"/>
        </w:numPr>
      </w:pPr>
      <w:r w:rsidRPr="002B5B55">
        <w:rPr>
          <w:i/>
        </w:rPr>
        <w:t>Re Application for Admission as a Legal Practitioner (2004)</w:t>
      </w:r>
    </w:p>
    <w:p w14:paraId="24141037" w14:textId="77777777" w:rsidR="002B5B55" w:rsidRDefault="002B5B55" w:rsidP="002B5B55">
      <w:pPr>
        <w:pStyle w:val="ListParagraph"/>
        <w:ind w:left="1440"/>
      </w:pPr>
    </w:p>
    <w:p w14:paraId="323F3C3F" w14:textId="77777777" w:rsidR="008423F5" w:rsidRPr="008423F5" w:rsidRDefault="002B5B55" w:rsidP="00B21502">
      <w:pPr>
        <w:pStyle w:val="ListParagraph"/>
        <w:numPr>
          <w:ilvl w:val="1"/>
          <w:numId w:val="3"/>
        </w:numPr>
      </w:pPr>
      <w:r w:rsidRPr="008423F5">
        <w:rPr>
          <w:b/>
          <w:i/>
        </w:rPr>
        <w:t xml:space="preserve">Difference between ‘Fame and Character’ </w:t>
      </w:r>
    </w:p>
    <w:p w14:paraId="5ACB203A" w14:textId="77777777" w:rsidR="008423F5" w:rsidRDefault="002B5B55" w:rsidP="00B21502">
      <w:pPr>
        <w:pStyle w:val="ListParagraph"/>
        <w:numPr>
          <w:ilvl w:val="2"/>
          <w:numId w:val="3"/>
        </w:numPr>
      </w:pPr>
      <w:r>
        <w:t xml:space="preserve">Fame focuses on an applicant’s reputation in the public arena where as ‘character’ involves a more objective evaluation relating to an applicant’s quality, judged by his or her former acts and motives </w:t>
      </w:r>
    </w:p>
    <w:p w14:paraId="2C27F674" w14:textId="0FA310EA" w:rsidR="002B5B55" w:rsidRPr="008423F5" w:rsidRDefault="008423F5" w:rsidP="00B21502">
      <w:pPr>
        <w:pStyle w:val="ListParagraph"/>
        <w:numPr>
          <w:ilvl w:val="3"/>
          <w:numId w:val="3"/>
        </w:numPr>
      </w:pPr>
      <w:r w:rsidRPr="008423F5">
        <w:rPr>
          <w:i/>
        </w:rPr>
        <w:t xml:space="preserve">Ex Parte </w:t>
      </w:r>
      <w:proofErr w:type="spellStart"/>
      <w:r w:rsidRPr="008423F5">
        <w:rPr>
          <w:i/>
        </w:rPr>
        <w:t>Tziniolis</w:t>
      </w:r>
      <w:proofErr w:type="spellEnd"/>
    </w:p>
    <w:p w14:paraId="4AC58FA3" w14:textId="77777777" w:rsidR="002B5B55" w:rsidRPr="002B5B55" w:rsidRDefault="002B5B55" w:rsidP="002B5B55">
      <w:pPr>
        <w:pStyle w:val="ListParagraph"/>
        <w:ind w:left="1440"/>
      </w:pPr>
    </w:p>
    <w:p w14:paraId="5BF9894F" w14:textId="4981D2A2" w:rsidR="00AE321E" w:rsidRDefault="00D263CD" w:rsidP="00B21502">
      <w:pPr>
        <w:pStyle w:val="ListParagraph"/>
        <w:numPr>
          <w:ilvl w:val="1"/>
          <w:numId w:val="3"/>
        </w:numPr>
      </w:pPr>
      <w:r>
        <w:rPr>
          <w:b/>
          <w:i/>
        </w:rPr>
        <w:t xml:space="preserve">By Previous </w:t>
      </w:r>
      <w:r w:rsidR="00153409">
        <w:rPr>
          <w:b/>
          <w:i/>
        </w:rPr>
        <w:t>Behavior</w:t>
      </w:r>
      <w:r>
        <w:rPr>
          <w:b/>
          <w:i/>
        </w:rPr>
        <w:t xml:space="preserve"> </w:t>
      </w:r>
      <w:r w:rsidR="00F97190">
        <w:t>–</w:t>
      </w:r>
      <w:r>
        <w:t xml:space="preserve"> </w:t>
      </w:r>
      <w:r w:rsidR="00AE321E" w:rsidRPr="001A091B">
        <w:t xml:space="preserve">The admission Board and the </w:t>
      </w:r>
      <w:r w:rsidR="00A471CB">
        <w:t>Supreme Court</w:t>
      </w:r>
      <w:r w:rsidR="00AE321E" w:rsidRPr="001A091B">
        <w:t xml:space="preserve"> determine an </w:t>
      </w:r>
      <w:r w:rsidR="00153409" w:rsidRPr="001A091B">
        <w:t>applicant’s</w:t>
      </w:r>
      <w:r w:rsidR="00AE321E" w:rsidRPr="001A091B">
        <w:t xml:space="preserve"> good fame and character largely by reference to her/his previous </w:t>
      </w:r>
      <w:r w:rsidR="00153409" w:rsidRPr="001A091B">
        <w:t>behavior</w:t>
      </w:r>
      <w:r w:rsidR="00AE321E" w:rsidRPr="001A091B">
        <w:t xml:space="preserve">, which require applicants to bring to the attention of the court </w:t>
      </w:r>
      <w:r w:rsidR="00AE321E" w:rsidRPr="00D66CAB">
        <w:rPr>
          <w:u w:val="single"/>
        </w:rPr>
        <w:t>any matter relevant to their fitness for admission</w:t>
      </w:r>
      <w:r w:rsidR="00AE321E" w:rsidRPr="001A091B">
        <w:t>.</w:t>
      </w:r>
    </w:p>
    <w:p w14:paraId="66DBE115" w14:textId="774BEE54" w:rsidR="00231363" w:rsidRPr="00231363" w:rsidRDefault="00231363" w:rsidP="00B21502">
      <w:pPr>
        <w:pStyle w:val="ListParagraph"/>
        <w:numPr>
          <w:ilvl w:val="2"/>
          <w:numId w:val="3"/>
        </w:numPr>
      </w:pPr>
      <w:r>
        <w:t>S2.3.6 &amp; 2.3.10 LPA Vic</w:t>
      </w:r>
    </w:p>
    <w:p w14:paraId="4156676A" w14:textId="77777777" w:rsidR="00AF00DD" w:rsidRPr="00AF00DD" w:rsidRDefault="00AF00DD" w:rsidP="00AF00DD">
      <w:pPr>
        <w:pStyle w:val="ListParagraph"/>
        <w:ind w:left="2160"/>
      </w:pPr>
    </w:p>
    <w:p w14:paraId="7E1EA101" w14:textId="37B21618" w:rsidR="00A471CB" w:rsidRDefault="00BE67E4" w:rsidP="00B21502">
      <w:pPr>
        <w:pStyle w:val="ListParagraph"/>
        <w:numPr>
          <w:ilvl w:val="2"/>
          <w:numId w:val="3"/>
        </w:numPr>
      </w:pPr>
      <w:r w:rsidRPr="00BE67E4">
        <w:rPr>
          <w:i/>
        </w:rPr>
        <w:t>Law Institute of NSW v Meagher (1909)</w:t>
      </w:r>
      <w:r>
        <w:t xml:space="preserve"> </w:t>
      </w:r>
      <w:r w:rsidR="00F97190">
        <w:t>–</w:t>
      </w:r>
      <w:r>
        <w:t xml:space="preserve"> The court must accordingly be confident of an applicant’s good fame and character, and exercises a responsibility to the public and the profession not to accredit persons as worthy of that confidence who cannot establish the right to it </w:t>
      </w:r>
    </w:p>
    <w:p w14:paraId="4C8484B8" w14:textId="77777777" w:rsidR="001A091B" w:rsidRDefault="001A091B" w:rsidP="001A091B">
      <w:pPr>
        <w:pStyle w:val="ListParagraph"/>
        <w:ind w:left="1440"/>
      </w:pPr>
    </w:p>
    <w:p w14:paraId="6619DBF6" w14:textId="77777777" w:rsidR="00F81539" w:rsidRPr="00AE5363" w:rsidRDefault="00F81539" w:rsidP="00F81539">
      <w:pPr>
        <w:pStyle w:val="NoSpacing"/>
        <w:rPr>
          <w:rFonts w:cs="Times New Roman"/>
          <w:b/>
          <w:szCs w:val="24"/>
        </w:rPr>
      </w:pPr>
      <w:r w:rsidRPr="00047B8C">
        <w:rPr>
          <w:rFonts w:cs="Times New Roman"/>
          <w:b/>
          <w:i/>
          <w:szCs w:val="24"/>
          <w:u w:val="single"/>
        </w:rPr>
        <w:t>**Mental Impairment or Infirmity</w:t>
      </w:r>
      <w:r>
        <w:rPr>
          <w:rFonts w:cs="Times New Roman"/>
          <w:szCs w:val="24"/>
        </w:rPr>
        <w:t xml:space="preserve"> – </w:t>
      </w:r>
      <w:r w:rsidRPr="00AE5363">
        <w:rPr>
          <w:rFonts w:cs="Times New Roman"/>
          <w:b/>
          <w:i/>
          <w:szCs w:val="24"/>
          <w:u w:val="single"/>
        </w:rPr>
        <w:t>s. 1.2.6(1</w:t>
      </w:r>
      <w:proofErr w:type="gramStart"/>
      <w:r w:rsidRPr="00AE5363">
        <w:rPr>
          <w:rFonts w:cs="Times New Roman"/>
          <w:b/>
          <w:i/>
          <w:szCs w:val="24"/>
          <w:u w:val="single"/>
        </w:rPr>
        <w:t>)(</w:t>
      </w:r>
      <w:proofErr w:type="gramEnd"/>
      <w:r>
        <w:rPr>
          <w:rFonts w:cs="Times New Roman"/>
          <w:b/>
          <w:i/>
          <w:szCs w:val="24"/>
          <w:u w:val="single"/>
        </w:rPr>
        <w:t>m</w:t>
      </w:r>
      <w:r w:rsidRPr="00AE5363">
        <w:rPr>
          <w:rFonts w:cs="Times New Roman"/>
          <w:b/>
          <w:i/>
          <w:szCs w:val="24"/>
          <w:u w:val="single"/>
        </w:rPr>
        <w:t>) LPA VIC</w:t>
      </w:r>
    </w:p>
    <w:p w14:paraId="091864B5" w14:textId="77777777" w:rsidR="00F81539" w:rsidRPr="00D17AA3" w:rsidRDefault="00F81539" w:rsidP="00F81539">
      <w:pPr>
        <w:pStyle w:val="NoSpacing"/>
        <w:rPr>
          <w:rFonts w:cs="Times New Roman"/>
          <w:i/>
          <w:szCs w:val="24"/>
          <w:u w:val="single"/>
        </w:rPr>
      </w:pPr>
    </w:p>
    <w:p w14:paraId="07DC1C4B" w14:textId="77777777" w:rsidR="00F81539" w:rsidRDefault="00F81539" w:rsidP="00F81539">
      <w:pPr>
        <w:pStyle w:val="NoSpacing"/>
        <w:numPr>
          <w:ilvl w:val="0"/>
          <w:numId w:val="8"/>
        </w:numPr>
        <w:rPr>
          <w:rFonts w:cs="Times New Roman"/>
          <w:szCs w:val="24"/>
        </w:rPr>
      </w:pPr>
      <w:r>
        <w:rPr>
          <w:rFonts w:cs="Times New Roman"/>
          <w:b/>
          <w:i/>
          <w:szCs w:val="24"/>
        </w:rPr>
        <w:t xml:space="preserve">Mentally </w:t>
      </w:r>
      <w:r w:rsidRPr="00811807">
        <w:rPr>
          <w:rFonts w:cs="Times New Roman"/>
          <w:b/>
          <w:i/>
          <w:szCs w:val="24"/>
        </w:rPr>
        <w:t>Unstable</w:t>
      </w:r>
      <w:r>
        <w:rPr>
          <w:rFonts w:cs="Times New Roman"/>
          <w:szCs w:val="24"/>
        </w:rPr>
        <w:t xml:space="preserve"> – </w:t>
      </w:r>
      <w:r w:rsidRPr="00811807">
        <w:rPr>
          <w:rFonts w:cs="Times New Roman"/>
          <w:szCs w:val="24"/>
        </w:rPr>
        <w:t>The</w:t>
      </w:r>
      <w:r w:rsidRPr="007B6626">
        <w:rPr>
          <w:rFonts w:cs="Times New Roman"/>
          <w:szCs w:val="24"/>
        </w:rPr>
        <w:t xml:space="preserve"> need to protect the public from “the damage that could be ca</w:t>
      </w:r>
      <w:r>
        <w:rPr>
          <w:rFonts w:cs="Times New Roman"/>
          <w:szCs w:val="24"/>
        </w:rPr>
        <w:t>used by an unsuitable person” is relevant to whether the applicant should or should not be admitted and is material to admission.</w:t>
      </w:r>
    </w:p>
    <w:p w14:paraId="223626FD" w14:textId="77777777" w:rsidR="00F81539" w:rsidRDefault="00F81539" w:rsidP="00F81539">
      <w:pPr>
        <w:pStyle w:val="NoSpacing"/>
        <w:numPr>
          <w:ilvl w:val="1"/>
          <w:numId w:val="8"/>
        </w:numPr>
        <w:rPr>
          <w:rFonts w:cs="Times New Roman"/>
          <w:szCs w:val="24"/>
        </w:rPr>
      </w:pPr>
      <w:r>
        <w:rPr>
          <w:rFonts w:cs="Times New Roman"/>
          <w:szCs w:val="24"/>
        </w:rPr>
        <w:t>M</w:t>
      </w:r>
      <w:r w:rsidRPr="007B6626">
        <w:rPr>
          <w:rFonts w:cs="Times New Roman"/>
          <w:szCs w:val="24"/>
        </w:rPr>
        <w:t>ental</w:t>
      </w:r>
      <w:r>
        <w:rPr>
          <w:rFonts w:cs="Times New Roman"/>
          <w:szCs w:val="24"/>
        </w:rPr>
        <w:t xml:space="preserve">ly unstable legal practitioner, handling their affairs </w:t>
      </w:r>
    </w:p>
    <w:p w14:paraId="1282852A" w14:textId="77777777" w:rsidR="00F81539" w:rsidRDefault="00F81539" w:rsidP="00F81539">
      <w:pPr>
        <w:pStyle w:val="NoSpacing"/>
        <w:numPr>
          <w:ilvl w:val="2"/>
          <w:numId w:val="8"/>
        </w:numPr>
        <w:rPr>
          <w:rFonts w:cs="Times New Roman"/>
          <w:szCs w:val="24"/>
        </w:rPr>
      </w:pPr>
      <w:r w:rsidRPr="00E43148">
        <w:rPr>
          <w:rFonts w:cs="Times New Roman"/>
          <w:i/>
          <w:szCs w:val="24"/>
        </w:rPr>
        <w:t>XY v Board of Examiners (2005)</w:t>
      </w:r>
    </w:p>
    <w:p w14:paraId="343B5A26" w14:textId="77777777" w:rsidR="00F81539" w:rsidRPr="00B27076" w:rsidRDefault="00F81539" w:rsidP="00F81539">
      <w:pPr>
        <w:pStyle w:val="NoSpacing"/>
      </w:pPr>
    </w:p>
    <w:p w14:paraId="63FE3EFE" w14:textId="77777777" w:rsidR="00F81539" w:rsidRDefault="00F81539" w:rsidP="00F81539">
      <w:pPr>
        <w:pStyle w:val="NoSpacing"/>
        <w:numPr>
          <w:ilvl w:val="0"/>
          <w:numId w:val="8"/>
        </w:numPr>
        <w:rPr>
          <w:rFonts w:cs="Times New Roman"/>
          <w:szCs w:val="24"/>
        </w:rPr>
      </w:pPr>
      <w:r>
        <w:rPr>
          <w:rFonts w:cs="Times New Roman"/>
          <w:b/>
          <w:i/>
          <w:szCs w:val="24"/>
        </w:rPr>
        <w:t xml:space="preserve">Depression </w:t>
      </w:r>
      <w:r>
        <w:rPr>
          <w:rFonts w:cs="Times New Roman"/>
          <w:szCs w:val="24"/>
        </w:rPr>
        <w:t xml:space="preserve">– </w:t>
      </w:r>
      <w:r w:rsidRPr="007D1F82">
        <w:rPr>
          <w:rFonts w:cs="Times New Roman"/>
          <w:i/>
          <w:szCs w:val="24"/>
        </w:rPr>
        <w:t>S v Legal Practice Board of WA</w:t>
      </w:r>
      <w:r>
        <w:rPr>
          <w:rFonts w:cs="Times New Roman"/>
          <w:szCs w:val="24"/>
        </w:rPr>
        <w:t xml:space="preserve"> the court noted that issues pertaining to an applicant’s mental health warrant inquiry to the extent that these have the capacity of bearing upon the applicant’s fitness to practice. </w:t>
      </w:r>
    </w:p>
    <w:p w14:paraId="2BC37249" w14:textId="77777777" w:rsidR="00F81539" w:rsidRDefault="00F81539" w:rsidP="00F81539">
      <w:pPr>
        <w:pStyle w:val="NoSpacing"/>
        <w:rPr>
          <w:rFonts w:cs="Times New Roman"/>
          <w:szCs w:val="24"/>
        </w:rPr>
      </w:pPr>
    </w:p>
    <w:p w14:paraId="04043676" w14:textId="77777777" w:rsidR="00F81539" w:rsidRDefault="00F81539" w:rsidP="00F81539">
      <w:pPr>
        <w:pStyle w:val="NoSpacing"/>
        <w:rPr>
          <w:rFonts w:cs="Times New Roman"/>
          <w:szCs w:val="24"/>
        </w:rPr>
      </w:pPr>
      <w:r w:rsidRPr="007D1F82">
        <w:rPr>
          <w:rFonts w:cs="Times New Roman"/>
          <w:i/>
          <w:szCs w:val="24"/>
        </w:rPr>
        <w:t>S v Legal Practice Board of WA</w:t>
      </w:r>
    </w:p>
    <w:p w14:paraId="30A9FB79" w14:textId="77777777" w:rsidR="00F81539" w:rsidRDefault="00F81539" w:rsidP="00F81539">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Times New Roman"/>
          <w:szCs w:val="24"/>
        </w:rPr>
      </w:pPr>
      <w:r>
        <w:rPr>
          <w:rFonts w:cs="Times New Roman"/>
          <w:szCs w:val="24"/>
        </w:rPr>
        <w:t>Where an applicant suffers depression sufficiently severe and long standing as to potentially lead to the neglect of client affairs could be an issue relevant to his or her fitness. But courts generally try to disassociate from any view that long standing depression coupled with taking anti depression medication of itself would be ground to deny admission</w:t>
      </w:r>
    </w:p>
    <w:p w14:paraId="04212A0D" w14:textId="77777777" w:rsidR="00F81539" w:rsidRDefault="00F81539" w:rsidP="00F81539">
      <w:pPr>
        <w:pStyle w:val="NoSpacing"/>
        <w:rPr>
          <w:rFonts w:cs="Times New Roman"/>
          <w:szCs w:val="24"/>
        </w:rPr>
      </w:pPr>
    </w:p>
    <w:p w14:paraId="0756E714" w14:textId="77777777" w:rsidR="00F81539" w:rsidRDefault="00F81539" w:rsidP="00F81539">
      <w:pPr>
        <w:pStyle w:val="NoSpacing"/>
        <w:numPr>
          <w:ilvl w:val="0"/>
          <w:numId w:val="8"/>
        </w:numPr>
        <w:rPr>
          <w:rFonts w:cs="Times New Roman"/>
          <w:szCs w:val="24"/>
        </w:rPr>
      </w:pPr>
      <w:r>
        <w:rPr>
          <w:rFonts w:cs="Times New Roman"/>
          <w:b/>
          <w:i/>
          <w:szCs w:val="24"/>
        </w:rPr>
        <w:t xml:space="preserve">Alcoholism </w:t>
      </w:r>
      <w:r>
        <w:rPr>
          <w:rFonts w:cs="Times New Roman"/>
          <w:szCs w:val="24"/>
        </w:rPr>
        <w:t xml:space="preserve">– Alcoholism falls under the definition of s1.2.6(m) as it includes </w:t>
      </w:r>
    </w:p>
    <w:p w14:paraId="2BEBA024" w14:textId="77777777" w:rsidR="00F81539" w:rsidRDefault="00F81539" w:rsidP="00F81539">
      <w:pPr>
        <w:pStyle w:val="NoSpacing"/>
        <w:ind w:left="360"/>
        <w:rPr>
          <w:rFonts w:cs="Times New Roman"/>
          <w:b/>
          <w:i/>
          <w:szCs w:val="24"/>
        </w:rPr>
      </w:pPr>
    </w:p>
    <w:p w14:paraId="096B4F8F" w14:textId="77777777" w:rsidR="00F81539" w:rsidRPr="00A77706" w:rsidRDefault="00F81539" w:rsidP="00F81539">
      <w:pPr>
        <w:pStyle w:val="NoSpacing"/>
        <w:ind w:left="720"/>
        <w:rPr>
          <w:rFonts w:cs="Times New Roman"/>
          <w:szCs w:val="24"/>
        </w:rPr>
      </w:pPr>
      <w:r>
        <w:rPr>
          <w:rFonts w:cs="Times New Roman"/>
          <w:b/>
          <w:i/>
          <w:szCs w:val="24"/>
        </w:rPr>
        <w:t>‘</w:t>
      </w:r>
      <w:proofErr w:type="gramStart"/>
      <w:r>
        <w:rPr>
          <w:rFonts w:cs="Times New Roman"/>
          <w:i/>
          <w:szCs w:val="24"/>
        </w:rPr>
        <w:t>whether</w:t>
      </w:r>
      <w:proofErr w:type="gramEnd"/>
      <w:r>
        <w:rPr>
          <w:rFonts w:cs="Times New Roman"/>
          <w:i/>
          <w:szCs w:val="24"/>
        </w:rPr>
        <w:t xml:space="preserve"> the person currently has a material mental impairment’</w:t>
      </w:r>
    </w:p>
    <w:p w14:paraId="74D7E98D" w14:textId="77777777" w:rsidR="00F81539" w:rsidRDefault="00F81539" w:rsidP="00F81539">
      <w:pPr>
        <w:pStyle w:val="NoSpacing"/>
        <w:rPr>
          <w:rFonts w:cs="Times New Roman"/>
          <w:szCs w:val="24"/>
        </w:rPr>
      </w:pPr>
    </w:p>
    <w:p w14:paraId="1A27C6CD" w14:textId="77777777" w:rsidR="00F81539" w:rsidRDefault="00F81539" w:rsidP="00F81539">
      <w:pPr>
        <w:pStyle w:val="NoSpacing"/>
        <w:rPr>
          <w:rFonts w:cs="Times New Roman"/>
          <w:szCs w:val="24"/>
        </w:rPr>
      </w:pPr>
    </w:p>
    <w:p w14:paraId="030274A0" w14:textId="77777777" w:rsidR="00F81539" w:rsidRDefault="00F81539" w:rsidP="00F81539">
      <w:pPr>
        <w:pStyle w:val="NoSpacing"/>
        <w:rPr>
          <w:rFonts w:cs="Times New Roman"/>
          <w:szCs w:val="24"/>
        </w:rPr>
      </w:pPr>
    </w:p>
    <w:p w14:paraId="1040E2EA" w14:textId="77777777" w:rsidR="00F81539" w:rsidRDefault="00F81539" w:rsidP="00F81539">
      <w:pPr>
        <w:pStyle w:val="NoSpacing"/>
        <w:rPr>
          <w:rFonts w:cs="Times New Roman"/>
          <w:szCs w:val="24"/>
        </w:rPr>
      </w:pPr>
    </w:p>
    <w:p w14:paraId="244DD4BF" w14:textId="77777777" w:rsidR="00F81539" w:rsidRDefault="00F81539" w:rsidP="00F81539">
      <w:pPr>
        <w:pStyle w:val="NoSpacing"/>
        <w:rPr>
          <w:rFonts w:cs="Times New Roman"/>
          <w:szCs w:val="24"/>
        </w:rPr>
      </w:pPr>
    </w:p>
    <w:p w14:paraId="28B8111F" w14:textId="77777777" w:rsidR="00F81539" w:rsidRDefault="00F81539" w:rsidP="001A091B">
      <w:pPr>
        <w:pStyle w:val="ListParagraph"/>
        <w:ind w:left="1440"/>
      </w:pPr>
    </w:p>
    <w:p w14:paraId="58E77488" w14:textId="77777777" w:rsidR="00F81539" w:rsidRDefault="00F81539" w:rsidP="001A091B">
      <w:pPr>
        <w:pStyle w:val="ListParagraph"/>
        <w:ind w:left="1440"/>
      </w:pPr>
    </w:p>
    <w:p w14:paraId="14D9652A" w14:textId="60247CF4" w:rsidR="00D17AA3" w:rsidRPr="00AE5363" w:rsidRDefault="00FB38F9" w:rsidP="00D17AA3">
      <w:pPr>
        <w:pStyle w:val="NoSpacing"/>
        <w:rPr>
          <w:rFonts w:cs="Times New Roman"/>
          <w:b/>
          <w:szCs w:val="24"/>
        </w:rPr>
      </w:pPr>
      <w:r w:rsidRPr="00327A8C">
        <w:rPr>
          <w:rFonts w:cs="Times New Roman"/>
          <w:b/>
          <w:i/>
          <w:szCs w:val="24"/>
          <w:u w:val="single"/>
        </w:rPr>
        <w:lastRenderedPageBreak/>
        <w:t>**</w:t>
      </w:r>
      <w:r w:rsidR="00D17AA3" w:rsidRPr="00327A8C">
        <w:rPr>
          <w:rFonts w:cs="Times New Roman"/>
          <w:b/>
          <w:i/>
          <w:szCs w:val="24"/>
          <w:u w:val="single"/>
        </w:rPr>
        <w:t>Previous criminal behaviour</w:t>
      </w:r>
      <w:r w:rsidR="00661215" w:rsidRPr="00AE5363">
        <w:rPr>
          <w:rFonts w:cs="Times New Roman"/>
          <w:b/>
          <w:szCs w:val="24"/>
        </w:rPr>
        <w:t xml:space="preserve"> </w:t>
      </w:r>
      <w:r w:rsidR="00F97190">
        <w:rPr>
          <w:rFonts w:cs="Times New Roman"/>
          <w:b/>
          <w:szCs w:val="24"/>
        </w:rPr>
        <w:t>–</w:t>
      </w:r>
      <w:r w:rsidR="00661215" w:rsidRPr="00AE5363">
        <w:rPr>
          <w:rFonts w:cs="Times New Roman"/>
          <w:b/>
          <w:szCs w:val="24"/>
        </w:rPr>
        <w:t xml:space="preserve"> </w:t>
      </w:r>
      <w:r w:rsidR="00092681" w:rsidRPr="00910615">
        <w:rPr>
          <w:rFonts w:cs="Times New Roman"/>
          <w:i/>
          <w:szCs w:val="24"/>
        </w:rPr>
        <w:t>s. 1.2.6(1</w:t>
      </w:r>
      <w:proofErr w:type="gramStart"/>
      <w:r w:rsidR="00092681" w:rsidRPr="00910615">
        <w:rPr>
          <w:rFonts w:cs="Times New Roman"/>
          <w:i/>
          <w:szCs w:val="24"/>
        </w:rPr>
        <w:t>)(</w:t>
      </w:r>
      <w:proofErr w:type="gramEnd"/>
      <w:r w:rsidR="00092681" w:rsidRPr="00910615">
        <w:rPr>
          <w:rFonts w:cs="Times New Roman"/>
          <w:i/>
          <w:szCs w:val="24"/>
        </w:rPr>
        <w:t xml:space="preserve">c) LPA </w:t>
      </w:r>
      <w:r w:rsidR="00327A8C" w:rsidRPr="00187285">
        <w:rPr>
          <w:rFonts w:cs="Times New Roman"/>
          <w:b/>
          <w:i/>
          <w:szCs w:val="24"/>
          <w:u w:val="single"/>
        </w:rPr>
        <w:t>[</w:t>
      </w:r>
      <w:r w:rsidR="001679FE" w:rsidRPr="00187285">
        <w:rPr>
          <w:rFonts w:cs="Times New Roman"/>
          <w:b/>
          <w:i/>
          <w:szCs w:val="24"/>
          <w:u w:val="single"/>
        </w:rPr>
        <w:t>*</w:t>
      </w:r>
      <w:r w:rsidR="00CE7280" w:rsidRPr="00187285">
        <w:rPr>
          <w:rFonts w:cs="Times New Roman"/>
          <w:b/>
          <w:i/>
          <w:szCs w:val="24"/>
          <w:u w:val="single"/>
        </w:rPr>
        <w:t>also 4. Criminal</w:t>
      </w:r>
      <w:r w:rsidR="00187285">
        <w:rPr>
          <w:rFonts w:cs="Times New Roman"/>
          <w:b/>
          <w:i/>
          <w:szCs w:val="24"/>
          <w:u w:val="single"/>
        </w:rPr>
        <w:t xml:space="preserve"> </w:t>
      </w:r>
      <w:r w:rsidR="000A2651" w:rsidRPr="00187285">
        <w:rPr>
          <w:rFonts w:cs="Times New Roman"/>
          <w:b/>
          <w:i/>
          <w:szCs w:val="24"/>
          <w:u w:val="single"/>
        </w:rPr>
        <w:t>/</w:t>
      </w:r>
      <w:r w:rsidR="00187285">
        <w:rPr>
          <w:rFonts w:cs="Times New Roman"/>
          <w:b/>
          <w:i/>
          <w:szCs w:val="24"/>
          <w:u w:val="single"/>
        </w:rPr>
        <w:t xml:space="preserve"> </w:t>
      </w:r>
      <w:r w:rsidR="003B46EB" w:rsidRPr="00187285">
        <w:rPr>
          <w:rFonts w:cs="Times New Roman"/>
          <w:b/>
          <w:i/>
          <w:szCs w:val="24"/>
          <w:u w:val="single"/>
        </w:rPr>
        <w:t>Dishonesty</w:t>
      </w:r>
      <w:r w:rsidR="001679FE" w:rsidRPr="00187285">
        <w:rPr>
          <w:rFonts w:cs="Times New Roman"/>
          <w:b/>
          <w:i/>
          <w:szCs w:val="24"/>
          <w:u w:val="single"/>
        </w:rPr>
        <w:t>*</w:t>
      </w:r>
      <w:r w:rsidR="00CE7280" w:rsidRPr="00187285">
        <w:rPr>
          <w:rFonts w:cs="Times New Roman"/>
          <w:b/>
          <w:i/>
          <w:szCs w:val="24"/>
          <w:u w:val="single"/>
        </w:rPr>
        <w:t>]</w:t>
      </w:r>
    </w:p>
    <w:p w14:paraId="79AC428E" w14:textId="77777777" w:rsidR="00D17AA3" w:rsidRPr="00D17AA3" w:rsidRDefault="00D17AA3" w:rsidP="00D17AA3">
      <w:pPr>
        <w:pStyle w:val="NoSpacing"/>
        <w:rPr>
          <w:rFonts w:cs="Times New Roman"/>
          <w:i/>
          <w:szCs w:val="24"/>
          <w:u w:val="single"/>
        </w:rPr>
      </w:pPr>
    </w:p>
    <w:p w14:paraId="730ABC05" w14:textId="540AB24F" w:rsidR="00D17AA3" w:rsidRDefault="00F92282" w:rsidP="00B21502">
      <w:pPr>
        <w:pStyle w:val="NoSpacing"/>
        <w:numPr>
          <w:ilvl w:val="0"/>
          <w:numId w:val="6"/>
        </w:numPr>
        <w:rPr>
          <w:rFonts w:cs="Times New Roman"/>
          <w:szCs w:val="24"/>
        </w:rPr>
      </w:pPr>
      <w:r w:rsidRPr="00BB1098">
        <w:rPr>
          <w:rFonts w:cs="Times New Roman"/>
          <w:b/>
          <w:i/>
          <w:szCs w:val="24"/>
        </w:rPr>
        <w:t>Relevant to fame and character</w:t>
      </w:r>
      <w:r>
        <w:rPr>
          <w:rFonts w:cs="Times New Roman"/>
          <w:i/>
          <w:szCs w:val="24"/>
        </w:rPr>
        <w:t xml:space="preserve"> – </w:t>
      </w:r>
      <w:r w:rsidR="00D17AA3" w:rsidRPr="00D17AA3">
        <w:rPr>
          <w:rFonts w:cs="Times New Roman"/>
          <w:szCs w:val="24"/>
        </w:rPr>
        <w:t>Previous criminal convictions are relevant to an applicant’s good fame and character</w:t>
      </w:r>
      <w:r w:rsidR="00F63307">
        <w:rPr>
          <w:rFonts w:cs="Times New Roman"/>
          <w:szCs w:val="24"/>
        </w:rPr>
        <w:t>.</w:t>
      </w:r>
    </w:p>
    <w:p w14:paraId="2A2638F7" w14:textId="6869B439" w:rsidR="00F63307" w:rsidRPr="00F63307" w:rsidRDefault="0090415F" w:rsidP="00B21502">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AU" w:eastAsia="en-AU"/>
        </w:rPr>
      </w:pPr>
      <w:r>
        <w:rPr>
          <w:lang w:val="en-AU" w:eastAsia="en-AU"/>
        </w:rPr>
        <w:t>W</w:t>
      </w:r>
      <w:r w:rsidR="00F63307" w:rsidRPr="00F63307">
        <w:rPr>
          <w:lang w:val="en-AU" w:eastAsia="en-AU"/>
        </w:rPr>
        <w:t>hether the person has been found guilty of an offence in Australia or</w:t>
      </w:r>
      <w:r w:rsidR="00F63307">
        <w:rPr>
          <w:lang w:val="en-AU" w:eastAsia="en-AU"/>
        </w:rPr>
        <w:t xml:space="preserve"> </w:t>
      </w:r>
      <w:r w:rsidR="00F63307" w:rsidRPr="00F63307">
        <w:rPr>
          <w:lang w:val="en-AU" w:eastAsia="en-AU"/>
        </w:rPr>
        <w:t>a foreign country, and if so</w:t>
      </w:r>
      <w:r w:rsidR="00FC78BE">
        <w:rPr>
          <w:lang w:val="en-AU" w:eastAsia="en-AU"/>
        </w:rPr>
        <w:t xml:space="preserve"> – </w:t>
      </w:r>
    </w:p>
    <w:p w14:paraId="78BBA6FA" w14:textId="5A2345E6" w:rsidR="00F63307" w:rsidRPr="00F63307" w:rsidRDefault="00F63307" w:rsidP="00B2150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AU" w:eastAsia="en-AU"/>
        </w:rPr>
      </w:pPr>
      <w:r w:rsidRPr="00F63307">
        <w:rPr>
          <w:lang w:val="en-AU" w:eastAsia="en-AU"/>
        </w:rPr>
        <w:t>the nature of the offence; and</w:t>
      </w:r>
    </w:p>
    <w:p w14:paraId="28E7A93E" w14:textId="3F318F31" w:rsidR="00F63307" w:rsidRPr="00F63307" w:rsidRDefault="00F63307" w:rsidP="00B2150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AU" w:eastAsia="en-AU"/>
        </w:rPr>
      </w:pPr>
      <w:r w:rsidRPr="00F63307">
        <w:rPr>
          <w:lang w:val="en-AU" w:eastAsia="en-AU"/>
        </w:rPr>
        <w:t>how long ago the offence was committed; and</w:t>
      </w:r>
    </w:p>
    <w:p w14:paraId="5A546EE9" w14:textId="6B4F2A08" w:rsidR="00F63307" w:rsidRPr="00F63307" w:rsidRDefault="00F63307" w:rsidP="00B2150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AU" w:eastAsia="en-AU"/>
        </w:rPr>
      </w:pPr>
      <w:r w:rsidRPr="00F63307">
        <w:rPr>
          <w:lang w:val="en-AU" w:eastAsia="en-AU"/>
        </w:rPr>
        <w:t>the person's age when the offence was committed;</w:t>
      </w:r>
    </w:p>
    <w:p w14:paraId="070DED2B" w14:textId="77777777" w:rsidR="003D5081" w:rsidRDefault="003D5081" w:rsidP="00AD179A">
      <w:pPr>
        <w:pStyle w:val="NoSpacing"/>
        <w:rPr>
          <w:rFonts w:cs="Times New Roman"/>
          <w:szCs w:val="24"/>
        </w:rPr>
      </w:pPr>
    </w:p>
    <w:p w14:paraId="3384EB9A" w14:textId="2A548E23" w:rsidR="00D17AA3" w:rsidRPr="00D17AA3" w:rsidRDefault="00851E7F" w:rsidP="00B21502">
      <w:pPr>
        <w:pStyle w:val="NoSpacing"/>
        <w:numPr>
          <w:ilvl w:val="0"/>
          <w:numId w:val="6"/>
        </w:numPr>
        <w:rPr>
          <w:rFonts w:cs="Times New Roman"/>
          <w:szCs w:val="24"/>
        </w:rPr>
      </w:pPr>
      <w:r w:rsidRPr="00AA4886">
        <w:rPr>
          <w:rFonts w:cs="Times New Roman"/>
          <w:b/>
          <w:i/>
          <w:szCs w:val="24"/>
        </w:rPr>
        <w:t>Fraud</w:t>
      </w:r>
      <w:r>
        <w:rPr>
          <w:rFonts w:cs="Times New Roman"/>
          <w:b/>
          <w:i/>
          <w:szCs w:val="24"/>
        </w:rPr>
        <w:t xml:space="preserve"> </w:t>
      </w:r>
      <w:r w:rsidR="00FD5ADE">
        <w:rPr>
          <w:rFonts w:cs="Times New Roman"/>
          <w:b/>
          <w:i/>
          <w:szCs w:val="24"/>
        </w:rPr>
        <w:t xml:space="preserve">&amp; Misappropriation </w:t>
      </w:r>
      <w:r w:rsidR="00F97190">
        <w:rPr>
          <w:rFonts w:cs="Times New Roman"/>
          <w:b/>
          <w:szCs w:val="24"/>
        </w:rPr>
        <w:t>–</w:t>
      </w:r>
      <w:r w:rsidR="007B7AD9">
        <w:rPr>
          <w:rFonts w:cs="Times New Roman"/>
          <w:b/>
          <w:szCs w:val="24"/>
        </w:rPr>
        <w:t xml:space="preserve"> </w:t>
      </w:r>
      <w:r w:rsidR="00D17AA3" w:rsidRPr="00D17AA3">
        <w:rPr>
          <w:rFonts w:cs="Times New Roman"/>
          <w:szCs w:val="24"/>
        </w:rPr>
        <w:t>Some criminality is however, viewed as prima facie evidence of unfitness to practice – mostly involving dishonesty.</w:t>
      </w:r>
    </w:p>
    <w:p w14:paraId="0D4F43A6" w14:textId="69C25101" w:rsidR="00D17AA3" w:rsidRDefault="00187285" w:rsidP="00B21502">
      <w:pPr>
        <w:pStyle w:val="NoSpacing"/>
        <w:numPr>
          <w:ilvl w:val="1"/>
          <w:numId w:val="6"/>
        </w:numPr>
        <w:rPr>
          <w:rFonts w:cs="Times New Roman"/>
          <w:szCs w:val="24"/>
        </w:rPr>
      </w:pPr>
      <w:r w:rsidRPr="00D17AA3">
        <w:rPr>
          <w:rFonts w:cs="Times New Roman"/>
          <w:i/>
          <w:szCs w:val="24"/>
        </w:rPr>
        <w:t>Thomas v Legal Practitioner’s Admission Board</w:t>
      </w:r>
      <w:r>
        <w:rPr>
          <w:rFonts w:cs="Times New Roman"/>
          <w:i/>
          <w:szCs w:val="24"/>
        </w:rPr>
        <w:t xml:space="preserve"> –</w:t>
      </w:r>
      <w:r w:rsidR="00D17AA3" w:rsidRPr="00D17AA3">
        <w:rPr>
          <w:rFonts w:cs="Times New Roman"/>
          <w:szCs w:val="24"/>
        </w:rPr>
        <w:t xml:space="preserve"> fraudulent misappropriation of money on a large scale from an employer: </w:t>
      </w:r>
    </w:p>
    <w:p w14:paraId="2AA10EAE" w14:textId="77777777" w:rsidR="00AA4886" w:rsidRPr="00CF6712" w:rsidRDefault="00812EA9" w:rsidP="00B21502">
      <w:pPr>
        <w:pStyle w:val="NoSpacing"/>
        <w:numPr>
          <w:ilvl w:val="2"/>
          <w:numId w:val="6"/>
        </w:numPr>
        <w:rPr>
          <w:rFonts w:cs="Times New Roman"/>
          <w:szCs w:val="24"/>
        </w:rPr>
      </w:pPr>
      <w:r w:rsidRPr="00CF6712">
        <w:rPr>
          <w:rFonts w:cs="Times New Roman"/>
          <w:i/>
          <w:szCs w:val="24"/>
        </w:rPr>
        <w:t>‘fraudulent misappropriation suggests present unsuitability to practice in which absolute trust must be of the essence’</w:t>
      </w:r>
    </w:p>
    <w:p w14:paraId="363BBCCF" w14:textId="77777777" w:rsidR="00AA4886" w:rsidRDefault="00AA4886" w:rsidP="00AA4886">
      <w:pPr>
        <w:pStyle w:val="NoSpacing"/>
        <w:ind w:left="1440"/>
        <w:rPr>
          <w:rFonts w:cs="Times New Roman"/>
          <w:szCs w:val="24"/>
        </w:rPr>
      </w:pPr>
    </w:p>
    <w:p w14:paraId="11D6A197" w14:textId="1C477650" w:rsidR="00AA4886" w:rsidRPr="00AA4886" w:rsidRDefault="003B3F36" w:rsidP="00B21502">
      <w:pPr>
        <w:pStyle w:val="NoSpacing"/>
        <w:numPr>
          <w:ilvl w:val="0"/>
          <w:numId w:val="6"/>
        </w:numPr>
        <w:rPr>
          <w:rFonts w:cs="Times New Roman"/>
          <w:szCs w:val="24"/>
        </w:rPr>
      </w:pPr>
      <w:r w:rsidRPr="00AA4886">
        <w:rPr>
          <w:rFonts w:cs="Times New Roman"/>
          <w:b/>
          <w:i/>
          <w:szCs w:val="24"/>
        </w:rPr>
        <w:t xml:space="preserve">Dishonesty </w:t>
      </w:r>
      <w:r w:rsidR="008B1831">
        <w:rPr>
          <w:rFonts w:cs="Times New Roman"/>
          <w:szCs w:val="24"/>
        </w:rPr>
        <w:t>–</w:t>
      </w:r>
      <w:r>
        <w:rPr>
          <w:rFonts w:cs="Times New Roman"/>
          <w:b/>
          <w:i/>
          <w:szCs w:val="24"/>
        </w:rPr>
        <w:t xml:space="preserve"> </w:t>
      </w:r>
      <w:r w:rsidR="00AA4886" w:rsidRPr="00AA4886">
        <w:rPr>
          <w:rFonts w:cs="Times New Roman"/>
          <w:szCs w:val="24"/>
        </w:rPr>
        <w:t>Particularly important is evidence going to an applicant’s honesty given that “the demands of honesty and fair dealing are probably greater in the legal profession than any other profession”</w:t>
      </w:r>
      <w:r w:rsidR="00A452EA">
        <w:rPr>
          <w:rFonts w:cs="Times New Roman"/>
          <w:szCs w:val="24"/>
        </w:rPr>
        <w:t xml:space="preserve"> per </w:t>
      </w:r>
      <w:proofErr w:type="spellStart"/>
      <w:r w:rsidR="00A452EA">
        <w:rPr>
          <w:rFonts w:cs="Times New Roman"/>
          <w:i/>
          <w:szCs w:val="24"/>
        </w:rPr>
        <w:t>Fugtniet</w:t>
      </w:r>
      <w:proofErr w:type="spellEnd"/>
    </w:p>
    <w:p w14:paraId="157D2DE5" w14:textId="77777777" w:rsidR="00AA4886" w:rsidRDefault="00AA4886" w:rsidP="00D17AA3">
      <w:pPr>
        <w:pStyle w:val="NoSpacing"/>
        <w:rPr>
          <w:rFonts w:cs="Times New Roman"/>
          <w:szCs w:val="24"/>
        </w:rPr>
      </w:pPr>
    </w:p>
    <w:p w14:paraId="50ADCB96" w14:textId="4093B05F" w:rsidR="00D17AA3" w:rsidRPr="00C7724C" w:rsidRDefault="00D17AA3" w:rsidP="00D17AA3">
      <w:pPr>
        <w:pStyle w:val="NoSpacing"/>
        <w:rPr>
          <w:rFonts w:cs="Times New Roman"/>
          <w:i/>
          <w:szCs w:val="24"/>
        </w:rPr>
      </w:pPr>
      <w:proofErr w:type="spellStart"/>
      <w:r w:rsidRPr="00C7724C">
        <w:rPr>
          <w:rFonts w:cs="Times New Roman"/>
          <w:i/>
          <w:szCs w:val="24"/>
        </w:rPr>
        <w:t>Frugtniet</w:t>
      </w:r>
      <w:proofErr w:type="spellEnd"/>
      <w:r w:rsidRPr="00C7724C">
        <w:rPr>
          <w:rFonts w:cs="Times New Roman"/>
          <w:i/>
          <w:szCs w:val="24"/>
        </w:rPr>
        <w:t xml:space="preserve"> v Board of Examiners</w:t>
      </w:r>
    </w:p>
    <w:p w14:paraId="7E30C507" w14:textId="7951C2DF" w:rsidR="00D17AA3" w:rsidRPr="00D17AA3" w:rsidRDefault="00D17AA3" w:rsidP="00D17AA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Times New Roman"/>
          <w:szCs w:val="24"/>
        </w:rPr>
      </w:pPr>
      <w:r>
        <w:rPr>
          <w:rFonts w:cs="Times New Roman"/>
          <w:szCs w:val="24"/>
        </w:rPr>
        <w:t>T</w:t>
      </w:r>
      <w:r w:rsidRPr="00D17AA3">
        <w:rPr>
          <w:rFonts w:cs="Times New Roman"/>
          <w:szCs w:val="24"/>
        </w:rPr>
        <w:t>he applicant had over 25 years, including shortly before his application for admission, charges and convictions for numerous offences for theft, perjury and fraud.</w:t>
      </w:r>
    </w:p>
    <w:p w14:paraId="30038ACA" w14:textId="3A843A83" w:rsidR="00D17AA3" w:rsidRPr="00D17AA3" w:rsidRDefault="00D17AA3" w:rsidP="00D17AA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Times New Roman"/>
          <w:szCs w:val="24"/>
        </w:rPr>
      </w:pPr>
      <w:proofErr w:type="gramStart"/>
      <w:r w:rsidRPr="00D17AA3">
        <w:rPr>
          <w:rFonts w:cs="Times New Roman"/>
          <w:b/>
          <w:szCs w:val="24"/>
        </w:rPr>
        <w:t>Held</w:t>
      </w:r>
      <w:r w:rsidRPr="00D17AA3">
        <w:rPr>
          <w:rFonts w:cs="Times New Roman"/>
          <w:szCs w:val="24"/>
        </w:rPr>
        <w:t>: apart from not making a full disclosur</w:t>
      </w:r>
      <w:r w:rsidR="00C7724C">
        <w:rPr>
          <w:rFonts w:cs="Times New Roman"/>
          <w:szCs w:val="24"/>
        </w:rPr>
        <w:t xml:space="preserve">e, the fact that he was </w:t>
      </w:r>
      <w:r w:rsidR="00C7724C" w:rsidRPr="000F45CC">
        <w:rPr>
          <w:rFonts w:cs="Times New Roman"/>
          <w:b/>
          <w:szCs w:val="24"/>
        </w:rPr>
        <w:t>charged</w:t>
      </w:r>
      <w:r w:rsidRPr="000F45CC">
        <w:rPr>
          <w:rFonts w:cs="Times New Roman"/>
          <w:b/>
          <w:szCs w:val="24"/>
        </w:rPr>
        <w:t xml:space="preserve"> with</w:t>
      </w:r>
      <w:r w:rsidRPr="00D17AA3">
        <w:rPr>
          <w:rFonts w:cs="Times New Roman"/>
          <w:szCs w:val="24"/>
        </w:rPr>
        <w:t xml:space="preserve"> </w:t>
      </w:r>
      <w:r w:rsidRPr="00AB7F72">
        <w:rPr>
          <w:rFonts w:cs="Times New Roman"/>
          <w:b/>
          <w:szCs w:val="24"/>
          <w:u w:val="single"/>
        </w:rPr>
        <w:t>offences of dishonesty over a substantial period of time and being untruthful in cross</w:t>
      </w:r>
      <w:r w:rsidR="00F97190">
        <w:rPr>
          <w:rFonts w:cs="Times New Roman"/>
          <w:b/>
          <w:szCs w:val="24"/>
          <w:u w:val="single"/>
        </w:rPr>
        <w:t>–</w:t>
      </w:r>
      <w:r w:rsidRPr="00AB7F72">
        <w:rPr>
          <w:rFonts w:cs="Times New Roman"/>
          <w:b/>
          <w:szCs w:val="24"/>
          <w:u w:val="single"/>
        </w:rPr>
        <w:t>examination</w:t>
      </w:r>
      <w:r w:rsidRPr="00D17AA3">
        <w:rPr>
          <w:rFonts w:cs="Times New Roman"/>
          <w:szCs w:val="24"/>
        </w:rPr>
        <w:t xml:space="preserve"> led to the conclusion that it would take </w:t>
      </w:r>
      <w:r w:rsidRPr="00C76136">
        <w:rPr>
          <w:rFonts w:cs="Times New Roman"/>
          <w:b/>
          <w:szCs w:val="24"/>
        </w:rPr>
        <w:t>many years of blameless conduct before</w:t>
      </w:r>
      <w:r w:rsidR="00AB7F72">
        <w:rPr>
          <w:rFonts w:cs="Times New Roman"/>
          <w:b/>
          <w:szCs w:val="24"/>
        </w:rPr>
        <w:t xml:space="preserve"> </w:t>
      </w:r>
      <w:r w:rsidRPr="00C76136">
        <w:rPr>
          <w:rFonts w:cs="Times New Roman"/>
          <w:b/>
          <w:szCs w:val="24"/>
        </w:rPr>
        <w:t>one could have any confidence that he has turned over a new leaf</w:t>
      </w:r>
      <w:r w:rsidRPr="00D17AA3">
        <w:rPr>
          <w:rFonts w:cs="Times New Roman"/>
          <w:szCs w:val="24"/>
        </w:rPr>
        <w:t>.</w:t>
      </w:r>
      <w:proofErr w:type="gramEnd"/>
    </w:p>
    <w:p w14:paraId="2D669514" w14:textId="77777777" w:rsidR="00A452EA" w:rsidRDefault="00A452EA" w:rsidP="00D17AA3">
      <w:pPr>
        <w:pStyle w:val="NoSpacing"/>
        <w:rPr>
          <w:rFonts w:cs="Times New Roman"/>
          <w:szCs w:val="24"/>
          <w:u w:val="single"/>
        </w:rPr>
      </w:pPr>
    </w:p>
    <w:p w14:paraId="6D5D1AF5" w14:textId="77777777" w:rsidR="00AA4886" w:rsidRPr="00D17AA3" w:rsidRDefault="00AA4886" w:rsidP="00B21502">
      <w:pPr>
        <w:pStyle w:val="NoSpacing"/>
        <w:numPr>
          <w:ilvl w:val="0"/>
          <w:numId w:val="6"/>
        </w:numPr>
        <w:rPr>
          <w:rFonts w:cs="Times New Roman"/>
          <w:szCs w:val="24"/>
        </w:rPr>
      </w:pPr>
      <w:r>
        <w:rPr>
          <w:rFonts w:cs="Times New Roman"/>
          <w:b/>
          <w:i/>
          <w:szCs w:val="24"/>
        </w:rPr>
        <w:t>Length of Time since Prior</w:t>
      </w:r>
      <w:r>
        <w:rPr>
          <w:rFonts w:cs="Times New Roman"/>
          <w:i/>
          <w:szCs w:val="24"/>
        </w:rPr>
        <w:t xml:space="preserve"> – </w:t>
      </w:r>
      <w:r w:rsidRPr="00D17AA3">
        <w:rPr>
          <w:rFonts w:cs="Times New Roman"/>
          <w:szCs w:val="24"/>
        </w:rPr>
        <w:t xml:space="preserve">If prior conviction (even dishonesty) occurred when the applicant was very young, and was the result of immaturity and fully disclosed and evidence of restoration of integrity are of value and the court is more inclined to overlook: </w:t>
      </w:r>
      <w:r w:rsidRPr="00D17AA3">
        <w:rPr>
          <w:rFonts w:cs="Times New Roman"/>
          <w:i/>
          <w:szCs w:val="24"/>
        </w:rPr>
        <w:t>Re Owen</w:t>
      </w:r>
      <w:r>
        <w:rPr>
          <w:rFonts w:cs="Times New Roman"/>
          <w:i/>
          <w:szCs w:val="24"/>
        </w:rPr>
        <w:t xml:space="preserve"> (2005)</w:t>
      </w:r>
    </w:p>
    <w:p w14:paraId="5CB380B2" w14:textId="77777777" w:rsidR="00AA4886" w:rsidRDefault="00AA4886" w:rsidP="00D17AA3">
      <w:pPr>
        <w:pStyle w:val="NoSpacing"/>
        <w:rPr>
          <w:rFonts w:cs="Times New Roman"/>
          <w:szCs w:val="24"/>
          <w:u w:val="single"/>
        </w:rPr>
      </w:pPr>
    </w:p>
    <w:p w14:paraId="396C8835" w14:textId="77777777" w:rsidR="00AB7F72" w:rsidRPr="00B67EA8" w:rsidRDefault="00AB7F72" w:rsidP="00B21502">
      <w:pPr>
        <w:pStyle w:val="NoSpacing"/>
        <w:numPr>
          <w:ilvl w:val="0"/>
          <w:numId w:val="6"/>
        </w:numPr>
        <w:rPr>
          <w:u w:val="single"/>
        </w:rPr>
      </w:pPr>
      <w:r w:rsidRPr="00B67EA8">
        <w:rPr>
          <w:b/>
          <w:u w:val="single"/>
        </w:rPr>
        <w:t>Charges [not convictions]</w:t>
      </w:r>
    </w:p>
    <w:p w14:paraId="13B22AB4" w14:textId="77777777" w:rsidR="00AB7F72" w:rsidRPr="00AB7F72" w:rsidRDefault="00AB7F72" w:rsidP="00B21502">
      <w:pPr>
        <w:pStyle w:val="NoSpacing"/>
        <w:numPr>
          <w:ilvl w:val="1"/>
          <w:numId w:val="11"/>
        </w:numPr>
      </w:pPr>
      <w:r w:rsidRPr="00AB7F72">
        <w:t xml:space="preserve">Still required 1.2.6(f) – ‘whether the person is currently subject to an </w:t>
      </w:r>
      <w:r w:rsidRPr="00953393">
        <w:rPr>
          <w:b/>
        </w:rPr>
        <w:t>unre</w:t>
      </w:r>
      <w:r w:rsidRPr="00F415D8">
        <w:rPr>
          <w:b/>
        </w:rPr>
        <w:t>solved complaint, investigation, charge or order</w:t>
      </w:r>
      <w:r w:rsidRPr="00AB7F72">
        <w:t xml:space="preserve"> under any of the following (a) this Act or a previous law of this jurisdiction that corresponds to this Act.’</w:t>
      </w:r>
    </w:p>
    <w:p w14:paraId="09AB15B9" w14:textId="77777777" w:rsidR="00275E91" w:rsidRDefault="00275E91" w:rsidP="009F4C7F">
      <w:pPr>
        <w:pStyle w:val="NoSpacing"/>
        <w:rPr>
          <w:rFonts w:cs="Times New Roman"/>
          <w:szCs w:val="24"/>
        </w:rPr>
      </w:pPr>
    </w:p>
    <w:p w14:paraId="608833A4" w14:textId="77777777" w:rsidR="00B771BB" w:rsidRDefault="00B771BB" w:rsidP="009F4C7F">
      <w:pPr>
        <w:pStyle w:val="NoSpacing"/>
        <w:rPr>
          <w:rFonts w:cs="Times New Roman"/>
          <w:szCs w:val="24"/>
        </w:rPr>
      </w:pPr>
    </w:p>
    <w:p w14:paraId="643202A7" w14:textId="77777777" w:rsidR="00B771BB" w:rsidRDefault="00B771BB" w:rsidP="009F4C7F">
      <w:pPr>
        <w:pStyle w:val="NoSpacing"/>
        <w:rPr>
          <w:rFonts w:cs="Times New Roman"/>
          <w:szCs w:val="24"/>
        </w:rPr>
      </w:pPr>
    </w:p>
    <w:p w14:paraId="6D9CA5F8" w14:textId="77777777" w:rsidR="00B771BB" w:rsidRDefault="00B771BB" w:rsidP="009F4C7F">
      <w:pPr>
        <w:pStyle w:val="NoSpacing"/>
        <w:rPr>
          <w:rFonts w:cs="Times New Roman"/>
          <w:szCs w:val="24"/>
        </w:rPr>
      </w:pPr>
    </w:p>
    <w:p w14:paraId="2D980B1D" w14:textId="77777777" w:rsidR="00B771BB" w:rsidRDefault="00B771BB" w:rsidP="009F4C7F">
      <w:pPr>
        <w:pStyle w:val="NoSpacing"/>
        <w:rPr>
          <w:rFonts w:cs="Times New Roman"/>
          <w:szCs w:val="24"/>
        </w:rPr>
      </w:pPr>
    </w:p>
    <w:p w14:paraId="3CEF204B" w14:textId="77777777" w:rsidR="00B771BB" w:rsidRDefault="00B771BB" w:rsidP="009F4C7F">
      <w:pPr>
        <w:pStyle w:val="NoSpacing"/>
        <w:rPr>
          <w:rFonts w:cs="Times New Roman"/>
          <w:szCs w:val="24"/>
        </w:rPr>
      </w:pPr>
    </w:p>
    <w:p w14:paraId="3CB69F09" w14:textId="77777777" w:rsidR="00B771BB" w:rsidRDefault="00B771BB" w:rsidP="009F4C7F">
      <w:pPr>
        <w:pStyle w:val="NoSpacing"/>
        <w:rPr>
          <w:rFonts w:cs="Times New Roman"/>
          <w:szCs w:val="24"/>
        </w:rPr>
      </w:pPr>
    </w:p>
    <w:p w14:paraId="44FFE22D" w14:textId="77777777" w:rsidR="00B771BB" w:rsidRDefault="00B771BB" w:rsidP="009F4C7F">
      <w:pPr>
        <w:pStyle w:val="NoSpacing"/>
        <w:rPr>
          <w:rFonts w:cs="Times New Roman"/>
          <w:szCs w:val="24"/>
        </w:rPr>
      </w:pPr>
    </w:p>
    <w:p w14:paraId="2794C43F" w14:textId="77777777" w:rsidR="00B771BB" w:rsidRDefault="00B771BB" w:rsidP="009F4C7F">
      <w:pPr>
        <w:pStyle w:val="NoSpacing"/>
        <w:rPr>
          <w:rFonts w:cs="Times New Roman"/>
          <w:szCs w:val="24"/>
        </w:rPr>
      </w:pPr>
    </w:p>
    <w:p w14:paraId="11396DF2" w14:textId="77777777" w:rsidR="00B771BB" w:rsidRDefault="00B771BB" w:rsidP="009F4C7F">
      <w:pPr>
        <w:pStyle w:val="NoSpacing"/>
        <w:rPr>
          <w:rFonts w:cs="Times New Roman"/>
          <w:szCs w:val="24"/>
        </w:rPr>
      </w:pPr>
    </w:p>
    <w:p w14:paraId="633B9436" w14:textId="77777777" w:rsidR="00B771BB" w:rsidRDefault="00B771BB" w:rsidP="009F4C7F">
      <w:pPr>
        <w:pStyle w:val="NoSpacing"/>
        <w:rPr>
          <w:rFonts w:cs="Times New Roman"/>
          <w:szCs w:val="24"/>
        </w:rPr>
      </w:pPr>
    </w:p>
    <w:p w14:paraId="7FB1B767" w14:textId="77777777" w:rsidR="00B771BB" w:rsidRDefault="00B771BB" w:rsidP="009F4C7F">
      <w:pPr>
        <w:pStyle w:val="NoSpacing"/>
        <w:rPr>
          <w:rFonts w:cs="Times New Roman"/>
          <w:szCs w:val="24"/>
        </w:rPr>
      </w:pPr>
    </w:p>
    <w:p w14:paraId="5FD5D7D0" w14:textId="77777777" w:rsidR="00B771BB" w:rsidRDefault="00B771BB" w:rsidP="009F4C7F">
      <w:pPr>
        <w:pStyle w:val="NoSpacing"/>
        <w:rPr>
          <w:rFonts w:cs="Times New Roman"/>
          <w:szCs w:val="24"/>
        </w:rPr>
      </w:pPr>
    </w:p>
    <w:p w14:paraId="19D3947E" w14:textId="163CBADF" w:rsidR="00594683" w:rsidRPr="00AE5363" w:rsidRDefault="00FB38F9" w:rsidP="00594683">
      <w:pPr>
        <w:pStyle w:val="NoSpacing"/>
        <w:rPr>
          <w:rFonts w:cs="Times New Roman"/>
          <w:b/>
          <w:szCs w:val="24"/>
        </w:rPr>
      </w:pPr>
      <w:r w:rsidRPr="00047B8C">
        <w:rPr>
          <w:rFonts w:cs="Times New Roman"/>
          <w:b/>
          <w:i/>
          <w:szCs w:val="24"/>
          <w:u w:val="single"/>
        </w:rPr>
        <w:lastRenderedPageBreak/>
        <w:t>**</w:t>
      </w:r>
      <w:r w:rsidR="003E34BD" w:rsidRPr="00047B8C">
        <w:rPr>
          <w:rFonts w:cs="Times New Roman"/>
          <w:b/>
          <w:i/>
          <w:szCs w:val="24"/>
          <w:u w:val="single"/>
        </w:rPr>
        <w:t>Previous improper conduct during court process</w:t>
      </w:r>
      <w:r w:rsidR="00594683" w:rsidRPr="00AE5363">
        <w:rPr>
          <w:rFonts w:cs="Times New Roman"/>
          <w:b/>
          <w:szCs w:val="24"/>
        </w:rPr>
        <w:t xml:space="preserve"> </w:t>
      </w:r>
      <w:r w:rsidR="009A5B45">
        <w:rPr>
          <w:rFonts w:cs="Times New Roman"/>
          <w:b/>
          <w:i/>
          <w:szCs w:val="24"/>
        </w:rPr>
        <w:t>–</w:t>
      </w:r>
      <w:r w:rsidR="00047B8C" w:rsidRPr="00E369AD">
        <w:rPr>
          <w:rFonts w:cs="Times New Roman"/>
          <w:b/>
          <w:i/>
          <w:szCs w:val="24"/>
        </w:rPr>
        <w:t xml:space="preserve"> </w:t>
      </w:r>
      <w:r w:rsidR="00D611E5" w:rsidRPr="00AE5363">
        <w:rPr>
          <w:rFonts w:cs="Times New Roman"/>
          <w:b/>
          <w:i/>
          <w:szCs w:val="24"/>
          <w:u w:val="single"/>
        </w:rPr>
        <w:t>s. 1.2.6(1</w:t>
      </w:r>
      <w:proofErr w:type="gramStart"/>
      <w:r w:rsidR="00D611E5" w:rsidRPr="00AE5363">
        <w:rPr>
          <w:rFonts w:cs="Times New Roman"/>
          <w:b/>
          <w:i/>
          <w:szCs w:val="24"/>
          <w:u w:val="single"/>
        </w:rPr>
        <w:t>)(</w:t>
      </w:r>
      <w:proofErr w:type="gramEnd"/>
      <w:r w:rsidR="00F7360B">
        <w:rPr>
          <w:rFonts w:cs="Times New Roman"/>
          <w:b/>
          <w:i/>
          <w:szCs w:val="24"/>
          <w:u w:val="single"/>
        </w:rPr>
        <w:t>g</w:t>
      </w:r>
      <w:r w:rsidR="00D611E5" w:rsidRPr="00AE5363">
        <w:rPr>
          <w:rFonts w:cs="Times New Roman"/>
          <w:b/>
          <w:i/>
          <w:szCs w:val="24"/>
          <w:u w:val="single"/>
        </w:rPr>
        <w:t>) LPA VIC</w:t>
      </w:r>
    </w:p>
    <w:p w14:paraId="64F4671C" w14:textId="77777777" w:rsidR="00594683" w:rsidRPr="00D17AA3" w:rsidRDefault="00594683" w:rsidP="00594683">
      <w:pPr>
        <w:pStyle w:val="NoSpacing"/>
        <w:rPr>
          <w:rFonts w:cs="Times New Roman"/>
          <w:i/>
          <w:szCs w:val="24"/>
          <w:u w:val="single"/>
        </w:rPr>
      </w:pPr>
    </w:p>
    <w:p w14:paraId="0083EEF3" w14:textId="1AFB52BC" w:rsidR="00594683" w:rsidRDefault="00773F26" w:rsidP="00B21502">
      <w:pPr>
        <w:pStyle w:val="NoSpacing"/>
        <w:numPr>
          <w:ilvl w:val="0"/>
          <w:numId w:val="7"/>
        </w:numPr>
        <w:rPr>
          <w:rFonts w:cs="Times New Roman"/>
          <w:szCs w:val="24"/>
        </w:rPr>
      </w:pPr>
      <w:r w:rsidRPr="006D68B2">
        <w:rPr>
          <w:rFonts w:cs="Times New Roman"/>
          <w:b/>
          <w:i/>
          <w:szCs w:val="24"/>
        </w:rPr>
        <w:t xml:space="preserve">Disciplinary </w:t>
      </w:r>
      <w:r w:rsidR="00DE3224" w:rsidRPr="006D68B2">
        <w:rPr>
          <w:rFonts w:cs="Times New Roman"/>
          <w:b/>
          <w:i/>
          <w:szCs w:val="24"/>
        </w:rPr>
        <w:t>Sanctions</w:t>
      </w:r>
      <w:r>
        <w:rPr>
          <w:rFonts w:cs="Times New Roman"/>
          <w:i/>
          <w:szCs w:val="24"/>
        </w:rPr>
        <w:t xml:space="preserve"> </w:t>
      </w:r>
      <w:r w:rsidR="00F97190">
        <w:rPr>
          <w:rFonts w:cs="Times New Roman"/>
          <w:szCs w:val="24"/>
        </w:rPr>
        <w:t>–</w:t>
      </w:r>
      <w:r>
        <w:rPr>
          <w:rFonts w:cs="Times New Roman"/>
          <w:szCs w:val="24"/>
        </w:rPr>
        <w:t xml:space="preserve"> </w:t>
      </w:r>
      <w:r w:rsidR="0024532F">
        <w:rPr>
          <w:rFonts w:cs="Times New Roman"/>
          <w:szCs w:val="24"/>
        </w:rPr>
        <w:t xml:space="preserve">An applicant’s previous </w:t>
      </w:r>
      <w:r w:rsidR="00C20055">
        <w:rPr>
          <w:rFonts w:cs="Times New Roman"/>
          <w:szCs w:val="24"/>
        </w:rPr>
        <w:t>behaviour</w:t>
      </w:r>
      <w:r w:rsidR="0024532F">
        <w:rPr>
          <w:rFonts w:cs="Times New Roman"/>
          <w:szCs w:val="24"/>
        </w:rPr>
        <w:t xml:space="preserve"> in the course of litigation is relevant to his or her fame and character especially where that </w:t>
      </w:r>
      <w:r w:rsidR="00C20055">
        <w:rPr>
          <w:rFonts w:cs="Times New Roman"/>
          <w:szCs w:val="24"/>
        </w:rPr>
        <w:t>behaviour</w:t>
      </w:r>
      <w:r w:rsidR="0024532F">
        <w:rPr>
          <w:rFonts w:cs="Times New Roman"/>
          <w:szCs w:val="24"/>
        </w:rPr>
        <w:t xml:space="preserve"> had it been engaged in by a practicing lawyer would have attracted disciplinary sanction.</w:t>
      </w:r>
    </w:p>
    <w:p w14:paraId="066057D6" w14:textId="77777777" w:rsidR="00241D06" w:rsidRDefault="00241D06" w:rsidP="00241D06">
      <w:pPr>
        <w:pStyle w:val="NoSpacing"/>
        <w:ind w:left="1440"/>
        <w:rPr>
          <w:rFonts w:cs="Times New Roman"/>
          <w:szCs w:val="24"/>
        </w:rPr>
      </w:pPr>
    </w:p>
    <w:p w14:paraId="6D8EC4CC" w14:textId="615CF76C" w:rsidR="00DE3224" w:rsidRPr="00241D06" w:rsidRDefault="00247455" w:rsidP="00B21502">
      <w:pPr>
        <w:pStyle w:val="NoSpacing"/>
        <w:numPr>
          <w:ilvl w:val="1"/>
          <w:numId w:val="7"/>
        </w:numPr>
        <w:rPr>
          <w:rFonts w:cs="Times New Roman"/>
          <w:szCs w:val="24"/>
        </w:rPr>
      </w:pPr>
      <w:r>
        <w:rPr>
          <w:rFonts w:cs="Times New Roman"/>
          <w:b/>
          <w:i/>
          <w:szCs w:val="24"/>
        </w:rPr>
        <w:t xml:space="preserve">False Evidence or Statements </w:t>
      </w:r>
      <w:r>
        <w:rPr>
          <w:rFonts w:cs="Times New Roman"/>
          <w:szCs w:val="24"/>
        </w:rPr>
        <w:t xml:space="preserve">– </w:t>
      </w:r>
      <w:r w:rsidR="00241D06">
        <w:rPr>
          <w:rFonts w:cs="Times New Roman"/>
          <w:szCs w:val="24"/>
        </w:rPr>
        <w:t>‘</w:t>
      </w:r>
      <w:r w:rsidR="00DE3224" w:rsidRPr="00241D06">
        <w:rPr>
          <w:rFonts w:cs="Times New Roman"/>
          <w:szCs w:val="24"/>
        </w:rPr>
        <w:t>making false statement or adducing false evidence</w:t>
      </w:r>
      <w:r w:rsidR="00241D06" w:rsidRPr="00241D06">
        <w:rPr>
          <w:rFonts w:cs="Times New Roman"/>
          <w:szCs w:val="24"/>
        </w:rPr>
        <w:t xml:space="preserve"> </w:t>
      </w:r>
      <w:r w:rsidR="00DE3224" w:rsidRPr="00241D06">
        <w:rPr>
          <w:rFonts w:cs="Times New Roman"/>
          <w:szCs w:val="24"/>
        </w:rPr>
        <w:t>or false affidavit in legal proceedings</w:t>
      </w:r>
      <w:r w:rsidR="00241D06">
        <w:rPr>
          <w:rFonts w:cs="Times New Roman"/>
          <w:szCs w:val="24"/>
        </w:rPr>
        <w:t xml:space="preserve"> </w:t>
      </w:r>
      <w:r w:rsidR="00DE3224" w:rsidRPr="00241D06">
        <w:rPr>
          <w:rFonts w:cs="Times New Roman"/>
          <w:szCs w:val="24"/>
        </w:rPr>
        <w:t>is inconsistent with the requirement of integrity and honesty essential for admission.</w:t>
      </w:r>
      <w:r w:rsidR="00241D06">
        <w:rPr>
          <w:rFonts w:cs="Times New Roman"/>
          <w:szCs w:val="24"/>
        </w:rPr>
        <w:t>’</w:t>
      </w:r>
    </w:p>
    <w:p w14:paraId="5E965769" w14:textId="48A43A93" w:rsidR="00241D06" w:rsidRPr="00241D06" w:rsidRDefault="00241D06" w:rsidP="00B21502">
      <w:pPr>
        <w:pStyle w:val="NoSpacing"/>
        <w:numPr>
          <w:ilvl w:val="2"/>
          <w:numId w:val="7"/>
        </w:numPr>
        <w:rPr>
          <w:rFonts w:cs="Times New Roman"/>
          <w:i/>
          <w:szCs w:val="24"/>
        </w:rPr>
      </w:pPr>
      <w:r w:rsidRPr="00241D06">
        <w:rPr>
          <w:rFonts w:cs="Times New Roman"/>
          <w:i/>
          <w:szCs w:val="24"/>
        </w:rPr>
        <w:t xml:space="preserve">Jackson (previously </w:t>
      </w:r>
      <w:proofErr w:type="spellStart"/>
      <w:r w:rsidRPr="00241D06">
        <w:rPr>
          <w:rFonts w:cs="Times New Roman"/>
          <w:i/>
          <w:szCs w:val="24"/>
        </w:rPr>
        <w:t>Subramaniam</w:t>
      </w:r>
      <w:proofErr w:type="spellEnd"/>
      <w:r w:rsidRPr="00241D06">
        <w:rPr>
          <w:rFonts w:cs="Times New Roman"/>
          <w:i/>
          <w:szCs w:val="24"/>
        </w:rPr>
        <w:t>) v Legal Practitioners Admission Board</w:t>
      </w:r>
    </w:p>
    <w:p w14:paraId="61E7B3BB" w14:textId="77777777" w:rsidR="00717B06" w:rsidRDefault="00717B06" w:rsidP="00717B06">
      <w:pPr>
        <w:pStyle w:val="NoSpacing"/>
      </w:pPr>
    </w:p>
    <w:p w14:paraId="40F76943" w14:textId="77777777" w:rsidR="00E106D7" w:rsidRPr="00241D06" w:rsidRDefault="00E106D7" w:rsidP="00717B06">
      <w:pPr>
        <w:pStyle w:val="NoSpacing"/>
        <w:rPr>
          <w:rFonts w:cs="Times New Roman"/>
          <w:i/>
          <w:szCs w:val="24"/>
        </w:rPr>
      </w:pPr>
      <w:r w:rsidRPr="00241D06">
        <w:rPr>
          <w:rFonts w:cs="Times New Roman"/>
          <w:i/>
          <w:szCs w:val="24"/>
        </w:rPr>
        <w:t xml:space="preserve">Jackson (previously </w:t>
      </w:r>
      <w:proofErr w:type="spellStart"/>
      <w:r w:rsidRPr="00241D06">
        <w:rPr>
          <w:rFonts w:cs="Times New Roman"/>
          <w:i/>
          <w:szCs w:val="24"/>
        </w:rPr>
        <w:t>Subramaniam</w:t>
      </w:r>
      <w:proofErr w:type="spellEnd"/>
      <w:r w:rsidRPr="00241D06">
        <w:rPr>
          <w:rFonts w:cs="Times New Roman"/>
          <w:i/>
          <w:szCs w:val="24"/>
        </w:rPr>
        <w:t>) v Legal Practitioners Admission Board</w:t>
      </w:r>
    </w:p>
    <w:p w14:paraId="1C12E668" w14:textId="04F0CE73" w:rsidR="00344C1C" w:rsidRDefault="00717B06" w:rsidP="00717B06">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cs="Times New Roman"/>
          <w:szCs w:val="24"/>
        </w:rPr>
      </w:pPr>
      <w:r>
        <w:rPr>
          <w:rFonts w:cs="Times New Roman"/>
          <w:szCs w:val="24"/>
        </w:rPr>
        <w:t>The applicant in this case had some time ago knowing given false evidence though did not stand convicted of any criminal offence out of the events but her same attitude persisted along with her incomplete disclosure of the events due to which her application was refused.</w:t>
      </w:r>
    </w:p>
    <w:p w14:paraId="4F4CDBD2" w14:textId="77777777" w:rsidR="00594683" w:rsidRDefault="00594683" w:rsidP="009F4C7F">
      <w:pPr>
        <w:pStyle w:val="NoSpacing"/>
        <w:rPr>
          <w:rFonts w:cs="Times New Roman"/>
          <w:szCs w:val="24"/>
        </w:rPr>
      </w:pPr>
    </w:p>
    <w:p w14:paraId="56F87EB1" w14:textId="59E8F961" w:rsidR="00787A16" w:rsidRDefault="00247455" w:rsidP="00B21502">
      <w:pPr>
        <w:pStyle w:val="NoSpacing"/>
        <w:numPr>
          <w:ilvl w:val="1"/>
          <w:numId w:val="7"/>
        </w:numPr>
        <w:rPr>
          <w:rFonts w:cs="Times New Roman"/>
          <w:szCs w:val="24"/>
        </w:rPr>
      </w:pPr>
      <w:r>
        <w:rPr>
          <w:rFonts w:cs="Times New Roman"/>
          <w:b/>
          <w:i/>
          <w:szCs w:val="24"/>
        </w:rPr>
        <w:t xml:space="preserve">False Accusations </w:t>
      </w:r>
      <w:r>
        <w:rPr>
          <w:rFonts w:cs="Times New Roman"/>
          <w:szCs w:val="24"/>
        </w:rPr>
        <w:t xml:space="preserve">– </w:t>
      </w:r>
      <w:r w:rsidR="00833A0B">
        <w:rPr>
          <w:rFonts w:cs="Times New Roman"/>
          <w:szCs w:val="24"/>
        </w:rPr>
        <w:t>Making</w:t>
      </w:r>
      <w:r w:rsidR="00D80C48">
        <w:rPr>
          <w:rFonts w:cs="Times New Roman"/>
          <w:szCs w:val="24"/>
        </w:rPr>
        <w:t xml:space="preserve"> baseless and insupportable allegations of serious misconduct on the part of other prior to his or her admission is likely to get refusal of his application</w:t>
      </w:r>
    </w:p>
    <w:p w14:paraId="468FF765" w14:textId="30FC787E" w:rsidR="00833A0B" w:rsidRDefault="00833A0B" w:rsidP="00B21502">
      <w:pPr>
        <w:pStyle w:val="NoSpacing"/>
        <w:numPr>
          <w:ilvl w:val="2"/>
          <w:numId w:val="7"/>
        </w:numPr>
        <w:rPr>
          <w:rFonts w:cs="Times New Roman"/>
          <w:szCs w:val="24"/>
        </w:rPr>
      </w:pPr>
      <w:r w:rsidRPr="00833A0B">
        <w:rPr>
          <w:rFonts w:cs="Times New Roman"/>
          <w:i/>
          <w:szCs w:val="24"/>
        </w:rPr>
        <w:t>Wentworth v NSW Bar Association (unreported)</w:t>
      </w:r>
    </w:p>
    <w:p w14:paraId="60A75123" w14:textId="0DE0A3FA" w:rsidR="00833A0B" w:rsidRPr="0039276C" w:rsidRDefault="00833A0B" w:rsidP="00B21502">
      <w:pPr>
        <w:pStyle w:val="NoSpacing"/>
        <w:numPr>
          <w:ilvl w:val="2"/>
          <w:numId w:val="7"/>
        </w:numPr>
        <w:rPr>
          <w:rFonts w:cs="Times New Roman"/>
          <w:szCs w:val="24"/>
        </w:rPr>
      </w:pPr>
      <w:r w:rsidRPr="00833A0B">
        <w:rPr>
          <w:rFonts w:cs="Times New Roman"/>
          <w:i/>
          <w:szCs w:val="24"/>
        </w:rPr>
        <w:t>Re Bell</w:t>
      </w:r>
    </w:p>
    <w:p w14:paraId="630BE8F2" w14:textId="77777777" w:rsidR="0039276C" w:rsidRDefault="0039276C" w:rsidP="0039276C">
      <w:pPr>
        <w:pStyle w:val="NoSpacing"/>
        <w:ind w:left="2160"/>
        <w:rPr>
          <w:rFonts w:cs="Times New Roman"/>
          <w:szCs w:val="24"/>
        </w:rPr>
      </w:pPr>
    </w:p>
    <w:p w14:paraId="137AA4AB" w14:textId="768CF979" w:rsidR="0039276C" w:rsidRDefault="00DD1B18" w:rsidP="00B21502">
      <w:pPr>
        <w:pStyle w:val="NoSpacing"/>
        <w:numPr>
          <w:ilvl w:val="1"/>
          <w:numId w:val="7"/>
        </w:numPr>
        <w:rPr>
          <w:rFonts w:cs="Times New Roman"/>
          <w:szCs w:val="24"/>
        </w:rPr>
      </w:pPr>
      <w:r>
        <w:rPr>
          <w:rFonts w:cs="Times New Roman"/>
          <w:b/>
          <w:i/>
          <w:szCs w:val="24"/>
        </w:rPr>
        <w:t>Prior Law in Extra</w:t>
      </w:r>
      <w:r w:rsidR="00F97190">
        <w:rPr>
          <w:rFonts w:cs="Times New Roman"/>
          <w:b/>
          <w:i/>
          <w:szCs w:val="24"/>
        </w:rPr>
        <w:t>–</w:t>
      </w:r>
      <w:r>
        <w:rPr>
          <w:rFonts w:cs="Times New Roman"/>
          <w:b/>
          <w:i/>
          <w:szCs w:val="24"/>
        </w:rPr>
        <w:t xml:space="preserve">Jurisdiction </w:t>
      </w:r>
      <w:r>
        <w:rPr>
          <w:rFonts w:cs="Times New Roman"/>
          <w:szCs w:val="24"/>
        </w:rPr>
        <w:t xml:space="preserve">– </w:t>
      </w:r>
      <w:r w:rsidR="001C6B43">
        <w:rPr>
          <w:rFonts w:cs="Times New Roman"/>
          <w:szCs w:val="24"/>
        </w:rPr>
        <w:t>Where an applicant has been disciplined whilst practicing law elsewhere is directly relevant to his or her fame and character in an application for admission in a new Jurisdiction</w:t>
      </w:r>
    </w:p>
    <w:p w14:paraId="2EAD36D5" w14:textId="461D6085" w:rsidR="003E54F3" w:rsidRPr="003E54F3" w:rsidRDefault="003E54F3" w:rsidP="00B21502">
      <w:pPr>
        <w:pStyle w:val="NoSpacing"/>
        <w:numPr>
          <w:ilvl w:val="2"/>
          <w:numId w:val="7"/>
        </w:numPr>
        <w:rPr>
          <w:rFonts w:cs="Times New Roman"/>
          <w:szCs w:val="24"/>
        </w:rPr>
      </w:pPr>
      <w:r>
        <w:rPr>
          <w:rFonts w:cs="Times New Roman"/>
          <w:i/>
          <w:szCs w:val="24"/>
        </w:rPr>
        <w:t>Re Evatt</w:t>
      </w:r>
    </w:p>
    <w:p w14:paraId="4362F11B" w14:textId="77777777" w:rsidR="003E54F3" w:rsidRDefault="003E54F3" w:rsidP="003E54F3">
      <w:pPr>
        <w:pStyle w:val="NoSpacing"/>
        <w:ind w:left="2160"/>
        <w:rPr>
          <w:rFonts w:cs="Times New Roman"/>
          <w:szCs w:val="24"/>
        </w:rPr>
      </w:pPr>
    </w:p>
    <w:p w14:paraId="37F552D5" w14:textId="67360302" w:rsidR="00434FC1" w:rsidRDefault="00DD1B18" w:rsidP="00B21502">
      <w:pPr>
        <w:pStyle w:val="ListParagraph"/>
        <w:numPr>
          <w:ilvl w:val="1"/>
          <w:numId w:val="7"/>
        </w:numPr>
      </w:pPr>
      <w:r>
        <w:rPr>
          <w:b/>
          <w:i/>
        </w:rPr>
        <w:t>Prior Employment Anywhere</w:t>
      </w:r>
      <w:r>
        <w:t xml:space="preserve"> –</w:t>
      </w:r>
      <w:r>
        <w:rPr>
          <w:b/>
          <w:i/>
        </w:rPr>
        <w:t xml:space="preserve"> </w:t>
      </w:r>
      <w:r w:rsidR="00434FC1">
        <w:t xml:space="preserve">Improprieties in the course of practicing another profession, or pursuing another trade or occupation are also likely to be relevant particularly to the extent that they highlight aspects of the applicant’s character crucial to the practice of law. </w:t>
      </w:r>
    </w:p>
    <w:p w14:paraId="485AC0A3" w14:textId="0A7F53F7" w:rsidR="00434FC1" w:rsidRDefault="00434FC1" w:rsidP="00B21502">
      <w:pPr>
        <w:pStyle w:val="ListParagraph"/>
        <w:numPr>
          <w:ilvl w:val="2"/>
          <w:numId w:val="7"/>
        </w:numPr>
      </w:pPr>
      <w:r w:rsidRPr="00434FC1">
        <w:rPr>
          <w:i/>
        </w:rPr>
        <w:t>Re Hampton (2002)</w:t>
      </w:r>
    </w:p>
    <w:p w14:paraId="4901DC4C" w14:textId="77777777" w:rsidR="00AF08B9" w:rsidRDefault="00AF08B9" w:rsidP="00AF08B9"/>
    <w:p w14:paraId="693506CE" w14:textId="77777777" w:rsidR="00AF08B9" w:rsidRDefault="00AF08B9" w:rsidP="00AF08B9">
      <w:r w:rsidRPr="00AF08B9">
        <w:rPr>
          <w:i/>
        </w:rPr>
        <w:t>Re Hampton (2002)</w:t>
      </w:r>
    </w:p>
    <w:p w14:paraId="6B018A6B" w14:textId="630F849C" w:rsidR="006E7A72" w:rsidRPr="00434FC1" w:rsidRDefault="00AF08B9" w:rsidP="00AF08B9">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pPr>
      <w:r w:rsidRPr="00ED1E21">
        <w:t>Applicant’s nursing registration cancelled b/c he dealt inappropriately with female patients and also performed nursing services whilst not registered AND failed to candidly disclose these matters in his first application.</w:t>
      </w:r>
    </w:p>
    <w:p w14:paraId="51C4CF12" w14:textId="77777777" w:rsidR="00434FC1" w:rsidRDefault="00434FC1" w:rsidP="00EE6D5C">
      <w:pPr>
        <w:pStyle w:val="NoSpacing"/>
      </w:pPr>
    </w:p>
    <w:p w14:paraId="5BD89B91" w14:textId="77777777" w:rsidR="00353221" w:rsidRDefault="00353221" w:rsidP="00EE6D5C">
      <w:pPr>
        <w:pStyle w:val="NoSpacing"/>
      </w:pPr>
    </w:p>
    <w:p w14:paraId="1FD4FC78" w14:textId="77777777" w:rsidR="00353221" w:rsidRDefault="00353221" w:rsidP="00EE6D5C">
      <w:pPr>
        <w:pStyle w:val="NoSpacing"/>
      </w:pPr>
    </w:p>
    <w:p w14:paraId="48E6458F" w14:textId="77777777" w:rsidR="00353221" w:rsidRDefault="00353221" w:rsidP="00EE6D5C">
      <w:pPr>
        <w:pStyle w:val="NoSpacing"/>
      </w:pPr>
    </w:p>
    <w:p w14:paraId="4507611B" w14:textId="77777777" w:rsidR="00353221" w:rsidRDefault="00353221" w:rsidP="00EE6D5C">
      <w:pPr>
        <w:pStyle w:val="NoSpacing"/>
      </w:pPr>
    </w:p>
    <w:p w14:paraId="472520B3" w14:textId="77777777" w:rsidR="00353221" w:rsidRDefault="00353221" w:rsidP="00EE6D5C">
      <w:pPr>
        <w:pStyle w:val="NoSpacing"/>
      </w:pPr>
    </w:p>
    <w:p w14:paraId="76644F56" w14:textId="77777777" w:rsidR="00353221" w:rsidRDefault="00353221" w:rsidP="00EE6D5C">
      <w:pPr>
        <w:pStyle w:val="NoSpacing"/>
      </w:pPr>
    </w:p>
    <w:p w14:paraId="2083D3FB" w14:textId="77777777" w:rsidR="00846E47" w:rsidRDefault="00846E47" w:rsidP="00A77706">
      <w:pPr>
        <w:pStyle w:val="NoSpacing"/>
        <w:rPr>
          <w:rFonts w:cs="Times New Roman"/>
          <w:szCs w:val="24"/>
        </w:rPr>
      </w:pPr>
    </w:p>
    <w:p w14:paraId="7C680BE3" w14:textId="77777777" w:rsidR="00846E47" w:rsidRDefault="00846E47" w:rsidP="00A77706">
      <w:pPr>
        <w:pStyle w:val="NoSpacing"/>
        <w:rPr>
          <w:rFonts w:cs="Times New Roman"/>
          <w:szCs w:val="24"/>
        </w:rPr>
      </w:pPr>
    </w:p>
    <w:p w14:paraId="3E9CFD26" w14:textId="77777777" w:rsidR="00846E47" w:rsidRDefault="00846E47" w:rsidP="00A77706">
      <w:pPr>
        <w:pStyle w:val="NoSpacing"/>
        <w:rPr>
          <w:rFonts w:cs="Times New Roman"/>
          <w:szCs w:val="24"/>
        </w:rPr>
      </w:pPr>
    </w:p>
    <w:p w14:paraId="27A8740C" w14:textId="77777777" w:rsidR="00846E47" w:rsidRDefault="00846E47" w:rsidP="00A77706">
      <w:pPr>
        <w:pStyle w:val="NoSpacing"/>
        <w:rPr>
          <w:rFonts w:cs="Times New Roman"/>
          <w:szCs w:val="24"/>
        </w:rPr>
      </w:pPr>
    </w:p>
    <w:p w14:paraId="0478B0A7" w14:textId="77777777" w:rsidR="00846E47" w:rsidRDefault="00846E47" w:rsidP="00A77706">
      <w:pPr>
        <w:pStyle w:val="NoSpacing"/>
        <w:rPr>
          <w:rFonts w:cs="Times New Roman"/>
          <w:szCs w:val="24"/>
        </w:rPr>
      </w:pPr>
    </w:p>
    <w:p w14:paraId="251DA44D" w14:textId="77777777" w:rsidR="00846E47" w:rsidRDefault="00846E47" w:rsidP="00A77706">
      <w:pPr>
        <w:pStyle w:val="NoSpacing"/>
        <w:rPr>
          <w:rFonts w:cs="Times New Roman"/>
          <w:szCs w:val="24"/>
        </w:rPr>
      </w:pPr>
    </w:p>
    <w:p w14:paraId="7D34E932" w14:textId="77777777" w:rsidR="00846E47" w:rsidRDefault="00846E47" w:rsidP="00A77706">
      <w:pPr>
        <w:pStyle w:val="NoSpacing"/>
        <w:rPr>
          <w:rFonts w:cs="Times New Roman"/>
          <w:szCs w:val="24"/>
        </w:rPr>
      </w:pPr>
    </w:p>
    <w:p w14:paraId="37807ECE" w14:textId="69C33D8A" w:rsidR="006A413F" w:rsidRPr="00047B8C" w:rsidRDefault="00846E47" w:rsidP="006A413F">
      <w:pPr>
        <w:pStyle w:val="NoSpacing"/>
        <w:rPr>
          <w:rFonts w:cs="Times New Roman"/>
          <w:b/>
          <w:szCs w:val="24"/>
          <w:u w:val="single"/>
        </w:rPr>
      </w:pPr>
      <w:r>
        <w:rPr>
          <w:rFonts w:cs="Times New Roman"/>
          <w:b/>
          <w:i/>
          <w:szCs w:val="24"/>
          <w:u w:val="single"/>
        </w:rPr>
        <w:lastRenderedPageBreak/>
        <w:t>**</w:t>
      </w:r>
      <w:r w:rsidR="00FB38F9" w:rsidRPr="00047B8C">
        <w:rPr>
          <w:rFonts w:cs="Times New Roman"/>
          <w:b/>
          <w:i/>
          <w:szCs w:val="24"/>
          <w:u w:val="single"/>
        </w:rPr>
        <w:t>*</w:t>
      </w:r>
      <w:r>
        <w:rPr>
          <w:rFonts w:cs="Times New Roman"/>
          <w:b/>
          <w:i/>
          <w:szCs w:val="24"/>
          <w:u w:val="single"/>
        </w:rPr>
        <w:t>IMPORTANT**</w:t>
      </w:r>
      <w:r w:rsidR="00FB38F9" w:rsidRPr="00047B8C">
        <w:rPr>
          <w:rFonts w:cs="Times New Roman"/>
          <w:b/>
          <w:i/>
          <w:szCs w:val="24"/>
          <w:u w:val="single"/>
        </w:rPr>
        <w:t>*</w:t>
      </w:r>
      <w:r w:rsidR="00EA6510" w:rsidRPr="00047B8C">
        <w:rPr>
          <w:rFonts w:cs="Times New Roman"/>
          <w:b/>
          <w:i/>
          <w:szCs w:val="24"/>
          <w:u w:val="single"/>
        </w:rPr>
        <w:t>Non</w:t>
      </w:r>
      <w:r w:rsidR="00F97190" w:rsidRPr="00047B8C">
        <w:rPr>
          <w:rFonts w:cs="Times New Roman"/>
          <w:b/>
          <w:i/>
          <w:szCs w:val="24"/>
          <w:u w:val="single"/>
        </w:rPr>
        <w:t>–</w:t>
      </w:r>
      <w:r w:rsidR="00EA6510" w:rsidRPr="00047B8C">
        <w:rPr>
          <w:rFonts w:cs="Times New Roman"/>
          <w:b/>
          <w:i/>
          <w:szCs w:val="24"/>
          <w:u w:val="single"/>
        </w:rPr>
        <w:t>disclosure of Prior Impropriety</w:t>
      </w:r>
      <w:r w:rsidR="006A413F" w:rsidRPr="00C23039">
        <w:rPr>
          <w:rFonts w:cs="Times New Roman"/>
          <w:szCs w:val="24"/>
        </w:rPr>
        <w:t xml:space="preserve"> </w:t>
      </w:r>
      <w:r w:rsidR="00C23039" w:rsidRPr="00C23039">
        <w:rPr>
          <w:rFonts w:cs="Times New Roman"/>
          <w:szCs w:val="24"/>
        </w:rPr>
        <w:t xml:space="preserve">– </w:t>
      </w:r>
      <w:proofErr w:type="gramStart"/>
      <w:r w:rsidR="00C23039" w:rsidRPr="00C23039">
        <w:rPr>
          <w:rFonts w:cs="Times New Roman"/>
          <w:i/>
          <w:szCs w:val="24"/>
        </w:rPr>
        <w:t>s2.3.6(</w:t>
      </w:r>
      <w:proofErr w:type="gramEnd"/>
      <w:r w:rsidR="00C23039" w:rsidRPr="00C23039">
        <w:rPr>
          <w:rFonts w:cs="Times New Roman"/>
          <w:i/>
          <w:szCs w:val="24"/>
        </w:rPr>
        <w:t>1)(a)(ii) LPA</w:t>
      </w:r>
    </w:p>
    <w:p w14:paraId="35F9495E" w14:textId="77777777" w:rsidR="006A413F" w:rsidRDefault="006A413F" w:rsidP="00A77706">
      <w:pPr>
        <w:pStyle w:val="NoSpacing"/>
        <w:rPr>
          <w:rFonts w:cs="Times New Roman"/>
          <w:szCs w:val="24"/>
        </w:rPr>
      </w:pPr>
    </w:p>
    <w:p w14:paraId="5D5EEF82" w14:textId="3486F922" w:rsidR="00CC4F9D" w:rsidRDefault="00CC4F9D" w:rsidP="00A77706">
      <w:pPr>
        <w:pStyle w:val="NoSpacing"/>
        <w:rPr>
          <w:rFonts w:cs="Times New Roman"/>
          <w:szCs w:val="24"/>
        </w:rPr>
      </w:pPr>
      <w:r>
        <w:rPr>
          <w:rFonts w:cs="Times New Roman"/>
          <w:szCs w:val="24"/>
        </w:rPr>
        <w:t xml:space="preserve">The court relies heavily on the </w:t>
      </w:r>
      <w:r w:rsidR="00BC4CC7">
        <w:rPr>
          <w:rFonts w:cs="Times New Roman"/>
          <w:szCs w:val="24"/>
        </w:rPr>
        <w:t>advice</w:t>
      </w:r>
      <w:r>
        <w:rPr>
          <w:rFonts w:cs="Times New Roman"/>
          <w:szCs w:val="24"/>
        </w:rPr>
        <w:t xml:space="preserve"> of the admission board in making its determination as to an applicant’s fame and character.</w:t>
      </w:r>
    </w:p>
    <w:p w14:paraId="72E3078C" w14:textId="77777777" w:rsidR="00372B60" w:rsidRDefault="00372B60" w:rsidP="00A77706">
      <w:pPr>
        <w:pStyle w:val="NoSpacing"/>
        <w:rPr>
          <w:rFonts w:cs="Times New Roman"/>
          <w:szCs w:val="24"/>
        </w:rPr>
      </w:pPr>
    </w:p>
    <w:p w14:paraId="09239BDD" w14:textId="276347C2" w:rsidR="00372B60" w:rsidRDefault="00372B60" w:rsidP="00B21502">
      <w:pPr>
        <w:numPr>
          <w:ilvl w:val="0"/>
          <w:numId w:val="10"/>
        </w:numPr>
      </w:pPr>
      <w:r w:rsidRPr="00372B60">
        <w:rPr>
          <w:b/>
          <w:i/>
        </w:rPr>
        <w:t xml:space="preserve">Good character is more weighted than fame in relation to </w:t>
      </w:r>
      <w:proofErr w:type="spellStart"/>
      <w:r w:rsidR="00122350" w:rsidRPr="00372B60">
        <w:rPr>
          <w:b/>
          <w:i/>
        </w:rPr>
        <w:t>cando</w:t>
      </w:r>
      <w:r w:rsidR="00122350">
        <w:rPr>
          <w:b/>
          <w:i/>
        </w:rPr>
        <w:t>u</w:t>
      </w:r>
      <w:r w:rsidR="00122350" w:rsidRPr="00372B60">
        <w:rPr>
          <w:b/>
          <w:i/>
        </w:rPr>
        <w:t>r</w:t>
      </w:r>
      <w:proofErr w:type="spellEnd"/>
      <w:r>
        <w:t xml:space="preserve"> –</w:t>
      </w:r>
      <w:r w:rsidRPr="00372B60">
        <w:t xml:space="preserve"> </w:t>
      </w:r>
      <w:r w:rsidR="00D64F63">
        <w:t xml:space="preserve">Candid and </w:t>
      </w:r>
      <w:r w:rsidR="006554A4">
        <w:t>comprehensive</w:t>
      </w:r>
      <w:r w:rsidR="00D64F63">
        <w:t xml:space="preserve"> disclosure of relevant information and a demonstration of a proper perspective of duty </w:t>
      </w:r>
      <w:proofErr w:type="gramStart"/>
      <w:r w:rsidR="00D64F63">
        <w:t>demonstrates</w:t>
      </w:r>
      <w:proofErr w:type="gramEnd"/>
      <w:r w:rsidR="00D64F63">
        <w:t xml:space="preserve"> good character.</w:t>
      </w:r>
    </w:p>
    <w:p w14:paraId="7C7577B3" w14:textId="417DFB20" w:rsidR="00D64F63" w:rsidRPr="00E03B46" w:rsidRDefault="00D64F63" w:rsidP="00D64F63">
      <w:pPr>
        <w:numPr>
          <w:ilvl w:val="1"/>
          <w:numId w:val="10"/>
        </w:numPr>
      </w:pPr>
      <w:r w:rsidRPr="00E03B46">
        <w:rPr>
          <w:i/>
        </w:rPr>
        <w:t>Thomas v Legal Practitioners Admission Board</w:t>
      </w:r>
    </w:p>
    <w:p w14:paraId="01A29B2A" w14:textId="77777777" w:rsidR="001D44FD" w:rsidRPr="001D44FD" w:rsidRDefault="001D44FD" w:rsidP="001D44FD">
      <w:pPr>
        <w:ind w:left="720"/>
      </w:pPr>
    </w:p>
    <w:p w14:paraId="2D31D226" w14:textId="7BB1C7CC" w:rsidR="0015382F" w:rsidRPr="0015382F" w:rsidRDefault="001D44FD" w:rsidP="00B21502">
      <w:pPr>
        <w:numPr>
          <w:ilvl w:val="0"/>
          <w:numId w:val="10"/>
        </w:numPr>
      </w:pPr>
      <w:r w:rsidRPr="001D44FD">
        <w:rPr>
          <w:b/>
          <w:i/>
        </w:rPr>
        <w:t>Refusing to confess to past errors and recant</w:t>
      </w:r>
      <w:r>
        <w:t xml:space="preserve"> –</w:t>
      </w:r>
      <w:r w:rsidR="0015382F">
        <w:t xml:space="preserve"> </w:t>
      </w:r>
      <w:r w:rsidR="0015382F" w:rsidRPr="0015382F">
        <w:rPr>
          <w:i/>
        </w:rPr>
        <w:t>Re Davis;</w:t>
      </w:r>
      <w:r w:rsidR="0015382F" w:rsidRPr="0015382F">
        <w:t xml:space="preserve"> </w:t>
      </w:r>
      <w:r w:rsidR="0015382F" w:rsidRPr="0015382F">
        <w:rPr>
          <w:i/>
        </w:rPr>
        <w:t xml:space="preserve">Ex Parte </w:t>
      </w:r>
      <w:proofErr w:type="spellStart"/>
      <w:r w:rsidR="0015382F" w:rsidRPr="0015382F">
        <w:rPr>
          <w:i/>
        </w:rPr>
        <w:t>Lenehan</w:t>
      </w:r>
      <w:proofErr w:type="spellEnd"/>
      <w:r w:rsidR="0015382F" w:rsidRPr="0015382F">
        <w:rPr>
          <w:i/>
        </w:rPr>
        <w:t>;  Wentworth</w:t>
      </w:r>
    </w:p>
    <w:p w14:paraId="1B77C4C4" w14:textId="30738B1A" w:rsidR="001D44FD" w:rsidRPr="001D44FD" w:rsidRDefault="005B1607" w:rsidP="00B21502">
      <w:pPr>
        <w:numPr>
          <w:ilvl w:val="1"/>
          <w:numId w:val="10"/>
        </w:numPr>
      </w:pPr>
      <w:r w:rsidRPr="00833A0B">
        <w:rPr>
          <w:i/>
        </w:rPr>
        <w:t xml:space="preserve">Wentworth v NSW Bar Association </w:t>
      </w:r>
      <w:r w:rsidR="001F7B9B">
        <w:t xml:space="preserve">– </w:t>
      </w:r>
      <w:r w:rsidR="001D44FD" w:rsidRPr="001D44FD">
        <w:t xml:space="preserve"> the plaintiff habitually made “grave allegations” against people w/o proper foundation in a long chain of litigation, which was not consistent with good character</w:t>
      </w:r>
    </w:p>
    <w:p w14:paraId="6D2344FD" w14:textId="77777777" w:rsidR="001D44FD" w:rsidRDefault="001D44FD" w:rsidP="001D44FD">
      <w:pPr>
        <w:ind w:left="720"/>
      </w:pPr>
    </w:p>
    <w:p w14:paraId="1B743430" w14:textId="7B1A5F4B" w:rsidR="00D3779A" w:rsidRDefault="00E92FFC" w:rsidP="007B0B47">
      <w:pPr>
        <w:numPr>
          <w:ilvl w:val="1"/>
          <w:numId w:val="10"/>
        </w:numPr>
      </w:pPr>
      <w:r>
        <w:rPr>
          <w:i/>
        </w:rPr>
        <w:t>Dishonesty &amp; denial weighted most heavily –</w:t>
      </w:r>
      <w:r w:rsidR="00FF1D27">
        <w:rPr>
          <w:i/>
        </w:rPr>
        <w:t xml:space="preserve"> </w:t>
      </w:r>
      <w:r w:rsidR="00917C8B">
        <w:t xml:space="preserve">The Court considers dishonesty most seriously and if </w:t>
      </w:r>
      <w:proofErr w:type="spellStart"/>
      <w:proofErr w:type="gramStart"/>
      <w:r w:rsidR="00917C8B">
        <w:t>a</w:t>
      </w:r>
      <w:proofErr w:type="spellEnd"/>
      <w:proofErr w:type="gramEnd"/>
      <w:r w:rsidR="00917C8B">
        <w:t xml:space="preserve"> applicant knowingly conceals or denies allegations or attempts to downplay their serious – this is direct evidence of unsuitability.</w:t>
      </w:r>
    </w:p>
    <w:p w14:paraId="3DC6C911" w14:textId="39FA2534" w:rsidR="00917C8B" w:rsidRPr="00CA2E49" w:rsidRDefault="009D3AB0" w:rsidP="00917C8B">
      <w:pPr>
        <w:numPr>
          <w:ilvl w:val="2"/>
          <w:numId w:val="10"/>
        </w:numPr>
      </w:pPr>
      <w:r>
        <w:rPr>
          <w:i/>
        </w:rPr>
        <w:t>Thomas v Legal Practitioners Admission Board</w:t>
      </w:r>
    </w:p>
    <w:p w14:paraId="7BD5CED3" w14:textId="77777777" w:rsidR="00CA2E49" w:rsidRDefault="00CA2E49" w:rsidP="00CA2E49">
      <w:pPr>
        <w:pStyle w:val="ListParagraph"/>
      </w:pPr>
    </w:p>
    <w:p w14:paraId="2390BAAD" w14:textId="77777777" w:rsidR="007A5656" w:rsidRDefault="0015382F" w:rsidP="00B21502">
      <w:pPr>
        <w:numPr>
          <w:ilvl w:val="1"/>
          <w:numId w:val="10"/>
        </w:numPr>
      </w:pPr>
      <w:r w:rsidRPr="0015382F">
        <w:t xml:space="preserve">Although a lack of </w:t>
      </w:r>
      <w:proofErr w:type="spellStart"/>
      <w:r w:rsidRPr="0015382F">
        <w:t>candour</w:t>
      </w:r>
      <w:proofErr w:type="spellEnd"/>
      <w:r w:rsidRPr="0015382F">
        <w:t xml:space="preserve"> would be bar to admission, full disclosure does not guarantee admission especially if there is co</w:t>
      </w:r>
      <w:r w:rsidR="007A5656">
        <w:t>nsistent history of dishonesty –</w:t>
      </w:r>
    </w:p>
    <w:p w14:paraId="434DFF93" w14:textId="3F0372A3" w:rsidR="0015382F" w:rsidRPr="00E16CD2" w:rsidRDefault="0015382F" w:rsidP="00AB5F74">
      <w:pPr>
        <w:numPr>
          <w:ilvl w:val="2"/>
          <w:numId w:val="10"/>
        </w:numPr>
        <w:rPr>
          <w:i/>
        </w:rPr>
      </w:pPr>
      <w:proofErr w:type="spellStart"/>
      <w:r w:rsidRPr="00E16CD2">
        <w:rPr>
          <w:i/>
        </w:rPr>
        <w:t>Frugtniet</w:t>
      </w:r>
      <w:proofErr w:type="spellEnd"/>
      <w:r w:rsidRPr="00E16CD2">
        <w:rPr>
          <w:i/>
        </w:rPr>
        <w:t xml:space="preserve"> v Board of Examiners</w:t>
      </w:r>
    </w:p>
    <w:p w14:paraId="6BBF600C" w14:textId="77777777" w:rsidR="000420A1" w:rsidRDefault="000420A1" w:rsidP="000420A1">
      <w:pPr>
        <w:ind w:left="720"/>
      </w:pPr>
    </w:p>
    <w:p w14:paraId="22529434" w14:textId="087EB7F2" w:rsidR="0015382F" w:rsidRPr="0015382F" w:rsidRDefault="00F5789F" w:rsidP="00B21502">
      <w:pPr>
        <w:numPr>
          <w:ilvl w:val="1"/>
          <w:numId w:val="10"/>
        </w:numPr>
      </w:pPr>
      <w:r>
        <w:rPr>
          <w:i/>
        </w:rPr>
        <w:t>Remorse and Co</w:t>
      </w:r>
      <w:r w:rsidR="00F97190">
        <w:rPr>
          <w:i/>
        </w:rPr>
        <w:t>–</w:t>
      </w:r>
      <w:r>
        <w:rPr>
          <w:i/>
        </w:rPr>
        <w:t xml:space="preserve">operation – </w:t>
      </w:r>
      <w:r w:rsidR="0015382F" w:rsidRPr="0015382F">
        <w:t>The need for remorse, cooperation with the authorities and rehabilitation is highly subjective requirement that is present in both the admission and disciplinary context.</w:t>
      </w:r>
    </w:p>
    <w:p w14:paraId="550C54A6" w14:textId="554EDFAB" w:rsidR="0015382F" w:rsidRPr="0015382F" w:rsidRDefault="008C6ED0" w:rsidP="00B21502">
      <w:pPr>
        <w:numPr>
          <w:ilvl w:val="2"/>
          <w:numId w:val="10"/>
        </w:numPr>
      </w:pPr>
      <w:r>
        <w:rPr>
          <w:i/>
        </w:rPr>
        <w:t xml:space="preserve">Arrogance </w:t>
      </w:r>
      <w:proofErr w:type="spellStart"/>
      <w:r>
        <w:rPr>
          <w:i/>
        </w:rPr>
        <w:t>etc</w:t>
      </w:r>
      <w:proofErr w:type="spellEnd"/>
      <w:r>
        <w:rPr>
          <w:i/>
        </w:rPr>
        <w:t xml:space="preserve"> – </w:t>
      </w:r>
      <w:r w:rsidR="0015382F" w:rsidRPr="0015382F">
        <w:t>An attitude of rudeness, arrogance, argumentativeness, or unwillingness to accept that you have done wrong and the unwillingness to change your ways, can lead to being denied admission.</w:t>
      </w:r>
    </w:p>
    <w:p w14:paraId="62D8A4C3" w14:textId="53453165" w:rsidR="0056760F" w:rsidRDefault="0015382F" w:rsidP="00B21502">
      <w:pPr>
        <w:numPr>
          <w:ilvl w:val="2"/>
          <w:numId w:val="10"/>
        </w:numPr>
      </w:pPr>
      <w:r w:rsidRPr="0015382F">
        <w:t>It is inadvisable for an applicant to argue that what they did was correct or was an expression of high ideal or to protect innocence</w:t>
      </w:r>
    </w:p>
    <w:p w14:paraId="2B9C1527" w14:textId="77777777" w:rsidR="001875EC" w:rsidRDefault="001875EC" w:rsidP="001875EC"/>
    <w:p w14:paraId="2DD699C9" w14:textId="58EA6F46" w:rsidR="00884B5C" w:rsidRPr="00122350" w:rsidRDefault="00DB782D" w:rsidP="00B21502">
      <w:pPr>
        <w:pStyle w:val="NoSpacing"/>
        <w:numPr>
          <w:ilvl w:val="0"/>
          <w:numId w:val="10"/>
        </w:numPr>
        <w:rPr>
          <w:u w:val="single"/>
        </w:rPr>
      </w:pPr>
      <w:r>
        <w:rPr>
          <w:b/>
          <w:i/>
          <w:u w:val="single"/>
        </w:rPr>
        <w:t xml:space="preserve">CANDOUR – </w:t>
      </w:r>
      <w:r w:rsidR="0073645D" w:rsidRPr="00122350">
        <w:rPr>
          <w:b/>
          <w:i/>
          <w:u w:val="single"/>
        </w:rPr>
        <w:t>Dishonesty – importance of complete candour and disclosure</w:t>
      </w:r>
      <w:r w:rsidR="004F3A43">
        <w:rPr>
          <w:b/>
          <w:i/>
          <w:u w:val="single"/>
        </w:rPr>
        <w:t xml:space="preserve"> </w:t>
      </w:r>
      <w:r w:rsidR="004F3A43" w:rsidRPr="00C23039">
        <w:rPr>
          <w:rFonts w:cs="Times New Roman"/>
          <w:i/>
          <w:szCs w:val="24"/>
        </w:rPr>
        <w:t>s2.3.6(1)(a)(ii) LPA</w:t>
      </w:r>
    </w:p>
    <w:p w14:paraId="1CD68073" w14:textId="77777777" w:rsidR="00884B5C" w:rsidRDefault="00884B5C" w:rsidP="00884B5C">
      <w:pPr>
        <w:pStyle w:val="ListParagraph"/>
      </w:pPr>
    </w:p>
    <w:p w14:paraId="6F0411F8" w14:textId="7FBB53EE" w:rsidR="00884B5C" w:rsidRDefault="00E62AF5" w:rsidP="00B21502">
      <w:pPr>
        <w:pStyle w:val="NoSpacing"/>
        <w:numPr>
          <w:ilvl w:val="1"/>
          <w:numId w:val="12"/>
        </w:numPr>
      </w:pPr>
      <w:r>
        <w:rPr>
          <w:i/>
        </w:rPr>
        <w:t>Non</w:t>
      </w:r>
      <w:r w:rsidR="00F97190">
        <w:rPr>
          <w:i/>
        </w:rPr>
        <w:t>–</w:t>
      </w:r>
      <w:r>
        <w:rPr>
          <w:i/>
        </w:rPr>
        <w:t xml:space="preserve">Disclosure </w:t>
      </w:r>
      <w:r w:rsidR="00CF0954">
        <w:rPr>
          <w:i/>
        </w:rPr>
        <w:t xml:space="preserve">Prevent Admission – </w:t>
      </w:r>
      <w:r w:rsidR="0073645D" w:rsidRPr="0073645D">
        <w:t>A failure to disclose certain conduct has the capacity to prevent admission even though the conduct, had it been fully and candidly disclosed, would not necessarily have prevented admission.</w:t>
      </w:r>
    </w:p>
    <w:p w14:paraId="1B941D3E" w14:textId="15162A22" w:rsidR="000333D1" w:rsidRPr="00CE74CC" w:rsidRDefault="000333D1" w:rsidP="00B21502">
      <w:pPr>
        <w:pStyle w:val="NoSpacing"/>
        <w:numPr>
          <w:ilvl w:val="2"/>
          <w:numId w:val="12"/>
        </w:numPr>
      </w:pPr>
      <w:r>
        <w:rPr>
          <w:rFonts w:cs="Times New Roman"/>
          <w:szCs w:val="24"/>
        </w:rPr>
        <w:t>‘Candour’ is crucial because of the heavy reliance placed on an applicant’s assertions and explains why applicants should err on the side of “excessive disclosure”.</w:t>
      </w:r>
    </w:p>
    <w:p w14:paraId="11687290" w14:textId="77777777" w:rsidR="00CC69AB" w:rsidRPr="00CC69AB" w:rsidRDefault="00CC69AB" w:rsidP="00CC69AB">
      <w:pPr>
        <w:pStyle w:val="NoSpacing"/>
        <w:ind w:left="2160"/>
      </w:pPr>
    </w:p>
    <w:p w14:paraId="0CF92D93" w14:textId="3984FA11" w:rsidR="00CE74CC" w:rsidRPr="00CC69AB" w:rsidRDefault="00CE74CC" w:rsidP="00B21502">
      <w:pPr>
        <w:pStyle w:val="NoSpacing"/>
        <w:numPr>
          <w:ilvl w:val="2"/>
          <w:numId w:val="12"/>
        </w:numPr>
      </w:pPr>
      <w:r w:rsidRPr="00F007EB">
        <w:rPr>
          <w:rFonts w:cs="Times New Roman"/>
          <w:b/>
          <w:szCs w:val="24"/>
        </w:rPr>
        <w:t>Non</w:t>
      </w:r>
      <w:r w:rsidR="00F97190">
        <w:rPr>
          <w:rFonts w:cs="Times New Roman"/>
          <w:b/>
          <w:szCs w:val="24"/>
        </w:rPr>
        <w:t>–</w:t>
      </w:r>
      <w:r w:rsidRPr="00F007EB">
        <w:rPr>
          <w:rFonts w:cs="Times New Roman"/>
          <w:b/>
          <w:szCs w:val="24"/>
        </w:rPr>
        <w:t>disclosure</w:t>
      </w:r>
      <w:r>
        <w:rPr>
          <w:rFonts w:cs="Times New Roman"/>
          <w:szCs w:val="24"/>
        </w:rPr>
        <w:t xml:space="preserve"> is the main basis of substantiating a lack of good fame and character, for it evidences a lack of the candour and honesty the court expects of a practicing </w:t>
      </w:r>
      <w:proofErr w:type="spellStart"/>
      <w:r>
        <w:rPr>
          <w:rFonts w:cs="Times New Roman"/>
          <w:szCs w:val="24"/>
        </w:rPr>
        <w:t>lawy</w:t>
      </w:r>
      <w:proofErr w:type="spellEnd"/>
      <w:r>
        <w:rPr>
          <w:rFonts w:cs="Times New Roman"/>
          <w:szCs w:val="24"/>
        </w:rPr>
        <w:t xml:space="preserve"> – </w:t>
      </w:r>
      <w:r>
        <w:rPr>
          <w:rFonts w:cs="Times New Roman"/>
          <w:i/>
          <w:szCs w:val="24"/>
        </w:rPr>
        <w:t>Law Society Tasmania v Scott</w:t>
      </w:r>
    </w:p>
    <w:p w14:paraId="653FC26E" w14:textId="77777777" w:rsidR="00CC69AB" w:rsidRDefault="00CC69AB" w:rsidP="00CC69AB">
      <w:pPr>
        <w:pStyle w:val="ListParagraph"/>
      </w:pPr>
    </w:p>
    <w:p w14:paraId="25BADB0C" w14:textId="07674F73" w:rsidR="00DE3DF1" w:rsidRDefault="00CC69AB" w:rsidP="00B21502">
      <w:pPr>
        <w:pStyle w:val="NoSpacing"/>
        <w:numPr>
          <w:ilvl w:val="2"/>
          <w:numId w:val="12"/>
        </w:numPr>
      </w:pPr>
      <w:r>
        <w:rPr>
          <w:i/>
        </w:rPr>
        <w:t xml:space="preserve">Oversights </w:t>
      </w:r>
      <w:r>
        <w:t xml:space="preserve">– </w:t>
      </w:r>
      <w:r>
        <w:rPr>
          <w:rFonts w:cs="Times New Roman"/>
          <w:szCs w:val="24"/>
        </w:rPr>
        <w:t xml:space="preserve">Where its oversight or genuine mistake courts might be more inclined to downplay its seriousness. Where the applicant acts in </w:t>
      </w:r>
      <w:r>
        <w:rPr>
          <w:rFonts w:cs="Times New Roman"/>
          <w:szCs w:val="24"/>
        </w:rPr>
        <w:lastRenderedPageBreak/>
        <w:t>accordance with advice from an informed person in not making a particular disclosure though relevant is unlikely to be decisive</w:t>
      </w:r>
    </w:p>
    <w:p w14:paraId="6EFFC544" w14:textId="215FAD58" w:rsidR="00CC69AB" w:rsidRPr="00DE3DF1" w:rsidRDefault="00CC69AB" w:rsidP="00B21502">
      <w:pPr>
        <w:pStyle w:val="NoSpacing"/>
        <w:numPr>
          <w:ilvl w:val="3"/>
          <w:numId w:val="12"/>
        </w:numPr>
      </w:pPr>
      <w:r w:rsidRPr="00DE3DF1">
        <w:rPr>
          <w:i/>
        </w:rPr>
        <w:t xml:space="preserve"> </w:t>
      </w:r>
      <w:r w:rsidR="00DE3DF1" w:rsidRPr="00DE3DF1">
        <w:rPr>
          <w:rFonts w:cs="Times New Roman"/>
          <w:i/>
          <w:szCs w:val="24"/>
        </w:rPr>
        <w:t>Re Del Castillo</w:t>
      </w:r>
      <w:r w:rsidR="00DE3DF1">
        <w:rPr>
          <w:rFonts w:cs="Times New Roman"/>
          <w:i/>
          <w:szCs w:val="24"/>
        </w:rPr>
        <w:t xml:space="preserve"> (1998)</w:t>
      </w:r>
    </w:p>
    <w:p w14:paraId="32CA623A" w14:textId="1DB80B53" w:rsidR="00CF0954" w:rsidRDefault="00CF0954" w:rsidP="000333D1">
      <w:pPr>
        <w:pStyle w:val="NoSpacing"/>
        <w:ind w:left="1440"/>
      </w:pPr>
    </w:p>
    <w:p w14:paraId="35FE3A8D" w14:textId="1DEF6EEE" w:rsidR="00D114DA" w:rsidRDefault="005E5E1C" w:rsidP="00B21502">
      <w:pPr>
        <w:pStyle w:val="NoSpacing"/>
        <w:numPr>
          <w:ilvl w:val="1"/>
          <w:numId w:val="12"/>
        </w:numPr>
      </w:pPr>
      <w:r>
        <w:rPr>
          <w:rFonts w:cs="Times New Roman"/>
          <w:i/>
          <w:szCs w:val="24"/>
        </w:rPr>
        <w:t xml:space="preserve">Full Disclosure demonstrates Fame/Character – </w:t>
      </w:r>
      <w:r w:rsidR="00D114DA">
        <w:rPr>
          <w:rFonts w:cs="Times New Roman"/>
          <w:szCs w:val="24"/>
        </w:rPr>
        <w:t>By providing a candid and comprehensive disclosure of relevant information an applicant demonstrates a proper perception of his or her duty, and thereby seeks to demonstrate good character</w:t>
      </w:r>
    </w:p>
    <w:p w14:paraId="44DC69A9" w14:textId="60109C61" w:rsidR="00884B5C" w:rsidRDefault="009455DA" w:rsidP="00B21502">
      <w:pPr>
        <w:pStyle w:val="NoSpacing"/>
        <w:numPr>
          <w:ilvl w:val="2"/>
          <w:numId w:val="12"/>
        </w:numPr>
      </w:pPr>
      <w:r>
        <w:rPr>
          <w:i/>
        </w:rPr>
        <w:t xml:space="preserve">Restoring good fame/character – </w:t>
      </w:r>
      <w:r w:rsidR="0073645D" w:rsidRPr="0073645D">
        <w:t>Its purpose is to assess an applicant’s assertion that he/she has restored good fame and character by subsequent meritorious behaviour.</w:t>
      </w:r>
    </w:p>
    <w:p w14:paraId="56CE5D2C" w14:textId="77777777" w:rsidR="00884B5C" w:rsidRDefault="00884B5C" w:rsidP="00884B5C">
      <w:pPr>
        <w:pStyle w:val="ListParagraph"/>
      </w:pPr>
    </w:p>
    <w:p w14:paraId="72AE056E" w14:textId="5A935450" w:rsidR="00884B5C" w:rsidRDefault="0073645D" w:rsidP="00884B5C">
      <w:pPr>
        <w:pStyle w:val="NoSpacing"/>
      </w:pPr>
      <w:r w:rsidRPr="00884B5C">
        <w:rPr>
          <w:i/>
        </w:rPr>
        <w:t>Thomas v Legal Practitioners Admission Board</w:t>
      </w:r>
    </w:p>
    <w:p w14:paraId="169EB963" w14:textId="4CE64D61" w:rsidR="00884B5C" w:rsidRDefault="0046738A" w:rsidP="0046738A">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pPr>
      <w:r>
        <w:t>A</w:t>
      </w:r>
      <w:r w:rsidR="0073645D" w:rsidRPr="0073645D">
        <w:t xml:space="preserve">ppellant had not fully disclosed his misappropriation of funds from an employer. The offence occurred, 7 years earlier when he was 20 years old, can be explained away that he had financial </w:t>
      </w:r>
      <w:proofErr w:type="gramStart"/>
      <w:r w:rsidR="0073645D" w:rsidRPr="0073645D">
        <w:t>pressures,</w:t>
      </w:r>
      <w:proofErr w:type="gramEnd"/>
      <w:r w:rsidR="0073645D" w:rsidRPr="0073645D">
        <w:t xml:space="preserve"> he pleaded guilty and repaid the stolen money, had since been involved in business handling money.</w:t>
      </w:r>
    </w:p>
    <w:p w14:paraId="51EF079E" w14:textId="5B062AA4" w:rsidR="0073645D" w:rsidRPr="0046738A" w:rsidRDefault="0073645D" w:rsidP="0046738A">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46738A">
        <w:rPr>
          <w:b/>
        </w:rPr>
        <w:t>Held: these did not outweigh his lack of candour to the court.</w:t>
      </w:r>
    </w:p>
    <w:p w14:paraId="720D2AD4" w14:textId="77777777" w:rsidR="00CF0954" w:rsidRDefault="00CF0954" w:rsidP="0073645D">
      <w:pPr>
        <w:pStyle w:val="NoSpacing"/>
      </w:pPr>
    </w:p>
    <w:p w14:paraId="0AA5791A" w14:textId="5617C581" w:rsidR="00372B60" w:rsidRPr="003A77D0" w:rsidRDefault="00CF0954" w:rsidP="00B21502">
      <w:pPr>
        <w:pStyle w:val="NoSpacing"/>
        <w:numPr>
          <w:ilvl w:val="0"/>
          <w:numId w:val="10"/>
        </w:numPr>
        <w:rPr>
          <w:rFonts w:cs="Times New Roman"/>
          <w:szCs w:val="24"/>
          <w:u w:val="single"/>
        </w:rPr>
      </w:pPr>
      <w:r w:rsidRPr="003A77D0">
        <w:rPr>
          <w:rFonts w:cs="Times New Roman"/>
          <w:b/>
          <w:szCs w:val="24"/>
          <w:u w:val="single"/>
        </w:rPr>
        <w:t xml:space="preserve">Criminal Convictions </w:t>
      </w:r>
      <w:r w:rsidR="00B67EA8">
        <w:rPr>
          <w:rFonts w:cs="Times New Roman"/>
          <w:b/>
          <w:szCs w:val="24"/>
          <w:u w:val="single"/>
        </w:rPr>
        <w:t xml:space="preserve">of Dishonesty </w:t>
      </w:r>
      <w:r w:rsidR="00147240" w:rsidRPr="003A77D0">
        <w:rPr>
          <w:rFonts w:cs="Times New Roman"/>
          <w:szCs w:val="24"/>
          <w:u w:val="single"/>
        </w:rPr>
        <w:t>–</w:t>
      </w:r>
      <w:r w:rsidRPr="003A77D0">
        <w:rPr>
          <w:rFonts w:cs="Times New Roman"/>
          <w:szCs w:val="24"/>
          <w:u w:val="single"/>
        </w:rPr>
        <w:t xml:space="preserve"> </w:t>
      </w:r>
    </w:p>
    <w:p w14:paraId="4CADC640" w14:textId="77777777" w:rsidR="00147240" w:rsidRDefault="00D82C8A" w:rsidP="00B21502">
      <w:pPr>
        <w:pStyle w:val="NoSpacing"/>
        <w:numPr>
          <w:ilvl w:val="1"/>
          <w:numId w:val="10"/>
        </w:numPr>
        <w:rPr>
          <w:rFonts w:cs="Times New Roman"/>
          <w:szCs w:val="24"/>
        </w:rPr>
      </w:pPr>
      <w:r>
        <w:rPr>
          <w:rFonts w:cs="Times New Roman"/>
          <w:szCs w:val="24"/>
        </w:rPr>
        <w:t xml:space="preserve">Prior criminal convictions directly relate to an </w:t>
      </w:r>
      <w:proofErr w:type="spellStart"/>
      <w:r>
        <w:rPr>
          <w:rFonts w:cs="Times New Roman"/>
          <w:szCs w:val="24"/>
        </w:rPr>
        <w:t>applicants</w:t>
      </w:r>
      <w:proofErr w:type="spellEnd"/>
      <w:r>
        <w:rPr>
          <w:rFonts w:cs="Times New Roman"/>
          <w:szCs w:val="24"/>
        </w:rPr>
        <w:t xml:space="preserve"> fame and character and are critical to the admissions process in ensuring a full disclosure is made.</w:t>
      </w:r>
    </w:p>
    <w:p w14:paraId="2BD13720" w14:textId="77777777" w:rsidR="00D82C8A" w:rsidRDefault="00D82C8A" w:rsidP="00D82C8A">
      <w:pPr>
        <w:pStyle w:val="NoSpacing"/>
        <w:ind w:left="1440"/>
        <w:rPr>
          <w:rFonts w:cs="Times New Roman"/>
          <w:szCs w:val="24"/>
        </w:rPr>
      </w:pPr>
    </w:p>
    <w:p w14:paraId="17FA4BF3" w14:textId="04613A85" w:rsidR="00904179" w:rsidRPr="00904179" w:rsidRDefault="00026AA7" w:rsidP="00B21502">
      <w:pPr>
        <w:pStyle w:val="NoSpacing"/>
        <w:numPr>
          <w:ilvl w:val="1"/>
          <w:numId w:val="10"/>
        </w:numPr>
        <w:rPr>
          <w:rFonts w:cs="Times New Roman"/>
          <w:szCs w:val="24"/>
        </w:rPr>
      </w:pPr>
      <w:r>
        <w:rPr>
          <w:rFonts w:cs="Times New Roman"/>
          <w:i/>
          <w:szCs w:val="24"/>
        </w:rPr>
        <w:t xml:space="preserve">Dishonesty Most Relevant – </w:t>
      </w:r>
      <w:r>
        <w:rPr>
          <w:rFonts w:cs="Times New Roman"/>
          <w:szCs w:val="24"/>
        </w:rPr>
        <w:t>Convictions of offences involving dishonesty are particularly relevant.</w:t>
      </w:r>
    </w:p>
    <w:p w14:paraId="720A80C0" w14:textId="7840690A" w:rsidR="00904179" w:rsidRPr="00C448FE" w:rsidRDefault="00904179" w:rsidP="00B21502">
      <w:pPr>
        <w:pStyle w:val="NoSpacing"/>
        <w:numPr>
          <w:ilvl w:val="2"/>
          <w:numId w:val="10"/>
        </w:numPr>
        <w:rPr>
          <w:rFonts w:cs="Times New Roman"/>
          <w:szCs w:val="24"/>
        </w:rPr>
      </w:pPr>
      <w:r>
        <w:rPr>
          <w:rFonts w:cs="Times New Roman"/>
          <w:i/>
          <w:szCs w:val="24"/>
        </w:rPr>
        <w:t>Re Davis</w:t>
      </w:r>
    </w:p>
    <w:p w14:paraId="6DB2841E" w14:textId="080ADFCF" w:rsidR="00C448FE" w:rsidRPr="00F42811" w:rsidRDefault="00F42811" w:rsidP="00C448FE">
      <w:pPr>
        <w:pStyle w:val="NoSpacing"/>
        <w:rPr>
          <w:rFonts w:cs="Times New Roman"/>
          <w:i/>
          <w:szCs w:val="24"/>
        </w:rPr>
      </w:pPr>
      <w:r w:rsidRPr="00F42811">
        <w:rPr>
          <w:rFonts w:cs="Times New Roman"/>
          <w:i/>
          <w:szCs w:val="24"/>
        </w:rPr>
        <w:t>Re Davis</w:t>
      </w:r>
    </w:p>
    <w:p w14:paraId="464BBFAB" w14:textId="77777777" w:rsidR="00242BD5" w:rsidRDefault="004D7B38" w:rsidP="00180568">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imes New Roman"/>
          <w:szCs w:val="24"/>
        </w:rPr>
      </w:pPr>
      <w:r>
        <w:rPr>
          <w:rFonts w:cs="Times New Roman"/>
          <w:szCs w:val="24"/>
        </w:rPr>
        <w:t xml:space="preserve">The applicant failed to disclose his convictions and induced two solicitors to give him certificate of character without disclosing them he had been convicted of breaking, entering and stealing 12 years earlier. </w:t>
      </w:r>
    </w:p>
    <w:p w14:paraId="1F0C5E5F" w14:textId="77777777" w:rsidR="00180568" w:rsidRDefault="004D7B38" w:rsidP="00180568">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imes New Roman"/>
          <w:szCs w:val="24"/>
        </w:rPr>
      </w:pPr>
      <w:r w:rsidRPr="00242BD5">
        <w:rPr>
          <w:rFonts w:cs="Times New Roman"/>
          <w:b/>
          <w:szCs w:val="24"/>
        </w:rPr>
        <w:t>Held</w:t>
      </w:r>
      <w:r>
        <w:rPr>
          <w:rFonts w:cs="Times New Roman"/>
          <w:szCs w:val="24"/>
        </w:rPr>
        <w:t xml:space="preserve">: </w:t>
      </w:r>
      <w:r w:rsidR="00242BD5">
        <w:rPr>
          <w:rFonts w:cs="Times New Roman"/>
          <w:szCs w:val="24"/>
        </w:rPr>
        <w:t>High Court ruled</w:t>
      </w:r>
      <w:r w:rsidR="00180568">
        <w:rPr>
          <w:rFonts w:cs="Times New Roman"/>
          <w:szCs w:val="24"/>
        </w:rPr>
        <w:t xml:space="preserve"> applicant should be struck off because </w:t>
      </w:r>
    </w:p>
    <w:p w14:paraId="22BEA633" w14:textId="77777777" w:rsidR="00180568" w:rsidRDefault="00180568" w:rsidP="00180568">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imes New Roman"/>
          <w:i/>
          <w:szCs w:val="24"/>
        </w:rPr>
      </w:pPr>
    </w:p>
    <w:p w14:paraId="737E5B80" w14:textId="0E2CE89C" w:rsidR="00180568" w:rsidRPr="00180568" w:rsidRDefault="00180568" w:rsidP="00180568">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imes New Roman"/>
          <w:i/>
          <w:szCs w:val="24"/>
        </w:rPr>
      </w:pPr>
      <w:r w:rsidRPr="00180568">
        <w:rPr>
          <w:rFonts w:cs="Times New Roman"/>
          <w:i/>
          <w:szCs w:val="24"/>
        </w:rPr>
        <w:t>‘</w:t>
      </w:r>
      <w:proofErr w:type="gramStart"/>
      <w:r w:rsidRPr="00180568">
        <w:rPr>
          <w:rFonts w:cs="Times New Roman"/>
          <w:i/>
          <w:szCs w:val="24"/>
        </w:rPr>
        <w:t>so</w:t>
      </w:r>
      <w:proofErr w:type="gramEnd"/>
      <w:r w:rsidRPr="00180568">
        <w:rPr>
          <w:rFonts w:cs="Times New Roman"/>
          <w:i/>
          <w:szCs w:val="24"/>
        </w:rPr>
        <w:t xml:space="preserve"> obvious a relevant matter when character is under consideration that there can be  no room for doubt as to the duty to disclosure to the Both and to the persons from whom he obtained certificates’</w:t>
      </w:r>
    </w:p>
    <w:p w14:paraId="0970256E" w14:textId="77777777" w:rsidR="004D7B38" w:rsidRPr="004D7B38" w:rsidRDefault="004D7B38" w:rsidP="00500867">
      <w:pPr>
        <w:pStyle w:val="NoSpacing"/>
        <w:rPr>
          <w:rFonts w:cs="Times New Roman"/>
          <w:szCs w:val="24"/>
        </w:rPr>
      </w:pPr>
    </w:p>
    <w:p w14:paraId="35DF17FF" w14:textId="6DE7ADC1" w:rsidR="00472CDF" w:rsidRPr="00472CDF" w:rsidRDefault="007A4FA9" w:rsidP="00B21502">
      <w:pPr>
        <w:pStyle w:val="NoSpacing"/>
        <w:numPr>
          <w:ilvl w:val="1"/>
          <w:numId w:val="10"/>
        </w:numPr>
        <w:rPr>
          <w:rFonts w:cs="Times New Roman"/>
          <w:szCs w:val="24"/>
        </w:rPr>
      </w:pPr>
      <w:r>
        <w:rPr>
          <w:rFonts w:cs="Times New Roman"/>
          <w:i/>
          <w:szCs w:val="24"/>
        </w:rPr>
        <w:t xml:space="preserve">Demonstrate a Respect for the Law – </w:t>
      </w:r>
      <w:r w:rsidR="00472CDF">
        <w:rPr>
          <w:rFonts w:cs="Times New Roman"/>
          <w:szCs w:val="24"/>
        </w:rPr>
        <w:t xml:space="preserve">Failure to disclose a conviction </w:t>
      </w:r>
      <w:proofErr w:type="gramStart"/>
      <w:r w:rsidR="00472CDF" w:rsidRPr="00472CDF">
        <w:rPr>
          <w:rFonts w:cs="Times New Roman"/>
          <w:szCs w:val="24"/>
        </w:rPr>
        <w:t>are</w:t>
      </w:r>
      <w:proofErr w:type="gramEnd"/>
      <w:r w:rsidR="00472CDF" w:rsidRPr="00472CDF">
        <w:rPr>
          <w:rFonts w:cs="Times New Roman"/>
          <w:szCs w:val="24"/>
        </w:rPr>
        <w:t xml:space="preserve"> especially probative of an applicant’s character an attitude of candour generally dictates that all convictions be disclosed. Convictions it is believed show disrespect for law which persons admitted to practice are sworn to uphold</w:t>
      </w:r>
      <w:r w:rsidR="00F90971">
        <w:rPr>
          <w:rFonts w:cs="Times New Roman"/>
          <w:szCs w:val="24"/>
        </w:rPr>
        <w:t>.</w:t>
      </w:r>
    </w:p>
    <w:p w14:paraId="2206B3A4" w14:textId="15A6D8E9" w:rsidR="009B7853" w:rsidRPr="00472CDF" w:rsidRDefault="007A4FA9" w:rsidP="00B21502">
      <w:pPr>
        <w:pStyle w:val="NoSpacing"/>
        <w:numPr>
          <w:ilvl w:val="2"/>
          <w:numId w:val="10"/>
        </w:numPr>
        <w:rPr>
          <w:rFonts w:cs="Times New Roman"/>
          <w:szCs w:val="24"/>
        </w:rPr>
      </w:pPr>
      <w:proofErr w:type="spellStart"/>
      <w:r w:rsidRPr="00472CDF">
        <w:rPr>
          <w:rFonts w:cs="Times New Roman"/>
          <w:i/>
          <w:szCs w:val="24"/>
        </w:rPr>
        <w:t>Prothonotary</w:t>
      </w:r>
      <w:proofErr w:type="spellEnd"/>
      <w:r w:rsidRPr="00472CDF">
        <w:rPr>
          <w:rFonts w:cs="Times New Roman"/>
          <w:i/>
          <w:szCs w:val="24"/>
        </w:rPr>
        <w:t xml:space="preserve"> of the Supreme Court of NSW v Tatar</w:t>
      </w:r>
      <w:r w:rsidRPr="00472CDF">
        <w:rPr>
          <w:rFonts w:cs="Times New Roman"/>
          <w:szCs w:val="24"/>
        </w:rPr>
        <w:t xml:space="preserve"> </w:t>
      </w:r>
      <w:r w:rsidR="00F97190">
        <w:rPr>
          <w:rFonts w:cs="Times New Roman"/>
          <w:szCs w:val="24"/>
        </w:rPr>
        <w:t>–</w:t>
      </w:r>
      <w:r w:rsidR="00472CDF" w:rsidRPr="00472CDF">
        <w:rPr>
          <w:rFonts w:cs="Times New Roman"/>
          <w:szCs w:val="24"/>
        </w:rPr>
        <w:t xml:space="preserve"> </w:t>
      </w:r>
      <w:r w:rsidRPr="00472CDF">
        <w:rPr>
          <w:rFonts w:cs="Times New Roman"/>
          <w:szCs w:val="24"/>
        </w:rPr>
        <w:t xml:space="preserve">the court removed a lawyer from the roll who omitted to disclose upon his admission two recent convictions. </w:t>
      </w:r>
    </w:p>
    <w:p w14:paraId="76266E1F" w14:textId="77777777" w:rsidR="009B7853" w:rsidRDefault="009B7853" w:rsidP="00A77706">
      <w:pPr>
        <w:pStyle w:val="NoSpacing"/>
        <w:rPr>
          <w:rFonts w:cs="Times New Roman"/>
          <w:szCs w:val="24"/>
        </w:rPr>
      </w:pPr>
    </w:p>
    <w:p w14:paraId="6B3BB267" w14:textId="2ECBB474" w:rsidR="0090657F" w:rsidRPr="00F42811" w:rsidRDefault="00F6651E" w:rsidP="0090657F">
      <w:pPr>
        <w:pStyle w:val="NoSpacing"/>
        <w:rPr>
          <w:rFonts w:cs="Times New Roman"/>
          <w:i/>
          <w:szCs w:val="24"/>
        </w:rPr>
      </w:pPr>
      <w:proofErr w:type="spellStart"/>
      <w:r w:rsidRPr="00472CDF">
        <w:rPr>
          <w:rFonts w:cs="Times New Roman"/>
          <w:i/>
          <w:szCs w:val="24"/>
        </w:rPr>
        <w:t>Prothonotary</w:t>
      </w:r>
      <w:proofErr w:type="spellEnd"/>
      <w:r w:rsidRPr="00472CDF">
        <w:rPr>
          <w:rFonts w:cs="Times New Roman"/>
          <w:i/>
          <w:szCs w:val="24"/>
        </w:rPr>
        <w:t xml:space="preserve"> of the Supreme Court of NSW v Tatar</w:t>
      </w:r>
    </w:p>
    <w:p w14:paraId="6C380A1C" w14:textId="080430F7" w:rsidR="0090657F" w:rsidRDefault="00AA0B5A" w:rsidP="0090657F">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imes New Roman"/>
          <w:szCs w:val="24"/>
        </w:rPr>
      </w:pPr>
      <w:r>
        <w:rPr>
          <w:rFonts w:cs="Times New Roman"/>
          <w:szCs w:val="24"/>
        </w:rPr>
        <w:t xml:space="preserve">The applicants belief that the circumstances surrounding the convictions raised no question regarding </w:t>
      </w:r>
      <w:r w:rsidRPr="00A46DA7">
        <w:rPr>
          <w:rFonts w:cs="Times New Roman"/>
          <w:b/>
          <w:szCs w:val="24"/>
        </w:rPr>
        <w:t>his own fitness or raised no concerned as to his character was enough to demonstrate ‘a basic failure to appreciate the standards of behaviour required of a legal practitioner’.</w:t>
      </w:r>
    </w:p>
    <w:p w14:paraId="3CE8B534" w14:textId="1EFACAC3" w:rsidR="0090657F" w:rsidRDefault="0090657F" w:rsidP="0090657F">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imes New Roman"/>
          <w:szCs w:val="24"/>
        </w:rPr>
      </w:pPr>
      <w:r w:rsidRPr="00242BD5">
        <w:rPr>
          <w:rFonts w:cs="Times New Roman"/>
          <w:b/>
          <w:szCs w:val="24"/>
        </w:rPr>
        <w:t>Held</w:t>
      </w:r>
      <w:r>
        <w:rPr>
          <w:rFonts w:cs="Times New Roman"/>
          <w:szCs w:val="24"/>
        </w:rPr>
        <w:t xml:space="preserve">: </w:t>
      </w:r>
      <w:r w:rsidR="008B72F0">
        <w:rPr>
          <w:rFonts w:cs="Times New Roman"/>
          <w:szCs w:val="24"/>
        </w:rPr>
        <w:t>Supreme Court struck applicant off.</w:t>
      </w:r>
    </w:p>
    <w:p w14:paraId="32E91293" w14:textId="3FF4AAE0" w:rsidR="00FB38F9" w:rsidRPr="003A77D0" w:rsidRDefault="00517B69" w:rsidP="00B21502">
      <w:pPr>
        <w:pStyle w:val="NoSpacing"/>
        <w:numPr>
          <w:ilvl w:val="0"/>
          <w:numId w:val="10"/>
        </w:numPr>
        <w:rPr>
          <w:rFonts w:cs="Times New Roman"/>
          <w:szCs w:val="24"/>
          <w:u w:val="single"/>
        </w:rPr>
      </w:pPr>
      <w:r>
        <w:rPr>
          <w:rFonts w:cs="Times New Roman"/>
          <w:b/>
          <w:szCs w:val="24"/>
          <w:u w:val="single"/>
        </w:rPr>
        <w:lastRenderedPageBreak/>
        <w:t xml:space="preserve">Dishonesty – </w:t>
      </w:r>
      <w:r w:rsidR="00FB38F9" w:rsidRPr="003A77D0">
        <w:rPr>
          <w:rFonts w:cs="Times New Roman"/>
          <w:b/>
          <w:szCs w:val="24"/>
          <w:u w:val="single"/>
        </w:rPr>
        <w:t xml:space="preserve">Criminal </w:t>
      </w:r>
      <w:r w:rsidR="00FB38F9">
        <w:rPr>
          <w:rFonts w:cs="Times New Roman"/>
          <w:b/>
          <w:szCs w:val="24"/>
          <w:u w:val="single"/>
        </w:rPr>
        <w:t>Charges</w:t>
      </w:r>
      <w:r w:rsidR="00FB38F9" w:rsidRPr="003A77D0">
        <w:rPr>
          <w:rFonts w:cs="Times New Roman"/>
          <w:b/>
          <w:szCs w:val="24"/>
          <w:u w:val="single"/>
        </w:rPr>
        <w:t xml:space="preserve"> </w:t>
      </w:r>
      <w:r w:rsidR="00FB38F9" w:rsidRPr="003A77D0">
        <w:rPr>
          <w:rFonts w:cs="Times New Roman"/>
          <w:szCs w:val="24"/>
          <w:u w:val="single"/>
        </w:rPr>
        <w:t xml:space="preserve">– </w:t>
      </w:r>
    </w:p>
    <w:p w14:paraId="327A6EC4" w14:textId="77777777" w:rsidR="00FB38F9" w:rsidRPr="00C26AB0" w:rsidRDefault="00FB38F9" w:rsidP="00FB38F9">
      <w:pPr>
        <w:pStyle w:val="NoSpacing"/>
        <w:ind w:left="720"/>
        <w:rPr>
          <w:rFonts w:cs="Times New Roman"/>
          <w:szCs w:val="24"/>
        </w:rPr>
      </w:pPr>
    </w:p>
    <w:p w14:paraId="2CA9BC0F" w14:textId="6ED63449" w:rsidR="009B7853" w:rsidRPr="00C26AB0" w:rsidRDefault="00A15BC2" w:rsidP="00B21502">
      <w:pPr>
        <w:pStyle w:val="NoSpacing"/>
        <w:numPr>
          <w:ilvl w:val="0"/>
          <w:numId w:val="13"/>
        </w:numPr>
        <w:rPr>
          <w:rFonts w:cs="Times New Roman"/>
          <w:szCs w:val="24"/>
        </w:rPr>
      </w:pPr>
      <w:r w:rsidRPr="00C26AB0">
        <w:rPr>
          <w:rFonts w:cs="Times New Roman"/>
          <w:i/>
          <w:szCs w:val="24"/>
        </w:rPr>
        <w:t xml:space="preserve">Relevant </w:t>
      </w:r>
      <w:r w:rsidRPr="00C26AB0">
        <w:rPr>
          <w:rFonts w:cs="Times New Roman"/>
          <w:szCs w:val="24"/>
        </w:rPr>
        <w:t xml:space="preserve">– </w:t>
      </w:r>
      <w:r w:rsidR="00FB38F9" w:rsidRPr="00C26AB0">
        <w:rPr>
          <w:rFonts w:cs="Times New Roman"/>
          <w:szCs w:val="24"/>
        </w:rPr>
        <w:t xml:space="preserve">Prior </w:t>
      </w:r>
      <w:r w:rsidR="00085C6F" w:rsidRPr="00C26AB0">
        <w:rPr>
          <w:rFonts w:cs="Times New Roman"/>
          <w:szCs w:val="24"/>
        </w:rPr>
        <w:t xml:space="preserve">criminal charges </w:t>
      </w:r>
      <w:r w:rsidRPr="00C26AB0">
        <w:rPr>
          <w:rFonts w:cs="Times New Roman"/>
          <w:szCs w:val="24"/>
        </w:rPr>
        <w:t>are relevant to an applicant’s good fame and character and must be fully disclosed.</w:t>
      </w:r>
    </w:p>
    <w:p w14:paraId="16699D98" w14:textId="77777777" w:rsidR="00A15BC2" w:rsidRPr="00C26AB0" w:rsidRDefault="00A15BC2" w:rsidP="00A15BC2">
      <w:pPr>
        <w:pStyle w:val="NoSpacing"/>
        <w:ind w:left="1440"/>
        <w:rPr>
          <w:rFonts w:cs="Times New Roman"/>
          <w:szCs w:val="24"/>
        </w:rPr>
      </w:pPr>
    </w:p>
    <w:p w14:paraId="707AD0AF" w14:textId="01B142EF" w:rsidR="00C26AB0" w:rsidRDefault="00775C45" w:rsidP="00B21502">
      <w:pPr>
        <w:numPr>
          <w:ilvl w:val="0"/>
          <w:numId w:val="13"/>
        </w:numPr>
      </w:pPr>
      <w:r w:rsidRPr="00775C45">
        <w:rPr>
          <w:i/>
        </w:rPr>
        <w:t>Incorrectly Laid still relevant</w:t>
      </w:r>
      <w:r>
        <w:t xml:space="preserve"> – </w:t>
      </w:r>
      <w:r w:rsidR="002E2043" w:rsidRPr="00C26AB0">
        <w:t>Although charges may be laid incorrectly, and acquittals must be respected, but the facts which give rise to the charges may bear upon</w:t>
      </w:r>
      <w:r w:rsidR="00C26AB0">
        <w:t xml:space="preserve"> a person’s fitness to practice</w:t>
      </w:r>
    </w:p>
    <w:p w14:paraId="77DE16CF" w14:textId="732913B7" w:rsidR="002E2043" w:rsidRPr="00CA587D" w:rsidRDefault="002E2043" w:rsidP="00B21502">
      <w:pPr>
        <w:numPr>
          <w:ilvl w:val="2"/>
          <w:numId w:val="13"/>
        </w:numPr>
      </w:pPr>
      <w:proofErr w:type="spellStart"/>
      <w:r w:rsidRPr="00CA587D">
        <w:rPr>
          <w:i/>
        </w:rPr>
        <w:t>Frugtniet</w:t>
      </w:r>
      <w:proofErr w:type="spellEnd"/>
      <w:r w:rsidRPr="00CA587D">
        <w:rPr>
          <w:i/>
        </w:rPr>
        <w:t xml:space="preserve"> v Board of Examiners</w:t>
      </w:r>
      <w:r w:rsidRPr="00CA587D">
        <w:t xml:space="preserve"> </w:t>
      </w:r>
    </w:p>
    <w:p w14:paraId="00EB32CB" w14:textId="77777777" w:rsidR="002E2043" w:rsidRPr="00C26AB0" w:rsidRDefault="002E2043" w:rsidP="002E2043">
      <w:pPr>
        <w:pStyle w:val="ListParagraph"/>
      </w:pPr>
    </w:p>
    <w:p w14:paraId="6D681085" w14:textId="5F3CF68A" w:rsidR="00C26AB0" w:rsidRPr="007F71A6" w:rsidRDefault="002E2043" w:rsidP="00B21502">
      <w:pPr>
        <w:numPr>
          <w:ilvl w:val="0"/>
          <w:numId w:val="13"/>
        </w:numPr>
      </w:pPr>
      <w:r w:rsidRPr="00C26AB0">
        <w:t xml:space="preserve">The acquittal may be on entirely unmeritorious grounds or it may occur in circumstances which nevertheless reveal untoward collateral behavior on the part of the accused: </w:t>
      </w:r>
    </w:p>
    <w:p w14:paraId="76701CE8" w14:textId="2E1D72B6" w:rsidR="002E2043" w:rsidRPr="007F71A6" w:rsidRDefault="002E2043" w:rsidP="00B21502">
      <w:pPr>
        <w:numPr>
          <w:ilvl w:val="2"/>
          <w:numId w:val="13"/>
        </w:numPr>
      </w:pPr>
      <w:r w:rsidRPr="007F71A6">
        <w:rPr>
          <w:i/>
        </w:rPr>
        <w:t>Re Del Castillo</w:t>
      </w:r>
    </w:p>
    <w:p w14:paraId="5ABF42BC" w14:textId="77777777" w:rsidR="002E2043" w:rsidRDefault="002E2043" w:rsidP="00B21502">
      <w:pPr>
        <w:numPr>
          <w:ilvl w:val="3"/>
          <w:numId w:val="13"/>
        </w:numPr>
      </w:pPr>
      <w:r w:rsidRPr="00775C45">
        <w:t>‘The Supreme Court is clearly entitled to take into account that an applicant had been refused admission or been removed from the roll of practitioners in another relevant jurisdiction. This is relevant to fame and character.’</w:t>
      </w:r>
    </w:p>
    <w:p w14:paraId="463F6E2F" w14:textId="77777777" w:rsidR="009668B6" w:rsidRDefault="009668B6" w:rsidP="009668B6">
      <w:pPr>
        <w:pStyle w:val="NoSpacing"/>
      </w:pPr>
    </w:p>
    <w:p w14:paraId="68E54AAD" w14:textId="697C260C" w:rsidR="009668B6" w:rsidRDefault="009668B6" w:rsidP="00B21502">
      <w:pPr>
        <w:pStyle w:val="ListParagraph"/>
        <w:numPr>
          <w:ilvl w:val="0"/>
          <w:numId w:val="10"/>
        </w:numPr>
      </w:pPr>
      <w:r>
        <w:rPr>
          <w:b/>
          <w:u w:val="single"/>
        </w:rPr>
        <w:t xml:space="preserve">Academic Misconduct </w:t>
      </w:r>
      <w:r>
        <w:t xml:space="preserve">– </w:t>
      </w:r>
      <w:r w:rsidR="0028375E">
        <w:t xml:space="preserve">s1.2.6(g) </w:t>
      </w:r>
      <w:r w:rsidR="001E5BF4">
        <w:t>&amp; 2.3.3 (1)(</w:t>
      </w:r>
      <w:proofErr w:type="spellStart"/>
      <w:r w:rsidR="001E5BF4">
        <w:t>ab</w:t>
      </w:r>
      <w:proofErr w:type="spellEnd"/>
      <w:r w:rsidR="001E5BF4">
        <w:t>)</w:t>
      </w:r>
      <w:r w:rsidR="001030EA">
        <w:t xml:space="preserve"> </w:t>
      </w:r>
      <w:r w:rsidR="001030EA" w:rsidRPr="006D6DF0">
        <w:rPr>
          <w:i/>
        </w:rPr>
        <w:t>LPA</w:t>
      </w:r>
      <w:r w:rsidR="007E5C58" w:rsidRPr="006D6DF0">
        <w:rPr>
          <w:i/>
        </w:rPr>
        <w:t xml:space="preserve"> 2004</w:t>
      </w:r>
    </w:p>
    <w:p w14:paraId="25AC43C0" w14:textId="77777777" w:rsidR="00990ABA" w:rsidRDefault="00990ABA" w:rsidP="00990ABA">
      <w:pPr>
        <w:pStyle w:val="ListParagraph"/>
      </w:pPr>
    </w:p>
    <w:p w14:paraId="4A514B80" w14:textId="652C33B2" w:rsidR="009668B6" w:rsidRDefault="00E07452" w:rsidP="00B21502">
      <w:pPr>
        <w:pStyle w:val="ListParagraph"/>
        <w:numPr>
          <w:ilvl w:val="1"/>
          <w:numId w:val="10"/>
        </w:numPr>
      </w:pPr>
      <w:r>
        <w:rPr>
          <w:i/>
        </w:rPr>
        <w:t>Onus is greater as non</w:t>
      </w:r>
      <w:r w:rsidR="00F97190">
        <w:rPr>
          <w:i/>
        </w:rPr>
        <w:t>–</w:t>
      </w:r>
      <w:r>
        <w:rPr>
          <w:i/>
        </w:rPr>
        <w:t xml:space="preserve">public – </w:t>
      </w:r>
      <w:r w:rsidRPr="00FE770B">
        <w:t>Findings of academic misconduct unlike criminal or most professional disciplinary matters, are not usually on the public record</w:t>
      </w:r>
      <w:r>
        <w:rPr>
          <w:b/>
        </w:rPr>
        <w:t xml:space="preserve"> </w:t>
      </w:r>
      <w:r>
        <w:t xml:space="preserve">and applicants therefore carry even </w:t>
      </w:r>
      <w:proofErr w:type="spellStart"/>
      <w:r>
        <w:t>grater</w:t>
      </w:r>
      <w:proofErr w:type="spellEnd"/>
      <w:r>
        <w:t xml:space="preserve"> onus to make full disclosure of such findings especially where they impinge upon issues of honesty</w:t>
      </w:r>
      <w:r w:rsidR="009E1485">
        <w:t>.</w:t>
      </w:r>
    </w:p>
    <w:p w14:paraId="209ABF7B" w14:textId="77777777" w:rsidR="009E1485" w:rsidRDefault="009E1485" w:rsidP="009E1485">
      <w:pPr>
        <w:pStyle w:val="ListParagraph"/>
        <w:ind w:left="1440"/>
      </w:pPr>
    </w:p>
    <w:p w14:paraId="04C0C3D9" w14:textId="76EB6650" w:rsidR="007D14F7" w:rsidRDefault="0056013D" w:rsidP="00B21502">
      <w:pPr>
        <w:pStyle w:val="ListParagraph"/>
        <w:numPr>
          <w:ilvl w:val="1"/>
          <w:numId w:val="10"/>
        </w:numPr>
      </w:pPr>
      <w:r>
        <w:rPr>
          <w:i/>
        </w:rPr>
        <w:t xml:space="preserve">No Need to Disclosure All Aspects </w:t>
      </w:r>
      <w:r w:rsidR="00F97190">
        <w:rPr>
          <w:i/>
        </w:rPr>
        <w:t>–</w:t>
      </w:r>
      <w:r w:rsidR="007D14F7">
        <w:t xml:space="preserve"> Where the def</w:t>
      </w:r>
      <w:r w:rsidR="009370C1">
        <w:t>endant</w:t>
      </w:r>
      <w:r w:rsidR="007D14F7">
        <w:t xml:space="preserve"> failed to disclose the findings of his academic misconduct and did not adversely affect his fitness to practice or his honesty or trustworthiness. </w:t>
      </w:r>
    </w:p>
    <w:p w14:paraId="5CC22F3B" w14:textId="49391267" w:rsidR="009E1485" w:rsidRDefault="0056013D" w:rsidP="00B21502">
      <w:pPr>
        <w:pStyle w:val="ListParagraph"/>
        <w:numPr>
          <w:ilvl w:val="2"/>
          <w:numId w:val="10"/>
        </w:numPr>
      </w:pPr>
      <w:r w:rsidRPr="007D14F7">
        <w:rPr>
          <w:i/>
        </w:rPr>
        <w:t>Law Society of Tasmania v Richardson</w:t>
      </w:r>
      <w:r>
        <w:t xml:space="preserve"> – </w:t>
      </w:r>
      <w:r w:rsidR="007D14F7">
        <w:t>It was said in this case that an applicant need not disclose “all aspects of his past life that might be open to criticism or arguably amount to examples of imperfections of character or performance</w:t>
      </w:r>
    </w:p>
    <w:p w14:paraId="2A989178" w14:textId="77777777" w:rsidR="00B971C2" w:rsidRDefault="00B971C2" w:rsidP="00B971C2">
      <w:pPr>
        <w:pStyle w:val="ListParagraph"/>
        <w:ind w:left="2160"/>
      </w:pPr>
    </w:p>
    <w:p w14:paraId="781722A2" w14:textId="354AF3FA" w:rsidR="00B971C2" w:rsidRDefault="00AE24B9" w:rsidP="00B21502">
      <w:pPr>
        <w:pStyle w:val="ListParagraph"/>
        <w:numPr>
          <w:ilvl w:val="1"/>
          <w:numId w:val="10"/>
        </w:numPr>
      </w:pPr>
      <w:r w:rsidRPr="00FE43A6">
        <w:rPr>
          <w:b/>
          <w:i/>
        </w:rPr>
        <w:t>**Re OG (A Lawyer)</w:t>
      </w:r>
      <w:r>
        <w:t xml:space="preserve"> –</w:t>
      </w:r>
    </w:p>
    <w:p w14:paraId="2D398D24" w14:textId="6D789F0A" w:rsidR="00287FFE" w:rsidRDefault="00723963" w:rsidP="00B21502">
      <w:pPr>
        <w:pStyle w:val="ListParagraph"/>
        <w:numPr>
          <w:ilvl w:val="2"/>
          <w:numId w:val="10"/>
        </w:numPr>
      </w:pPr>
      <w:r>
        <w:rPr>
          <w:i/>
        </w:rPr>
        <w:t xml:space="preserve">Academic misconduct couple with lack of </w:t>
      </w:r>
      <w:proofErr w:type="spellStart"/>
      <w:r>
        <w:rPr>
          <w:i/>
        </w:rPr>
        <w:t>candour</w:t>
      </w:r>
      <w:proofErr w:type="spellEnd"/>
      <w:r>
        <w:rPr>
          <w:i/>
        </w:rPr>
        <w:t xml:space="preserve"> – </w:t>
      </w:r>
      <w:r w:rsidR="00C85CF3">
        <w:t>A</w:t>
      </w:r>
      <w:r w:rsidR="00E54EF7">
        <w:t xml:space="preserve">pplicant had been disciplined arising out of collusion in </w:t>
      </w:r>
      <w:r w:rsidR="00E54EF7" w:rsidRPr="00073AFF">
        <w:rPr>
          <w:u w:val="single"/>
        </w:rPr>
        <w:t>a non</w:t>
      </w:r>
      <w:r w:rsidR="00F97190" w:rsidRPr="00073AFF">
        <w:rPr>
          <w:u w:val="single"/>
        </w:rPr>
        <w:t>–</w:t>
      </w:r>
      <w:r w:rsidR="00E54EF7" w:rsidRPr="00073AFF">
        <w:rPr>
          <w:u w:val="single"/>
        </w:rPr>
        <w:t>law</w:t>
      </w:r>
      <w:r w:rsidR="00E54EF7">
        <w:t xml:space="preserve"> subject and there had been no formal determination of a university disciplinary committee and the alleged misconduct was dealt in house </w:t>
      </w:r>
    </w:p>
    <w:p w14:paraId="39E4CF1B" w14:textId="0779C2B4" w:rsidR="00025D5E" w:rsidRDefault="001B1EB0" w:rsidP="001B1EB0">
      <w:pPr>
        <w:pStyle w:val="ListParagraph"/>
        <w:numPr>
          <w:ilvl w:val="3"/>
          <w:numId w:val="10"/>
        </w:numPr>
      </w:pPr>
      <w:r>
        <w:t>W</w:t>
      </w:r>
      <w:r w:rsidR="00373D4F">
        <w:t xml:space="preserve">hen </w:t>
      </w:r>
      <w:r>
        <w:t xml:space="preserve">misconduct is </w:t>
      </w:r>
      <w:r w:rsidR="00373D4F">
        <w:t xml:space="preserve">coupled with a failure to disclose the </w:t>
      </w:r>
      <w:r w:rsidR="00BB28F6">
        <w:t>accusations</w:t>
      </w:r>
      <w:r w:rsidR="00373D4F">
        <w:t xml:space="preserve"> of plagiarism – it </w:t>
      </w:r>
      <w:r w:rsidR="00242B8E">
        <w:t>is</w:t>
      </w:r>
      <w:r w:rsidR="00373D4F">
        <w:t xml:space="preserve"> enough to reject admission.</w:t>
      </w:r>
    </w:p>
    <w:p w14:paraId="3768C8AB" w14:textId="652F364D" w:rsidR="001B1EB0" w:rsidRPr="00C85CF3" w:rsidRDefault="00242B8E" w:rsidP="001B1EB0">
      <w:pPr>
        <w:pStyle w:val="ListParagraph"/>
        <w:numPr>
          <w:ilvl w:val="4"/>
          <w:numId w:val="10"/>
        </w:numPr>
      </w:pPr>
      <w:r>
        <w:rPr>
          <w:i/>
        </w:rPr>
        <w:t xml:space="preserve">Re OG (A Lawyer); </w:t>
      </w:r>
      <w:r w:rsidR="001B1EB0" w:rsidRPr="000A5082">
        <w:rPr>
          <w:i/>
        </w:rPr>
        <w:t xml:space="preserve">Re </w:t>
      </w:r>
      <w:proofErr w:type="spellStart"/>
      <w:r w:rsidR="001B1EB0" w:rsidRPr="000A5082">
        <w:rPr>
          <w:i/>
        </w:rPr>
        <w:t>Widdison</w:t>
      </w:r>
      <w:proofErr w:type="spellEnd"/>
    </w:p>
    <w:p w14:paraId="118EC573" w14:textId="44BE75B1" w:rsidR="00287FFE" w:rsidRDefault="00E54EF7" w:rsidP="00287FFE">
      <w:pPr>
        <w:ind w:left="2520"/>
      </w:pPr>
      <w:r>
        <w:t xml:space="preserve"> </w:t>
      </w:r>
    </w:p>
    <w:p w14:paraId="7E692DB1" w14:textId="3048DD46" w:rsidR="00B71D84" w:rsidRPr="006613E6" w:rsidRDefault="0081383A" w:rsidP="00B21502">
      <w:pPr>
        <w:pStyle w:val="ListParagraph"/>
        <w:numPr>
          <w:ilvl w:val="1"/>
          <w:numId w:val="10"/>
        </w:numPr>
      </w:pPr>
      <w:r>
        <w:rPr>
          <w:b/>
          <w:i/>
        </w:rPr>
        <w:t xml:space="preserve">Subject of </w:t>
      </w:r>
      <w:r w:rsidRPr="0020297A">
        <w:rPr>
          <w:b/>
          <w:i/>
          <w:u w:val="single"/>
        </w:rPr>
        <w:t>Academic</w:t>
      </w:r>
      <w:r>
        <w:rPr>
          <w:b/>
          <w:i/>
        </w:rPr>
        <w:t xml:space="preserve"> Disciplinary Action – </w:t>
      </w:r>
      <w:r w:rsidR="00274DC2" w:rsidRPr="003B3BE7">
        <w:rPr>
          <w:b/>
          <w:i/>
        </w:rPr>
        <w:t>2.3.3(1)(</w:t>
      </w:r>
      <w:proofErr w:type="spellStart"/>
      <w:r w:rsidR="00274DC2" w:rsidRPr="003B3BE7">
        <w:rPr>
          <w:b/>
          <w:i/>
        </w:rPr>
        <w:t>ab</w:t>
      </w:r>
      <w:proofErr w:type="spellEnd"/>
      <w:r w:rsidR="00274DC2" w:rsidRPr="003B3BE7">
        <w:rPr>
          <w:b/>
          <w:i/>
        </w:rPr>
        <w:t>)</w:t>
      </w:r>
      <w:r w:rsidR="00274DC2">
        <w:rPr>
          <w:b/>
        </w:rPr>
        <w:t xml:space="preserve"> </w:t>
      </w:r>
      <w:r>
        <w:rPr>
          <w:b/>
        </w:rPr>
        <w:t xml:space="preserve">LPA </w:t>
      </w:r>
      <w:r w:rsidR="00274DC2">
        <w:rPr>
          <w:b/>
        </w:rPr>
        <w:t>–</w:t>
      </w:r>
      <w:r w:rsidR="00890D9E">
        <w:rPr>
          <w:b/>
        </w:rPr>
        <w:t xml:space="preserve"> </w:t>
      </w:r>
    </w:p>
    <w:p w14:paraId="5E6434C7" w14:textId="4A170826" w:rsidR="00164D04" w:rsidRPr="00B71D84" w:rsidRDefault="00827D42" w:rsidP="00B21502">
      <w:pPr>
        <w:pStyle w:val="ListParagraph"/>
        <w:numPr>
          <w:ilvl w:val="2"/>
          <w:numId w:val="10"/>
        </w:numPr>
      </w:pPr>
      <w:r>
        <w:rPr>
          <w:i/>
        </w:rPr>
        <w:t xml:space="preserve">Full Academic Report – </w:t>
      </w:r>
      <w:r w:rsidR="00657CC1">
        <w:t>Victorian Board of Examiners (2009) practice directions requires applicant to furnish a report from all educational institution where they have undertaken tertiary studies disclosing any misconduct while undertaking those studies.</w:t>
      </w:r>
    </w:p>
    <w:p w14:paraId="3C3FC341" w14:textId="77777777" w:rsidR="006F2855" w:rsidRDefault="006F2855" w:rsidP="0024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i/>
          <w:lang w:val="en-AU" w:eastAsia="en-AU"/>
        </w:rPr>
      </w:pPr>
    </w:p>
    <w:p w14:paraId="49B14DB9" w14:textId="15A0E248" w:rsidR="00243DD0" w:rsidRPr="00243DD0" w:rsidRDefault="00744151" w:rsidP="0024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i/>
          <w:lang w:val="en-AU" w:eastAsia="en-AU"/>
        </w:rPr>
      </w:pPr>
      <w:r>
        <w:rPr>
          <w:i/>
          <w:lang w:val="en-AU" w:eastAsia="en-AU"/>
        </w:rPr>
        <w:lastRenderedPageBreak/>
        <w:t xml:space="preserve">LPA – </w:t>
      </w:r>
      <w:r w:rsidR="001B12C2">
        <w:rPr>
          <w:i/>
          <w:lang w:val="en-AU" w:eastAsia="en-AU"/>
        </w:rPr>
        <w:t xml:space="preserve">2.3.3 </w:t>
      </w:r>
      <w:r w:rsidR="00131953" w:rsidRPr="001B12C2">
        <w:rPr>
          <w:i/>
          <w:lang w:val="en-AU" w:eastAsia="en-AU"/>
        </w:rPr>
        <w:t>(1)</w:t>
      </w:r>
      <w:r w:rsidR="00243DD0" w:rsidRPr="00243DD0">
        <w:rPr>
          <w:i/>
          <w:lang w:val="en-AU" w:eastAsia="en-AU"/>
        </w:rPr>
        <w:t xml:space="preserve"> (</w:t>
      </w:r>
      <w:proofErr w:type="spellStart"/>
      <w:r w:rsidR="00243DD0" w:rsidRPr="00243DD0">
        <w:rPr>
          <w:i/>
          <w:lang w:val="en-AU" w:eastAsia="en-AU"/>
        </w:rPr>
        <w:t>ab</w:t>
      </w:r>
      <w:proofErr w:type="spellEnd"/>
      <w:r w:rsidR="00243DD0" w:rsidRPr="00243DD0">
        <w:rPr>
          <w:i/>
          <w:lang w:val="en-AU" w:eastAsia="en-AU"/>
        </w:rPr>
        <w:t>) whether the person is or has been the subject of disciplinary action, however described, arising out of the person's conduct in</w:t>
      </w:r>
      <w:r w:rsidR="00F97190">
        <w:rPr>
          <w:i/>
          <w:lang w:val="en-AU" w:eastAsia="en-AU"/>
        </w:rPr>
        <w:t>–</w:t>
      </w:r>
    </w:p>
    <w:p w14:paraId="7CF77C92" w14:textId="0C340448" w:rsidR="00243DD0" w:rsidRPr="00243DD0" w:rsidRDefault="00243DD0" w:rsidP="0024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i/>
          <w:lang w:val="en-AU" w:eastAsia="en-AU"/>
        </w:rPr>
      </w:pPr>
      <w:r w:rsidRPr="00243DD0">
        <w:rPr>
          <w:i/>
          <w:lang w:val="en-AU" w:eastAsia="en-AU"/>
        </w:rPr>
        <w:t xml:space="preserve">   (i)  </w:t>
      </w:r>
      <w:proofErr w:type="gramStart"/>
      <w:r w:rsidRPr="00243DD0">
        <w:rPr>
          <w:i/>
          <w:lang w:val="en-AU" w:eastAsia="en-AU"/>
        </w:rPr>
        <w:t>attaining</w:t>
      </w:r>
      <w:proofErr w:type="gramEnd"/>
      <w:r w:rsidRPr="00243DD0">
        <w:rPr>
          <w:i/>
          <w:lang w:val="en-AU" w:eastAsia="en-AU"/>
        </w:rPr>
        <w:t xml:space="preserve"> approved academic qualifications or corresponding academic qualifications; or</w:t>
      </w:r>
    </w:p>
    <w:p w14:paraId="3D72E4C6" w14:textId="77777777" w:rsidR="00243DD0" w:rsidRPr="00243DD0" w:rsidRDefault="00243DD0" w:rsidP="0024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i/>
          <w:lang w:val="en-AU" w:eastAsia="en-AU"/>
        </w:rPr>
      </w:pPr>
      <w:r w:rsidRPr="00243DD0">
        <w:rPr>
          <w:i/>
          <w:lang w:val="en-AU" w:eastAsia="en-AU"/>
        </w:rPr>
        <w:t xml:space="preserve">   (ii) </w:t>
      </w:r>
      <w:proofErr w:type="gramStart"/>
      <w:r w:rsidRPr="00243DD0">
        <w:rPr>
          <w:i/>
          <w:lang w:val="en-AU" w:eastAsia="en-AU"/>
        </w:rPr>
        <w:t>completing</w:t>
      </w:r>
      <w:proofErr w:type="gramEnd"/>
      <w:r w:rsidRPr="00243DD0">
        <w:rPr>
          <w:i/>
          <w:lang w:val="en-AU" w:eastAsia="en-AU"/>
        </w:rPr>
        <w:t xml:space="preserve"> approved practical legal training requirements or</w:t>
      </w:r>
    </w:p>
    <w:p w14:paraId="7BBF63CE" w14:textId="53AAB4FD" w:rsidR="00243DD0" w:rsidRDefault="00243DD0" w:rsidP="0024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i/>
          <w:lang w:val="en-AU" w:eastAsia="en-AU"/>
        </w:rPr>
      </w:pPr>
      <w:r w:rsidRPr="00243DD0">
        <w:rPr>
          <w:i/>
          <w:lang w:val="en-AU" w:eastAsia="en-AU"/>
        </w:rPr>
        <w:t xml:space="preserve">        </w:t>
      </w:r>
      <w:proofErr w:type="gramStart"/>
      <w:r w:rsidRPr="00243DD0">
        <w:rPr>
          <w:i/>
          <w:lang w:val="en-AU" w:eastAsia="en-AU"/>
        </w:rPr>
        <w:t>corresponding</w:t>
      </w:r>
      <w:proofErr w:type="gramEnd"/>
      <w:r w:rsidRPr="00243DD0">
        <w:rPr>
          <w:i/>
          <w:lang w:val="en-AU" w:eastAsia="en-AU"/>
        </w:rPr>
        <w:t xml:space="preserve"> practical legal training requirements</w:t>
      </w:r>
      <w:r w:rsidR="00361296" w:rsidRPr="001B12C2">
        <w:rPr>
          <w:i/>
          <w:lang w:val="en-AU" w:eastAsia="en-AU"/>
        </w:rPr>
        <w:t>.</w:t>
      </w:r>
    </w:p>
    <w:p w14:paraId="5273B6FC" w14:textId="77777777" w:rsidR="006F2855" w:rsidRDefault="006F2855" w:rsidP="0024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i/>
          <w:lang w:val="en-AU" w:eastAsia="en-AU"/>
        </w:rPr>
      </w:pPr>
    </w:p>
    <w:p w14:paraId="6DE5445B" w14:textId="77777777" w:rsidR="003D13DB" w:rsidRPr="00243DD0" w:rsidRDefault="003D13DB" w:rsidP="0024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i/>
          <w:lang w:val="en-AU" w:eastAsia="en-AU"/>
        </w:rPr>
      </w:pPr>
    </w:p>
    <w:p w14:paraId="5412DDB3" w14:textId="1E63A233" w:rsidR="00D80CCC" w:rsidRDefault="00110989" w:rsidP="00B21502">
      <w:pPr>
        <w:pStyle w:val="ListParagraph"/>
        <w:numPr>
          <w:ilvl w:val="0"/>
          <w:numId w:val="10"/>
        </w:numPr>
      </w:pPr>
      <w:r>
        <w:rPr>
          <w:b/>
          <w:u w:val="single"/>
        </w:rPr>
        <w:t>Political Activity</w:t>
      </w:r>
      <w:r w:rsidR="00D80CCC">
        <w:rPr>
          <w:b/>
          <w:u w:val="single"/>
        </w:rPr>
        <w:t xml:space="preserve"> </w:t>
      </w:r>
      <w:r w:rsidR="00D80CCC">
        <w:t xml:space="preserve">– </w:t>
      </w:r>
    </w:p>
    <w:p w14:paraId="420D8DE8" w14:textId="52FBEA45" w:rsidR="00CE7FA1" w:rsidRPr="00167BEE" w:rsidRDefault="00CE7FA1" w:rsidP="00B21502">
      <w:pPr>
        <w:pStyle w:val="ListParagraph"/>
        <w:numPr>
          <w:ilvl w:val="1"/>
          <w:numId w:val="10"/>
        </w:numPr>
      </w:pPr>
      <w:r w:rsidRPr="001074B2">
        <w:rPr>
          <w:b/>
          <w:lang w:val="en-AU"/>
        </w:rPr>
        <w:t xml:space="preserve">Re Julius – 1941 </w:t>
      </w:r>
      <w:r w:rsidR="00F97190">
        <w:rPr>
          <w:b/>
          <w:lang w:val="en-AU"/>
        </w:rPr>
        <w:t>–</w:t>
      </w:r>
      <w:r w:rsidRPr="001074B2">
        <w:rPr>
          <w:b/>
          <w:lang w:val="en-AU"/>
        </w:rPr>
        <w:t xml:space="preserve"> </w:t>
      </w:r>
      <w:r w:rsidRPr="001074B2">
        <w:rPr>
          <w:lang w:val="en-AU"/>
        </w:rPr>
        <w:t xml:space="preserve">the holding of extreme political views (membership of the then communist party of </w:t>
      </w:r>
      <w:proofErr w:type="spellStart"/>
      <w:r w:rsidRPr="001074B2">
        <w:rPr>
          <w:lang w:val="en-AU"/>
        </w:rPr>
        <w:t>Aust</w:t>
      </w:r>
      <w:proofErr w:type="spellEnd"/>
      <w:r w:rsidRPr="001074B2">
        <w:rPr>
          <w:lang w:val="en-AU"/>
        </w:rPr>
        <w:t>) does not make a person unfit for practice provided that in expressing those views a person does not engage in unlawful activity.</w:t>
      </w:r>
    </w:p>
    <w:p w14:paraId="554AAE97" w14:textId="77777777" w:rsidR="00E679DD" w:rsidRDefault="00E679DD" w:rsidP="00E679DD"/>
    <w:p w14:paraId="376DEA82" w14:textId="2D18B3FE" w:rsidR="00167BEE" w:rsidRPr="003E3D05" w:rsidRDefault="00E679DD" w:rsidP="00E679DD">
      <w:r>
        <w:t>**</w:t>
      </w:r>
      <w:r w:rsidR="00167BEE" w:rsidRPr="00E679DD">
        <w:rPr>
          <w:b/>
          <w:u w:val="single"/>
        </w:rPr>
        <w:t xml:space="preserve">Mitigating Factors – </w:t>
      </w:r>
    </w:p>
    <w:p w14:paraId="206001A5" w14:textId="77777777" w:rsidR="009B7853" w:rsidRDefault="009B7853" w:rsidP="00A77706">
      <w:pPr>
        <w:pStyle w:val="NoSpacing"/>
        <w:rPr>
          <w:rFonts w:cs="Times New Roman"/>
          <w:szCs w:val="24"/>
        </w:rPr>
      </w:pPr>
    </w:p>
    <w:p w14:paraId="11265078" w14:textId="15F913F3" w:rsidR="000D534A" w:rsidRPr="000D534A" w:rsidRDefault="00A442D4" w:rsidP="00B21502">
      <w:pPr>
        <w:numPr>
          <w:ilvl w:val="0"/>
          <w:numId w:val="14"/>
        </w:numPr>
      </w:pPr>
      <w:r w:rsidRPr="009E1909">
        <w:rPr>
          <w:b/>
          <w:i/>
        </w:rPr>
        <w:t>Age of Applicant</w:t>
      </w:r>
      <w:r>
        <w:rPr>
          <w:i/>
        </w:rPr>
        <w:t xml:space="preserve"> – </w:t>
      </w:r>
      <w:r w:rsidR="000D534A" w:rsidRPr="000D534A">
        <w:t xml:space="preserve">A court may be more influenced in favour of the applicant if the act was committed at a young age and that since that time the applicant’s </w:t>
      </w:r>
      <w:proofErr w:type="spellStart"/>
      <w:r w:rsidR="000D534A" w:rsidRPr="000D534A">
        <w:t>behaviour</w:t>
      </w:r>
      <w:proofErr w:type="spellEnd"/>
      <w:r w:rsidR="000D534A" w:rsidRPr="000D534A">
        <w:t xml:space="preserve"> has been redeeming.</w:t>
      </w:r>
    </w:p>
    <w:p w14:paraId="4A89D225" w14:textId="77777777" w:rsidR="00A442D4" w:rsidRDefault="00A442D4" w:rsidP="00A442D4">
      <w:pPr>
        <w:ind w:left="720"/>
      </w:pPr>
    </w:p>
    <w:p w14:paraId="05E9BC73" w14:textId="11056B76" w:rsidR="000D534A" w:rsidRPr="000D534A" w:rsidRDefault="000D534A" w:rsidP="00B21502">
      <w:pPr>
        <w:numPr>
          <w:ilvl w:val="1"/>
          <w:numId w:val="14"/>
        </w:numPr>
      </w:pPr>
      <w:r w:rsidRPr="000D534A">
        <w:t>If prior conviction (even dishonesty) occurred when the applicant was very young, and was the result of immaturity and fully disclosed and evidence of restoration of integrity are of value and the cour</w:t>
      </w:r>
      <w:r w:rsidR="00BF7174">
        <w:t xml:space="preserve">t is more inclined to </w:t>
      </w:r>
      <w:proofErr w:type="gramStart"/>
      <w:r w:rsidR="00BF7174">
        <w:t>overlooked</w:t>
      </w:r>
      <w:proofErr w:type="gramEnd"/>
      <w:r w:rsidR="00BF7174">
        <w:t>.</w:t>
      </w:r>
    </w:p>
    <w:p w14:paraId="2AD4E1E6" w14:textId="77777777" w:rsidR="006E6D74" w:rsidRDefault="006E6D74" w:rsidP="006E6D74">
      <w:pPr>
        <w:pStyle w:val="NoSpacing"/>
      </w:pPr>
    </w:p>
    <w:p w14:paraId="5A03F200" w14:textId="77777777" w:rsidR="0083356C" w:rsidRPr="006E6D74" w:rsidRDefault="000D534A" w:rsidP="006E6D74">
      <w:pPr>
        <w:pStyle w:val="NoSpacing"/>
        <w:rPr>
          <w:b/>
        </w:rPr>
      </w:pPr>
      <w:r w:rsidRPr="006E6D74">
        <w:rPr>
          <w:b/>
        </w:rPr>
        <w:t xml:space="preserve">Re </w:t>
      </w:r>
      <w:proofErr w:type="spellStart"/>
      <w:r w:rsidRPr="006E6D74">
        <w:rPr>
          <w:b/>
        </w:rPr>
        <w:t>Rowen</w:t>
      </w:r>
      <w:proofErr w:type="spellEnd"/>
    </w:p>
    <w:p w14:paraId="72EF4BBC" w14:textId="5FBBF0DD" w:rsidR="000D534A" w:rsidRPr="000D534A" w:rsidRDefault="0083356C" w:rsidP="006E6D74">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t>T</w:t>
      </w:r>
      <w:r w:rsidR="000D534A" w:rsidRPr="000D534A">
        <w:t xml:space="preserve">he applicant was earlier been convicted of numerous offences including burglary at ages 25 and 27. He turned over a new leaf at age 30 and completed a law degree and sought admission aged 38. </w:t>
      </w:r>
    </w:p>
    <w:p w14:paraId="613961D5" w14:textId="77777777" w:rsidR="000D534A" w:rsidRPr="000D534A" w:rsidRDefault="000D534A" w:rsidP="006E6D74">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rsidRPr="00741533">
        <w:rPr>
          <w:b/>
        </w:rPr>
        <w:t>Held</w:t>
      </w:r>
      <w:r w:rsidRPr="000D534A">
        <w:t xml:space="preserve">: although there was outright dishonesty re the second conviction, the NZ HC was willing to accept that the applicant’s reformation had been complete in view of the intervening period of positive </w:t>
      </w:r>
      <w:proofErr w:type="spellStart"/>
      <w:r w:rsidRPr="000D534A">
        <w:t>bahaviour</w:t>
      </w:r>
      <w:proofErr w:type="spellEnd"/>
      <w:r w:rsidRPr="000D534A">
        <w:t xml:space="preserve"> </w:t>
      </w:r>
    </w:p>
    <w:p w14:paraId="716B0FDA" w14:textId="77777777" w:rsidR="000D534A" w:rsidRPr="000D534A" w:rsidRDefault="000D534A" w:rsidP="002F0BCE"/>
    <w:p w14:paraId="61B1BC13" w14:textId="77777777" w:rsidR="00A63F0F" w:rsidRDefault="000D534A" w:rsidP="002F0BCE">
      <w:r w:rsidRPr="000D534A">
        <w:rPr>
          <w:b/>
          <w:i/>
        </w:rPr>
        <w:t xml:space="preserve">Ex Parte </w:t>
      </w:r>
      <w:proofErr w:type="spellStart"/>
      <w:r w:rsidRPr="000D534A">
        <w:rPr>
          <w:b/>
          <w:i/>
        </w:rPr>
        <w:t>Lenehan</w:t>
      </w:r>
      <w:proofErr w:type="spellEnd"/>
    </w:p>
    <w:p w14:paraId="334C187B" w14:textId="77EEAAAC" w:rsidR="000D534A" w:rsidRPr="000D534A" w:rsidRDefault="00A63F0F" w:rsidP="004D0A61">
      <w:pPr>
        <w:pBdr>
          <w:top w:val="single" w:sz="4" w:space="1" w:color="auto"/>
          <w:left w:val="single" w:sz="4" w:space="4" w:color="auto"/>
          <w:bottom w:val="single" w:sz="4" w:space="1" w:color="auto"/>
          <w:right w:val="single" w:sz="4" w:space="4" w:color="auto"/>
        </w:pBdr>
        <w:shd w:val="clear" w:color="auto" w:fill="BFBFBF" w:themeFill="background1" w:themeFillShade="BF"/>
      </w:pPr>
      <w:r>
        <w:t>T</w:t>
      </w:r>
      <w:r w:rsidR="000D534A" w:rsidRPr="000D534A">
        <w:t xml:space="preserve">he HC admitted an applicant who had committed a number of dishonest acts that took place 20 years before his application when working as an articled clerk in a law office </w:t>
      </w:r>
      <w:r w:rsidR="000D534A" w:rsidRPr="000D534A">
        <w:rPr>
          <w:u w:val="single"/>
        </w:rPr>
        <w:t>and fully disclosed his misdeeds</w:t>
      </w:r>
      <w:r w:rsidR="000D534A" w:rsidRPr="000D534A">
        <w:t>.</w:t>
      </w:r>
    </w:p>
    <w:p w14:paraId="2878208F" w14:textId="087940FE" w:rsidR="00D8153E" w:rsidRDefault="000D534A" w:rsidP="004D0A61">
      <w:pPr>
        <w:pBdr>
          <w:top w:val="single" w:sz="4" w:space="1" w:color="auto"/>
          <w:left w:val="single" w:sz="4" w:space="4" w:color="auto"/>
          <w:bottom w:val="single" w:sz="4" w:space="1" w:color="auto"/>
          <w:right w:val="single" w:sz="4" w:space="4" w:color="auto"/>
        </w:pBdr>
        <w:shd w:val="clear" w:color="auto" w:fill="BFBFBF" w:themeFill="background1" w:themeFillShade="BF"/>
      </w:pPr>
      <w:proofErr w:type="gramStart"/>
      <w:r w:rsidRPr="000D534A">
        <w:rPr>
          <w:b/>
        </w:rPr>
        <w:t>Held by HC</w:t>
      </w:r>
      <w:r w:rsidRPr="000D534A">
        <w:t>: mi</w:t>
      </w:r>
      <w:r w:rsidR="00642444">
        <w:t>tigating circumstances include</w:t>
      </w:r>
      <w:r w:rsidR="00642A42">
        <w:t xml:space="preserve"> 1.</w:t>
      </w:r>
      <w:proofErr w:type="gramEnd"/>
      <w:r w:rsidR="00642A42">
        <w:t xml:space="preserve"> </w:t>
      </w:r>
      <w:r w:rsidR="00CC0E8E">
        <w:t>H</w:t>
      </w:r>
      <w:r w:rsidRPr="000D534A">
        <w:t>e was surrounded in his initial practice by evil examples, which occurred at an early age;</w:t>
      </w:r>
      <w:r w:rsidR="00642A42">
        <w:t xml:space="preserve"> 2. </w:t>
      </w:r>
      <w:r w:rsidR="00CC0E8E">
        <w:t>H</w:t>
      </w:r>
      <w:r w:rsidRPr="000D534A">
        <w:t>is later employment record was respectable;</w:t>
      </w:r>
      <w:r w:rsidR="00642A42">
        <w:t xml:space="preserve"> 3. H</w:t>
      </w:r>
      <w:r w:rsidRPr="000D534A">
        <w:t>e completed a satisfactory war service including a promotion</w:t>
      </w:r>
      <w:r w:rsidR="00CC0E8E">
        <w:t>.</w:t>
      </w:r>
    </w:p>
    <w:p w14:paraId="0CD1FDE6" w14:textId="77777777" w:rsidR="000D534A" w:rsidRDefault="000D534A" w:rsidP="000D534A"/>
    <w:p w14:paraId="4731B38A" w14:textId="77777777" w:rsidR="007B621E" w:rsidRDefault="007B621E" w:rsidP="000D534A"/>
    <w:p w14:paraId="58C194D1" w14:textId="77777777" w:rsidR="007B621E" w:rsidRDefault="007B621E" w:rsidP="000D534A"/>
    <w:p w14:paraId="1576EE0B" w14:textId="77777777" w:rsidR="007B621E" w:rsidRDefault="007B621E" w:rsidP="000D534A"/>
    <w:p w14:paraId="0E96E6DA" w14:textId="77777777" w:rsidR="007B621E" w:rsidRDefault="007B621E" w:rsidP="000D534A"/>
    <w:p w14:paraId="4E22FE47" w14:textId="77777777" w:rsidR="007B621E" w:rsidRDefault="007B621E" w:rsidP="000D534A"/>
    <w:p w14:paraId="2F81D5C4" w14:textId="77777777" w:rsidR="007B621E" w:rsidRDefault="007B621E" w:rsidP="000D534A"/>
    <w:p w14:paraId="22F2903B" w14:textId="77777777" w:rsidR="007B621E" w:rsidRDefault="007B621E" w:rsidP="000D534A"/>
    <w:p w14:paraId="4E93DA9C" w14:textId="77777777" w:rsidR="007B621E" w:rsidRDefault="007B621E" w:rsidP="000D534A"/>
    <w:p w14:paraId="19366ED6" w14:textId="77777777" w:rsidR="007B621E" w:rsidRDefault="007B621E" w:rsidP="000D534A"/>
    <w:p w14:paraId="5846CB40" w14:textId="77777777" w:rsidR="007B621E" w:rsidRPr="000D534A" w:rsidRDefault="007B621E" w:rsidP="000D534A"/>
    <w:p w14:paraId="6C838D14" w14:textId="77777777" w:rsidR="008652A5" w:rsidRPr="008652A5" w:rsidRDefault="000D534A" w:rsidP="00B21502">
      <w:pPr>
        <w:pStyle w:val="ListParagraph"/>
        <w:numPr>
          <w:ilvl w:val="0"/>
          <w:numId w:val="14"/>
        </w:numPr>
      </w:pPr>
      <w:r w:rsidRPr="009E1909">
        <w:rPr>
          <w:b/>
          <w:i/>
        </w:rPr>
        <w:lastRenderedPageBreak/>
        <w:t>External stressors at time of impropriety</w:t>
      </w:r>
      <w:r w:rsidR="008652A5" w:rsidRPr="008652A5">
        <w:rPr>
          <w:i/>
        </w:rPr>
        <w:t xml:space="preserve"> – </w:t>
      </w:r>
    </w:p>
    <w:p w14:paraId="3C1B67C4" w14:textId="6F1F5E5C" w:rsidR="00B53E77" w:rsidRDefault="000D534A" w:rsidP="00B21502">
      <w:pPr>
        <w:pStyle w:val="ListParagraph"/>
        <w:numPr>
          <w:ilvl w:val="1"/>
          <w:numId w:val="14"/>
        </w:numPr>
      </w:pPr>
      <w:r w:rsidRPr="000D534A">
        <w:t>External and extreme stressors that are most unlikely to be replicated in legal practice may incline the court not to bar her/his admission.</w:t>
      </w:r>
    </w:p>
    <w:p w14:paraId="00609E02" w14:textId="77777777" w:rsidR="00B53E77" w:rsidRDefault="00B53E77" w:rsidP="00B53E77">
      <w:pPr>
        <w:rPr>
          <w:b/>
          <w:i/>
        </w:rPr>
      </w:pPr>
    </w:p>
    <w:p w14:paraId="1F68F359" w14:textId="77777777" w:rsidR="00B53E77" w:rsidRPr="00AD1461" w:rsidRDefault="00B53E77" w:rsidP="00B53E77">
      <w:proofErr w:type="spellStart"/>
      <w:r w:rsidRPr="00AD1461">
        <w:rPr>
          <w:i/>
        </w:rPr>
        <w:t>Prothonotary</w:t>
      </w:r>
      <w:proofErr w:type="spellEnd"/>
      <w:r w:rsidRPr="00AD1461">
        <w:rPr>
          <w:i/>
        </w:rPr>
        <w:t xml:space="preserve"> v Del Castillo</w:t>
      </w:r>
    </w:p>
    <w:p w14:paraId="7F86B8A1" w14:textId="77777777" w:rsidR="00C0335F" w:rsidRDefault="00B53E77" w:rsidP="00C0335F">
      <w:pPr>
        <w:pBdr>
          <w:top w:val="single" w:sz="4" w:space="1" w:color="auto"/>
          <w:left w:val="single" w:sz="4" w:space="4" w:color="auto"/>
          <w:bottom w:val="single" w:sz="4" w:space="1" w:color="auto"/>
          <w:right w:val="single" w:sz="4" w:space="4" w:color="auto"/>
        </w:pBdr>
        <w:shd w:val="clear" w:color="auto" w:fill="BFBFBF" w:themeFill="background1" w:themeFillShade="BF"/>
      </w:pPr>
      <w:r>
        <w:t>T</w:t>
      </w:r>
      <w:r w:rsidRPr="000D534A">
        <w:t xml:space="preserve">he applicant had been tried for murder during the course of the investigation he had lied to police and given false instructions to his lawyer. However, little emphasis of this aspect appears in the court case. </w:t>
      </w:r>
    </w:p>
    <w:p w14:paraId="4B27E12E" w14:textId="0D7C95AD" w:rsidR="00C0335F" w:rsidRPr="00C0335F" w:rsidRDefault="00C0335F" w:rsidP="00C0335F">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C0335F">
        <w:rPr>
          <w:b/>
        </w:rPr>
        <w:t>Held</w:t>
      </w:r>
      <w:r w:rsidRPr="00C0335F">
        <w:t>: Although it was held that the conduct fell below appropriate standards, it was believed that his conduct stemmed from a sudden response to a wholly unforeseen calamity placing extraordinary pressures on him 10 years ago.</w:t>
      </w:r>
    </w:p>
    <w:p w14:paraId="6285EA3C" w14:textId="77777777" w:rsidR="00B53E77" w:rsidRPr="00B53E77" w:rsidRDefault="00B53E77" w:rsidP="00B53E77">
      <w:pPr>
        <w:pStyle w:val="ListParagraph"/>
        <w:ind w:left="1440"/>
      </w:pPr>
    </w:p>
    <w:p w14:paraId="4EF87AE1" w14:textId="2D8EF0C4" w:rsidR="00A41327" w:rsidRPr="00A41327" w:rsidRDefault="00A41327" w:rsidP="00B21502">
      <w:pPr>
        <w:pStyle w:val="ListParagraph"/>
        <w:numPr>
          <w:ilvl w:val="1"/>
          <w:numId w:val="14"/>
        </w:numPr>
      </w:pPr>
      <w:r>
        <w:rPr>
          <w:b/>
          <w:i/>
        </w:rPr>
        <w:t xml:space="preserve">Family Breakdown –  </w:t>
      </w:r>
    </w:p>
    <w:p w14:paraId="02AB548F" w14:textId="77777777" w:rsidR="00A41327" w:rsidRPr="00A41327" w:rsidRDefault="00A41327" w:rsidP="00A41327"/>
    <w:p w14:paraId="49EEA1D9" w14:textId="77777777" w:rsidR="00A41327" w:rsidRPr="00AD1461" w:rsidRDefault="00C0335F" w:rsidP="00A41327">
      <w:r w:rsidRPr="00AD1461">
        <w:rPr>
          <w:i/>
        </w:rPr>
        <w:t xml:space="preserve">Re Bell </w:t>
      </w:r>
      <w:r w:rsidRPr="00AD1461">
        <w:t>–</w:t>
      </w:r>
    </w:p>
    <w:p w14:paraId="5DF0FA57" w14:textId="45DCC32D" w:rsidR="00B53E77" w:rsidRDefault="00AE0421" w:rsidP="00AD1461">
      <w:pPr>
        <w:pBdr>
          <w:top w:val="single" w:sz="4" w:space="1" w:color="auto"/>
          <w:left w:val="single" w:sz="4" w:space="4" w:color="auto"/>
          <w:bottom w:val="single" w:sz="4" w:space="1" w:color="auto"/>
          <w:right w:val="single" w:sz="4" w:space="4" w:color="auto"/>
        </w:pBdr>
        <w:shd w:val="clear" w:color="auto" w:fill="BFBFBF" w:themeFill="background1" w:themeFillShade="BF"/>
      </w:pPr>
      <w:r w:rsidRPr="00AE0421">
        <w:t>Applicant</w:t>
      </w:r>
      <w:r w:rsidR="00A41327">
        <w:t>’s</w:t>
      </w:r>
      <w:r w:rsidRPr="00AE0421">
        <w:t xml:space="preserve"> behavior as a litigant – where he threatened judicial officers – </w:t>
      </w:r>
      <w:r w:rsidR="00887D0A">
        <w:t>in</w:t>
      </w:r>
      <w:r w:rsidRPr="00AE0421">
        <w:t xml:space="preserve"> </w:t>
      </w:r>
      <w:r w:rsidR="00887D0A">
        <w:t>spiteful</w:t>
      </w:r>
      <w:r w:rsidRPr="00AE0421">
        <w:t xml:space="preserve"> </w:t>
      </w:r>
      <w:r w:rsidR="00A42499">
        <w:t xml:space="preserve">family law proceedings could be explained by “reacting emotionally and irrationally in milieu of a traumatic family breakdown”. </w:t>
      </w:r>
    </w:p>
    <w:p w14:paraId="34F86C46" w14:textId="0C171E0C" w:rsidR="00A42499" w:rsidRPr="00AE0421" w:rsidRDefault="00A41327" w:rsidP="00AD1461">
      <w:pPr>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Held: Court was </w:t>
      </w:r>
      <w:r w:rsidR="00A42499">
        <w:t>unwilling to accept that these were statements made by a person who was suitable for admission as a lawyer.</w:t>
      </w:r>
    </w:p>
    <w:p w14:paraId="31B9145B" w14:textId="77777777" w:rsidR="002F054F" w:rsidRDefault="002F054F" w:rsidP="0079364B">
      <w:pPr>
        <w:pStyle w:val="NoSpacing"/>
      </w:pPr>
    </w:p>
    <w:p w14:paraId="07321A9F" w14:textId="77777777" w:rsidR="00C0335F" w:rsidRPr="00C0335F" w:rsidRDefault="00C0335F" w:rsidP="0079364B">
      <w:pPr>
        <w:pStyle w:val="NoSpacing"/>
      </w:pPr>
    </w:p>
    <w:p w14:paraId="69BF4BE6" w14:textId="77777777" w:rsidR="00846E47" w:rsidRDefault="00846E47" w:rsidP="0079364B">
      <w:pPr>
        <w:pStyle w:val="NoSpacing"/>
        <w:rPr>
          <w:rFonts w:cs="Times New Roman"/>
          <w:szCs w:val="24"/>
        </w:rPr>
      </w:pPr>
    </w:p>
    <w:p w14:paraId="2EF04957" w14:textId="77777777" w:rsidR="007B621E" w:rsidRDefault="007B621E" w:rsidP="0079364B">
      <w:pPr>
        <w:pStyle w:val="NoSpacing"/>
        <w:rPr>
          <w:rFonts w:cs="Times New Roman"/>
          <w:szCs w:val="24"/>
        </w:rPr>
      </w:pPr>
    </w:p>
    <w:p w14:paraId="533A6872" w14:textId="77777777" w:rsidR="007B621E" w:rsidRDefault="007B621E" w:rsidP="0079364B">
      <w:pPr>
        <w:pStyle w:val="NoSpacing"/>
        <w:rPr>
          <w:rFonts w:cs="Times New Roman"/>
          <w:szCs w:val="24"/>
        </w:rPr>
      </w:pPr>
    </w:p>
    <w:p w14:paraId="02C5AF17" w14:textId="77777777" w:rsidR="007B621E" w:rsidRDefault="007B621E" w:rsidP="0079364B">
      <w:pPr>
        <w:pStyle w:val="NoSpacing"/>
        <w:rPr>
          <w:rFonts w:cs="Times New Roman"/>
          <w:szCs w:val="24"/>
        </w:rPr>
      </w:pPr>
    </w:p>
    <w:p w14:paraId="74DAB861" w14:textId="77777777" w:rsidR="007B621E" w:rsidRDefault="007B621E" w:rsidP="0079364B">
      <w:pPr>
        <w:pStyle w:val="NoSpacing"/>
        <w:rPr>
          <w:rFonts w:cs="Times New Roman"/>
          <w:szCs w:val="24"/>
        </w:rPr>
      </w:pPr>
    </w:p>
    <w:p w14:paraId="05E055D5" w14:textId="77777777" w:rsidR="007B621E" w:rsidRDefault="007B621E" w:rsidP="0079364B">
      <w:pPr>
        <w:pStyle w:val="NoSpacing"/>
        <w:rPr>
          <w:rFonts w:cs="Times New Roman"/>
          <w:szCs w:val="24"/>
        </w:rPr>
      </w:pPr>
    </w:p>
    <w:p w14:paraId="0A4988B3" w14:textId="77777777" w:rsidR="007B621E" w:rsidRDefault="007B621E" w:rsidP="0079364B">
      <w:pPr>
        <w:pStyle w:val="NoSpacing"/>
        <w:rPr>
          <w:rFonts w:cs="Times New Roman"/>
          <w:szCs w:val="24"/>
        </w:rPr>
      </w:pPr>
    </w:p>
    <w:p w14:paraId="420DF6F8" w14:textId="77777777" w:rsidR="007B621E" w:rsidRDefault="007B621E" w:rsidP="0079364B">
      <w:pPr>
        <w:pStyle w:val="NoSpacing"/>
        <w:rPr>
          <w:rFonts w:cs="Times New Roman"/>
          <w:szCs w:val="24"/>
        </w:rPr>
      </w:pPr>
    </w:p>
    <w:p w14:paraId="2CC86DEC" w14:textId="77777777" w:rsidR="007B621E" w:rsidRDefault="007B621E" w:rsidP="0079364B">
      <w:pPr>
        <w:pStyle w:val="NoSpacing"/>
        <w:rPr>
          <w:rFonts w:cs="Times New Roman"/>
          <w:szCs w:val="24"/>
        </w:rPr>
      </w:pPr>
    </w:p>
    <w:p w14:paraId="202DCACE" w14:textId="77777777" w:rsidR="007B621E" w:rsidRDefault="007B621E" w:rsidP="0079364B">
      <w:pPr>
        <w:pStyle w:val="NoSpacing"/>
        <w:rPr>
          <w:rFonts w:cs="Times New Roman"/>
          <w:szCs w:val="24"/>
        </w:rPr>
      </w:pPr>
    </w:p>
    <w:p w14:paraId="17CA1309" w14:textId="77777777" w:rsidR="007B621E" w:rsidRDefault="007B621E" w:rsidP="0079364B">
      <w:pPr>
        <w:pStyle w:val="NoSpacing"/>
        <w:rPr>
          <w:rFonts w:cs="Times New Roman"/>
          <w:szCs w:val="24"/>
        </w:rPr>
      </w:pPr>
    </w:p>
    <w:p w14:paraId="3E48FDB6" w14:textId="77777777" w:rsidR="007B621E" w:rsidRDefault="007B621E" w:rsidP="0079364B">
      <w:pPr>
        <w:pStyle w:val="NoSpacing"/>
        <w:rPr>
          <w:rFonts w:cs="Times New Roman"/>
          <w:szCs w:val="24"/>
        </w:rPr>
      </w:pPr>
    </w:p>
    <w:p w14:paraId="113A06DD" w14:textId="77777777" w:rsidR="007B621E" w:rsidRDefault="007B621E" w:rsidP="0079364B">
      <w:pPr>
        <w:pStyle w:val="NoSpacing"/>
        <w:rPr>
          <w:rFonts w:cs="Times New Roman"/>
          <w:szCs w:val="24"/>
        </w:rPr>
      </w:pPr>
    </w:p>
    <w:p w14:paraId="7A25F44B" w14:textId="77777777" w:rsidR="007B621E" w:rsidRDefault="007B621E" w:rsidP="0079364B">
      <w:pPr>
        <w:pStyle w:val="NoSpacing"/>
        <w:rPr>
          <w:rFonts w:cs="Times New Roman"/>
          <w:szCs w:val="24"/>
        </w:rPr>
      </w:pPr>
    </w:p>
    <w:p w14:paraId="1D19E14D" w14:textId="77777777" w:rsidR="007B621E" w:rsidRDefault="007B621E" w:rsidP="0079364B">
      <w:pPr>
        <w:pStyle w:val="NoSpacing"/>
        <w:rPr>
          <w:rFonts w:cs="Times New Roman"/>
          <w:szCs w:val="24"/>
        </w:rPr>
      </w:pPr>
    </w:p>
    <w:p w14:paraId="04E50AC9" w14:textId="77777777" w:rsidR="007B621E" w:rsidRDefault="007B621E" w:rsidP="0079364B">
      <w:pPr>
        <w:pStyle w:val="NoSpacing"/>
        <w:rPr>
          <w:rFonts w:cs="Times New Roman"/>
          <w:szCs w:val="24"/>
        </w:rPr>
      </w:pPr>
    </w:p>
    <w:p w14:paraId="61DB8341" w14:textId="77777777" w:rsidR="007B621E" w:rsidRDefault="007B621E" w:rsidP="0079364B">
      <w:pPr>
        <w:pStyle w:val="NoSpacing"/>
        <w:rPr>
          <w:rFonts w:cs="Times New Roman"/>
          <w:szCs w:val="24"/>
        </w:rPr>
      </w:pPr>
    </w:p>
    <w:p w14:paraId="3D474455" w14:textId="77777777" w:rsidR="007B621E" w:rsidRDefault="007B621E" w:rsidP="0079364B">
      <w:pPr>
        <w:pStyle w:val="NoSpacing"/>
        <w:rPr>
          <w:rFonts w:cs="Times New Roman"/>
          <w:szCs w:val="24"/>
        </w:rPr>
      </w:pPr>
    </w:p>
    <w:p w14:paraId="7215440C" w14:textId="77777777" w:rsidR="007B621E" w:rsidRDefault="007B621E" w:rsidP="0079364B">
      <w:pPr>
        <w:pStyle w:val="NoSpacing"/>
        <w:rPr>
          <w:rFonts w:cs="Times New Roman"/>
          <w:szCs w:val="24"/>
        </w:rPr>
      </w:pPr>
    </w:p>
    <w:p w14:paraId="34E07207" w14:textId="77777777" w:rsidR="007B621E" w:rsidRDefault="007B621E" w:rsidP="0079364B">
      <w:pPr>
        <w:pStyle w:val="NoSpacing"/>
        <w:rPr>
          <w:rFonts w:cs="Times New Roman"/>
          <w:szCs w:val="24"/>
        </w:rPr>
      </w:pPr>
    </w:p>
    <w:p w14:paraId="21833F27" w14:textId="77777777" w:rsidR="007B621E" w:rsidRDefault="007B621E" w:rsidP="0079364B">
      <w:pPr>
        <w:pStyle w:val="NoSpacing"/>
        <w:rPr>
          <w:rFonts w:cs="Times New Roman"/>
          <w:szCs w:val="24"/>
        </w:rPr>
      </w:pPr>
    </w:p>
    <w:p w14:paraId="431A6F05" w14:textId="77777777" w:rsidR="007B621E" w:rsidRDefault="007B621E" w:rsidP="0079364B">
      <w:pPr>
        <w:pStyle w:val="NoSpacing"/>
        <w:rPr>
          <w:rFonts w:cs="Times New Roman"/>
          <w:szCs w:val="24"/>
        </w:rPr>
      </w:pPr>
    </w:p>
    <w:p w14:paraId="6821E0F7" w14:textId="77777777" w:rsidR="007B621E" w:rsidRDefault="007B621E" w:rsidP="0079364B">
      <w:pPr>
        <w:pStyle w:val="NoSpacing"/>
        <w:rPr>
          <w:rFonts w:cs="Times New Roman"/>
          <w:szCs w:val="24"/>
        </w:rPr>
      </w:pPr>
    </w:p>
    <w:p w14:paraId="76C04EE0" w14:textId="77777777" w:rsidR="007B621E" w:rsidRDefault="007B621E" w:rsidP="0079364B">
      <w:pPr>
        <w:pStyle w:val="NoSpacing"/>
        <w:rPr>
          <w:rFonts w:cs="Times New Roman"/>
          <w:szCs w:val="24"/>
        </w:rPr>
      </w:pPr>
    </w:p>
    <w:p w14:paraId="4A9EDDD6" w14:textId="77777777" w:rsidR="007B621E" w:rsidRDefault="007B621E" w:rsidP="0079364B">
      <w:pPr>
        <w:pStyle w:val="NoSpacing"/>
        <w:rPr>
          <w:rFonts w:cs="Times New Roman"/>
          <w:szCs w:val="24"/>
        </w:rPr>
      </w:pPr>
    </w:p>
    <w:p w14:paraId="4BB13B53" w14:textId="77777777" w:rsidR="007B621E" w:rsidRDefault="007B621E" w:rsidP="0079364B">
      <w:pPr>
        <w:pStyle w:val="NoSpacing"/>
        <w:rPr>
          <w:rFonts w:cs="Times New Roman"/>
          <w:szCs w:val="24"/>
        </w:rPr>
      </w:pPr>
    </w:p>
    <w:p w14:paraId="693DBE29" w14:textId="77777777" w:rsidR="007B621E" w:rsidRDefault="007B621E" w:rsidP="0079364B">
      <w:pPr>
        <w:pStyle w:val="NoSpacing"/>
        <w:rPr>
          <w:rFonts w:cs="Times New Roman"/>
          <w:szCs w:val="24"/>
        </w:rPr>
      </w:pPr>
    </w:p>
    <w:p w14:paraId="00B51107" w14:textId="77777777" w:rsidR="007B621E" w:rsidRDefault="007B621E" w:rsidP="0079364B">
      <w:pPr>
        <w:pStyle w:val="NoSpacing"/>
        <w:rPr>
          <w:rFonts w:cs="Times New Roman"/>
          <w:szCs w:val="24"/>
        </w:rPr>
      </w:pPr>
    </w:p>
    <w:p w14:paraId="0F7C4ECC" w14:textId="77777777" w:rsidR="003D13DB" w:rsidRDefault="003D13DB" w:rsidP="0079364B">
      <w:pPr>
        <w:pStyle w:val="NoSpacing"/>
        <w:rPr>
          <w:rFonts w:cs="Times New Roman"/>
          <w:szCs w:val="24"/>
        </w:rPr>
      </w:pPr>
    </w:p>
    <w:p w14:paraId="7B878AA6" w14:textId="2B179163" w:rsidR="005E2A4D" w:rsidRPr="00E8735C" w:rsidRDefault="005E2A4D" w:rsidP="0079364B">
      <w:pPr>
        <w:pStyle w:val="NoSpacing"/>
        <w:rPr>
          <w:rFonts w:cs="Times New Roman"/>
          <w:b/>
          <w:sz w:val="36"/>
          <w:szCs w:val="36"/>
          <w:u w:val="single"/>
        </w:rPr>
      </w:pPr>
      <w:r w:rsidRPr="00E8735C">
        <w:rPr>
          <w:rFonts w:cs="Times New Roman"/>
          <w:b/>
          <w:sz w:val="36"/>
          <w:szCs w:val="36"/>
          <w:u w:val="single"/>
        </w:rPr>
        <w:lastRenderedPageBreak/>
        <w:t>Re</w:t>
      </w:r>
      <w:r w:rsidR="00FF0792">
        <w:rPr>
          <w:rFonts w:cs="Times New Roman"/>
          <w:b/>
          <w:sz w:val="36"/>
          <w:szCs w:val="36"/>
          <w:u w:val="single"/>
        </w:rPr>
        <w:t>–</w:t>
      </w:r>
      <w:r w:rsidR="00C50171">
        <w:rPr>
          <w:rFonts w:cs="Times New Roman"/>
          <w:b/>
          <w:sz w:val="36"/>
          <w:szCs w:val="36"/>
          <w:u w:val="single"/>
        </w:rPr>
        <w:t>A</w:t>
      </w:r>
      <w:r w:rsidRPr="00E8735C">
        <w:rPr>
          <w:rFonts w:cs="Times New Roman"/>
          <w:b/>
          <w:sz w:val="36"/>
          <w:szCs w:val="36"/>
          <w:u w:val="single"/>
        </w:rPr>
        <w:t>dmission</w:t>
      </w:r>
      <w:r w:rsidR="00C50171">
        <w:rPr>
          <w:rFonts w:cs="Times New Roman"/>
          <w:b/>
          <w:sz w:val="36"/>
          <w:szCs w:val="36"/>
          <w:u w:val="single"/>
        </w:rPr>
        <w:t xml:space="preserve"> Application</w:t>
      </w:r>
    </w:p>
    <w:p w14:paraId="62F00321" w14:textId="77777777" w:rsidR="005E2A4D" w:rsidRDefault="005E2A4D" w:rsidP="0079364B">
      <w:pPr>
        <w:pStyle w:val="NoSpacing"/>
        <w:rPr>
          <w:rFonts w:cs="Times New Roman"/>
          <w:b/>
          <w:szCs w:val="24"/>
          <w:u w:val="single"/>
        </w:rPr>
      </w:pPr>
    </w:p>
    <w:p w14:paraId="1C269AC9" w14:textId="54E96D29" w:rsidR="006228B3" w:rsidRPr="008B34E3" w:rsidRDefault="006228B3" w:rsidP="0079364B">
      <w:pPr>
        <w:pStyle w:val="NoSpacing"/>
        <w:rPr>
          <w:rFonts w:cs="Times New Roman"/>
          <w:b/>
          <w:i/>
          <w:szCs w:val="24"/>
          <w:u w:val="single"/>
        </w:rPr>
      </w:pPr>
      <w:r w:rsidRPr="008B34E3">
        <w:rPr>
          <w:rFonts w:cs="Times New Roman"/>
          <w:b/>
          <w:i/>
          <w:szCs w:val="24"/>
          <w:u w:val="single"/>
        </w:rPr>
        <w:t>General</w:t>
      </w:r>
    </w:p>
    <w:p w14:paraId="2CB4E3E1" w14:textId="4C214EA1" w:rsidR="005E2A4D" w:rsidRDefault="008C01F3" w:rsidP="001E09C0">
      <w:pPr>
        <w:pStyle w:val="NoSpacing"/>
        <w:numPr>
          <w:ilvl w:val="0"/>
          <w:numId w:val="103"/>
        </w:numPr>
        <w:rPr>
          <w:rFonts w:cs="Times New Roman"/>
          <w:szCs w:val="24"/>
        </w:rPr>
      </w:pPr>
      <w:r w:rsidRPr="007251FD">
        <w:rPr>
          <w:rFonts w:cs="Times New Roman"/>
          <w:b/>
          <w:i/>
          <w:szCs w:val="24"/>
        </w:rPr>
        <w:t>Scope</w:t>
      </w:r>
      <w:r>
        <w:rPr>
          <w:rFonts w:cs="Times New Roman"/>
          <w:i/>
          <w:szCs w:val="24"/>
        </w:rPr>
        <w:t xml:space="preserve"> </w:t>
      </w:r>
      <w:r>
        <w:rPr>
          <w:rFonts w:cs="Times New Roman"/>
          <w:szCs w:val="24"/>
        </w:rPr>
        <w:t>– A person who has been struck off and had their practising certificate removed can apply for admission.</w:t>
      </w:r>
    </w:p>
    <w:p w14:paraId="06B351E9" w14:textId="77777777" w:rsidR="008C01F3" w:rsidRDefault="008C01F3" w:rsidP="008C01F3">
      <w:pPr>
        <w:pStyle w:val="NoSpacing"/>
        <w:ind w:left="720"/>
        <w:rPr>
          <w:rFonts w:cs="Times New Roman"/>
          <w:szCs w:val="24"/>
        </w:rPr>
      </w:pPr>
    </w:p>
    <w:p w14:paraId="34D26682" w14:textId="0B694F61" w:rsidR="008C01F3" w:rsidRDefault="007251FD" w:rsidP="001E09C0">
      <w:pPr>
        <w:pStyle w:val="NoSpacing"/>
        <w:numPr>
          <w:ilvl w:val="0"/>
          <w:numId w:val="103"/>
        </w:numPr>
        <w:rPr>
          <w:rFonts w:cs="Times New Roman"/>
          <w:szCs w:val="24"/>
        </w:rPr>
      </w:pPr>
      <w:r w:rsidRPr="005846BA">
        <w:rPr>
          <w:rFonts w:cs="Times New Roman"/>
          <w:b/>
          <w:i/>
          <w:szCs w:val="24"/>
        </w:rPr>
        <w:t>Success</w:t>
      </w:r>
      <w:r>
        <w:rPr>
          <w:rFonts w:cs="Times New Roman"/>
          <w:i/>
          <w:szCs w:val="24"/>
        </w:rPr>
        <w:t xml:space="preserve"> – </w:t>
      </w:r>
      <w:r>
        <w:rPr>
          <w:rFonts w:cs="Times New Roman"/>
          <w:szCs w:val="24"/>
        </w:rPr>
        <w:t xml:space="preserve">The probability of success for being readmitted is entirely dependent on the Court believing on ‘solid and </w:t>
      </w:r>
      <w:r w:rsidR="0077604D">
        <w:rPr>
          <w:rFonts w:cs="Times New Roman"/>
          <w:szCs w:val="24"/>
        </w:rPr>
        <w:t>substantial</w:t>
      </w:r>
      <w:r>
        <w:rPr>
          <w:rFonts w:cs="Times New Roman"/>
          <w:szCs w:val="24"/>
        </w:rPr>
        <w:t xml:space="preserve"> grounds’ – per </w:t>
      </w:r>
      <w:r w:rsidR="007928B6">
        <w:rPr>
          <w:rFonts w:cs="Times New Roman"/>
          <w:i/>
          <w:szCs w:val="24"/>
        </w:rPr>
        <w:t>Re S (a</w:t>
      </w:r>
      <w:r>
        <w:rPr>
          <w:rFonts w:cs="Times New Roman"/>
          <w:i/>
          <w:szCs w:val="24"/>
        </w:rPr>
        <w:t xml:space="preserve"> solicitor) –</w:t>
      </w:r>
      <w:r w:rsidR="007928B6">
        <w:rPr>
          <w:rFonts w:cs="Times New Roman"/>
          <w:i/>
          <w:szCs w:val="24"/>
        </w:rPr>
        <w:t xml:space="preserve"> </w:t>
      </w:r>
      <w:r w:rsidR="0077604D">
        <w:rPr>
          <w:rFonts w:cs="Times New Roman"/>
          <w:szCs w:val="24"/>
        </w:rPr>
        <w:t>that the applicant is:</w:t>
      </w:r>
    </w:p>
    <w:p w14:paraId="23B51FA4" w14:textId="77777777" w:rsidR="0077604D" w:rsidRDefault="0077604D" w:rsidP="0077604D">
      <w:pPr>
        <w:pStyle w:val="ListParagraph"/>
      </w:pPr>
    </w:p>
    <w:p w14:paraId="6216E752" w14:textId="3D46FFE7" w:rsidR="0077604D" w:rsidRDefault="0077604D" w:rsidP="0077604D">
      <w:pPr>
        <w:pStyle w:val="NoSpacing"/>
        <w:numPr>
          <w:ilvl w:val="1"/>
          <w:numId w:val="103"/>
        </w:numPr>
        <w:rPr>
          <w:rFonts w:cs="Times New Roman"/>
          <w:szCs w:val="24"/>
        </w:rPr>
      </w:pPr>
      <w:r>
        <w:rPr>
          <w:rFonts w:cs="Times New Roman"/>
          <w:szCs w:val="24"/>
        </w:rPr>
        <w:t>Fit to be granted the privilege and assume the appropriate responsibilities that are granted to a lawyer.</w:t>
      </w:r>
    </w:p>
    <w:p w14:paraId="6CD7E44D" w14:textId="77777777" w:rsidR="005846BA" w:rsidRDefault="005846BA" w:rsidP="005846BA">
      <w:pPr>
        <w:pStyle w:val="NoSpacing"/>
        <w:ind w:left="1440"/>
        <w:rPr>
          <w:rFonts w:cs="Times New Roman"/>
          <w:szCs w:val="24"/>
        </w:rPr>
      </w:pPr>
    </w:p>
    <w:p w14:paraId="4D450B86" w14:textId="08374ABE" w:rsidR="005846BA" w:rsidRPr="005E270E" w:rsidRDefault="005846BA" w:rsidP="005846BA">
      <w:pPr>
        <w:pStyle w:val="NoSpacing"/>
        <w:numPr>
          <w:ilvl w:val="0"/>
          <w:numId w:val="103"/>
        </w:numPr>
        <w:rPr>
          <w:rFonts w:cs="Times New Roman"/>
          <w:szCs w:val="24"/>
        </w:rPr>
      </w:pPr>
      <w:r>
        <w:rPr>
          <w:rFonts w:cs="Times New Roman"/>
          <w:b/>
          <w:i/>
          <w:szCs w:val="24"/>
        </w:rPr>
        <w:t xml:space="preserve">Onus </w:t>
      </w:r>
      <w:r>
        <w:rPr>
          <w:rFonts w:cs="Times New Roman"/>
          <w:szCs w:val="24"/>
        </w:rPr>
        <w:t xml:space="preserve">– The onus to be readmitted is a burdensome one as the applicant must ‘displace the decision as to the unfitness which lead to their removal in the first place’ per </w:t>
      </w:r>
      <w:proofErr w:type="spellStart"/>
      <w:r w:rsidR="005E270E">
        <w:rPr>
          <w:rFonts w:cs="Times New Roman"/>
          <w:i/>
          <w:szCs w:val="24"/>
        </w:rPr>
        <w:t>Mungar</w:t>
      </w:r>
      <w:proofErr w:type="spellEnd"/>
      <w:r w:rsidR="005E270E">
        <w:rPr>
          <w:rFonts w:cs="Times New Roman"/>
          <w:i/>
          <w:szCs w:val="24"/>
        </w:rPr>
        <w:t xml:space="preserve"> v Legal Practice Board of WA.</w:t>
      </w:r>
    </w:p>
    <w:p w14:paraId="191ADB19" w14:textId="77777777" w:rsidR="006228B3" w:rsidRDefault="006228B3" w:rsidP="006228B3">
      <w:pPr>
        <w:pStyle w:val="NoSpacing"/>
        <w:ind w:left="360"/>
        <w:rPr>
          <w:rFonts w:cs="Times New Roman"/>
          <w:szCs w:val="24"/>
        </w:rPr>
      </w:pPr>
    </w:p>
    <w:p w14:paraId="296DDD71" w14:textId="48CD2D08" w:rsidR="006228B3" w:rsidRPr="008B34E3" w:rsidRDefault="006228B3" w:rsidP="006228B3">
      <w:pPr>
        <w:pStyle w:val="NoSpacing"/>
        <w:rPr>
          <w:rFonts w:cs="Times New Roman"/>
          <w:b/>
          <w:i/>
          <w:szCs w:val="24"/>
          <w:u w:val="single"/>
        </w:rPr>
      </w:pPr>
      <w:r w:rsidRPr="008B34E3">
        <w:rPr>
          <w:rFonts w:cs="Times New Roman"/>
          <w:b/>
          <w:i/>
          <w:szCs w:val="24"/>
          <w:u w:val="single"/>
        </w:rPr>
        <w:t>Factors in Consideration</w:t>
      </w:r>
    </w:p>
    <w:p w14:paraId="3654083A" w14:textId="77777777" w:rsidR="006228B3" w:rsidRDefault="006228B3" w:rsidP="006228B3">
      <w:pPr>
        <w:pStyle w:val="NoSpacing"/>
        <w:ind w:left="360"/>
        <w:rPr>
          <w:rFonts w:cs="Times New Roman"/>
          <w:szCs w:val="24"/>
        </w:rPr>
      </w:pPr>
    </w:p>
    <w:p w14:paraId="3668E6E1" w14:textId="67AD6BEC" w:rsidR="00250825" w:rsidRDefault="00CA437F" w:rsidP="008B34E3">
      <w:pPr>
        <w:pStyle w:val="NoSpacing"/>
        <w:numPr>
          <w:ilvl w:val="0"/>
          <w:numId w:val="104"/>
        </w:numPr>
        <w:rPr>
          <w:rFonts w:cs="Times New Roman"/>
          <w:szCs w:val="24"/>
        </w:rPr>
      </w:pPr>
      <w:r w:rsidRPr="00250825">
        <w:rPr>
          <w:rFonts w:cs="Times New Roman"/>
          <w:b/>
          <w:i/>
          <w:szCs w:val="24"/>
        </w:rPr>
        <w:t>Redemption &amp; Rehabilitation</w:t>
      </w:r>
      <w:r>
        <w:rPr>
          <w:rFonts w:cs="Times New Roman"/>
          <w:i/>
          <w:szCs w:val="24"/>
        </w:rPr>
        <w:t xml:space="preserve"> – </w:t>
      </w:r>
      <w:r w:rsidR="00250825">
        <w:rPr>
          <w:rFonts w:cs="Times New Roman"/>
          <w:szCs w:val="24"/>
        </w:rPr>
        <w:t xml:space="preserve">The most </w:t>
      </w:r>
      <w:r w:rsidR="00250825">
        <w:rPr>
          <w:rFonts w:cs="Times New Roman"/>
          <w:szCs w:val="24"/>
          <w:u w:val="single"/>
        </w:rPr>
        <w:t>critical</w:t>
      </w:r>
      <w:r w:rsidR="00250825">
        <w:rPr>
          <w:rFonts w:cs="Times New Roman"/>
          <w:szCs w:val="24"/>
        </w:rPr>
        <w:t xml:space="preserve"> aspect of the applicant’s case is the ability to demonstrate to the Court that they can display sufficient evidence that </w:t>
      </w:r>
      <w:r w:rsidR="00250825" w:rsidRPr="00250825">
        <w:rPr>
          <w:rFonts w:cs="Times New Roman"/>
          <w:szCs w:val="24"/>
          <w:u w:val="single"/>
        </w:rPr>
        <w:t>redeemed their own reputation</w:t>
      </w:r>
      <w:r w:rsidR="00250825">
        <w:rPr>
          <w:rFonts w:cs="Times New Roman"/>
          <w:szCs w:val="24"/>
        </w:rPr>
        <w:t xml:space="preserve"> and </w:t>
      </w:r>
      <w:r w:rsidR="00250825" w:rsidRPr="00250825">
        <w:rPr>
          <w:rFonts w:cs="Times New Roman"/>
          <w:szCs w:val="24"/>
          <w:u w:val="single"/>
        </w:rPr>
        <w:t>in the eyes of the public</w:t>
      </w:r>
      <w:r w:rsidR="00250825">
        <w:rPr>
          <w:rFonts w:cs="Times New Roman"/>
          <w:szCs w:val="24"/>
        </w:rPr>
        <w:t>.</w:t>
      </w:r>
    </w:p>
    <w:p w14:paraId="4C3B0AD4" w14:textId="130CFD42" w:rsidR="005E270E" w:rsidRDefault="00250825" w:rsidP="008B34E3">
      <w:pPr>
        <w:pStyle w:val="NoSpacing"/>
        <w:numPr>
          <w:ilvl w:val="2"/>
          <w:numId w:val="104"/>
        </w:numPr>
        <w:rPr>
          <w:rFonts w:cs="Times New Roman"/>
          <w:szCs w:val="24"/>
        </w:rPr>
      </w:pPr>
      <w:r>
        <w:rPr>
          <w:rFonts w:cs="Times New Roman"/>
          <w:i/>
          <w:szCs w:val="24"/>
        </w:rPr>
        <w:t>Re a Practitioner;</w:t>
      </w:r>
      <w:r>
        <w:rPr>
          <w:rFonts w:cs="Times New Roman"/>
          <w:szCs w:val="24"/>
        </w:rPr>
        <w:t xml:space="preserve"> </w:t>
      </w:r>
      <w:r w:rsidRPr="00250825">
        <w:rPr>
          <w:rFonts w:cs="Times New Roman"/>
          <w:i/>
          <w:szCs w:val="24"/>
        </w:rPr>
        <w:t>Bolton v Law Society</w:t>
      </w:r>
      <w:r>
        <w:rPr>
          <w:rFonts w:cs="Times New Roman"/>
          <w:szCs w:val="24"/>
        </w:rPr>
        <w:t xml:space="preserve"> </w:t>
      </w:r>
    </w:p>
    <w:p w14:paraId="34D55B55" w14:textId="77777777" w:rsidR="008B34E3" w:rsidRDefault="008B34E3" w:rsidP="008B34E3">
      <w:pPr>
        <w:pStyle w:val="NoSpacing"/>
        <w:ind w:left="2160"/>
        <w:rPr>
          <w:rFonts w:cs="Times New Roman"/>
          <w:szCs w:val="24"/>
        </w:rPr>
      </w:pPr>
    </w:p>
    <w:p w14:paraId="043D3E15" w14:textId="3A8AA48A" w:rsidR="008B34E3" w:rsidRDefault="00BB2778" w:rsidP="008B34E3">
      <w:pPr>
        <w:pStyle w:val="NoSpacing"/>
        <w:numPr>
          <w:ilvl w:val="0"/>
          <w:numId w:val="105"/>
        </w:numPr>
        <w:rPr>
          <w:rFonts w:cs="Times New Roman"/>
          <w:szCs w:val="24"/>
        </w:rPr>
      </w:pPr>
      <w:r w:rsidRPr="00A871B9">
        <w:rPr>
          <w:rFonts w:cs="Times New Roman"/>
          <w:b/>
          <w:i/>
          <w:szCs w:val="24"/>
        </w:rPr>
        <w:t>Commendable Conduct</w:t>
      </w:r>
      <w:r>
        <w:rPr>
          <w:rFonts w:cs="Times New Roman"/>
          <w:i/>
          <w:szCs w:val="24"/>
        </w:rPr>
        <w:t xml:space="preserve"> </w:t>
      </w:r>
      <w:r>
        <w:rPr>
          <w:rFonts w:cs="Times New Roman"/>
          <w:szCs w:val="24"/>
        </w:rPr>
        <w:t xml:space="preserve">– The Court will look for a “sufficient period of commendable conduct’ </w:t>
      </w:r>
      <w:r w:rsidR="00BF11EF">
        <w:rPr>
          <w:rFonts w:cs="Times New Roman"/>
          <w:szCs w:val="24"/>
        </w:rPr>
        <w:t>since the striking off occurred.</w:t>
      </w:r>
    </w:p>
    <w:p w14:paraId="31D9B6C0" w14:textId="77777777" w:rsidR="00BB2778" w:rsidRPr="00BB2778" w:rsidRDefault="00BB2778" w:rsidP="00BB2778">
      <w:pPr>
        <w:pStyle w:val="NoSpacing"/>
        <w:numPr>
          <w:ilvl w:val="2"/>
          <w:numId w:val="105"/>
        </w:numPr>
        <w:rPr>
          <w:rFonts w:cs="Times New Roman"/>
          <w:szCs w:val="24"/>
        </w:rPr>
      </w:pPr>
      <w:proofErr w:type="spellStart"/>
      <w:r>
        <w:rPr>
          <w:rFonts w:cs="Times New Roman"/>
          <w:i/>
          <w:szCs w:val="24"/>
        </w:rPr>
        <w:t>Jauncey</w:t>
      </w:r>
      <w:proofErr w:type="spellEnd"/>
      <w:r>
        <w:rPr>
          <w:rFonts w:cs="Times New Roman"/>
          <w:i/>
          <w:szCs w:val="24"/>
        </w:rPr>
        <w:t xml:space="preserve"> v Law Society of NSW</w:t>
      </w:r>
    </w:p>
    <w:p w14:paraId="50079D14" w14:textId="77777777" w:rsidR="00BB2778" w:rsidRPr="00BB2778" w:rsidRDefault="00BB2778" w:rsidP="00BB2778">
      <w:pPr>
        <w:pStyle w:val="NoSpacing"/>
        <w:ind w:left="2160"/>
        <w:rPr>
          <w:rFonts w:cs="Times New Roman"/>
          <w:szCs w:val="24"/>
        </w:rPr>
      </w:pPr>
    </w:p>
    <w:p w14:paraId="0844BCB2" w14:textId="3F79FF85" w:rsidR="00BB2778" w:rsidRDefault="00BB2778" w:rsidP="00BB2778">
      <w:pPr>
        <w:pStyle w:val="NoSpacing"/>
        <w:numPr>
          <w:ilvl w:val="1"/>
          <w:numId w:val="105"/>
        </w:numPr>
        <w:rPr>
          <w:rFonts w:cs="Times New Roman"/>
          <w:szCs w:val="24"/>
        </w:rPr>
      </w:pPr>
      <w:r w:rsidRPr="00A871B9">
        <w:rPr>
          <w:rFonts w:cs="Times New Roman"/>
          <w:b/>
          <w:i/>
          <w:szCs w:val="24"/>
        </w:rPr>
        <w:t>Comparison to the reason for striking off</w:t>
      </w:r>
      <w:r>
        <w:rPr>
          <w:rFonts w:cs="Times New Roman"/>
          <w:i/>
          <w:szCs w:val="24"/>
        </w:rPr>
        <w:t xml:space="preserve"> </w:t>
      </w:r>
      <w:r>
        <w:rPr>
          <w:rFonts w:cs="Times New Roman"/>
          <w:szCs w:val="24"/>
        </w:rPr>
        <w:t>– The Court relevantly considers the axiom ‘[t]he greater the fall from face, the more the ground to recover before the application is restated’</w:t>
      </w:r>
    </w:p>
    <w:p w14:paraId="745C8060" w14:textId="370A35DA" w:rsidR="00250825" w:rsidRDefault="00BB2778" w:rsidP="00DA56EC">
      <w:pPr>
        <w:pStyle w:val="NoSpacing"/>
        <w:numPr>
          <w:ilvl w:val="2"/>
          <w:numId w:val="105"/>
        </w:numPr>
        <w:rPr>
          <w:rFonts w:cs="Times New Roman"/>
          <w:szCs w:val="24"/>
        </w:rPr>
      </w:pPr>
      <w:r>
        <w:rPr>
          <w:rFonts w:cs="Times New Roman"/>
          <w:i/>
          <w:szCs w:val="24"/>
        </w:rPr>
        <w:t>L v Canterbury District Law Society</w:t>
      </w:r>
    </w:p>
    <w:p w14:paraId="1DC0C86F" w14:textId="6C1E86DA" w:rsidR="00DA56EC" w:rsidRDefault="00DA56EC" w:rsidP="00DA56EC">
      <w:pPr>
        <w:pStyle w:val="NoSpacing"/>
        <w:ind w:left="2160"/>
        <w:rPr>
          <w:rFonts w:cs="Times New Roman"/>
          <w:szCs w:val="24"/>
        </w:rPr>
      </w:pPr>
    </w:p>
    <w:p w14:paraId="07D614CF" w14:textId="2382E3E3" w:rsidR="00DA56EC" w:rsidRDefault="0059559D" w:rsidP="0059559D">
      <w:pPr>
        <w:pStyle w:val="NoSpacing"/>
        <w:numPr>
          <w:ilvl w:val="2"/>
          <w:numId w:val="105"/>
        </w:numPr>
        <w:rPr>
          <w:rFonts w:cs="Times New Roman"/>
          <w:szCs w:val="24"/>
        </w:rPr>
      </w:pPr>
      <w:r>
        <w:rPr>
          <w:rFonts w:cs="Times New Roman"/>
          <w:i/>
          <w:szCs w:val="24"/>
        </w:rPr>
        <w:t xml:space="preserve">Dishonesty – </w:t>
      </w:r>
      <w:r>
        <w:rPr>
          <w:rFonts w:cs="Times New Roman"/>
          <w:szCs w:val="24"/>
        </w:rPr>
        <w:t>If the applicant is struck off for dishonesty, then the applicant must consequently display evidence of unblemished honesty – usually in circumstances where honesty is paramount.</w:t>
      </w:r>
    </w:p>
    <w:p w14:paraId="5946BB2C" w14:textId="084D9C3B" w:rsidR="00A434AF" w:rsidRPr="0020079F" w:rsidRDefault="0020079F" w:rsidP="00A434AF">
      <w:pPr>
        <w:pStyle w:val="NoSpacing"/>
        <w:numPr>
          <w:ilvl w:val="3"/>
          <w:numId w:val="105"/>
        </w:numPr>
        <w:rPr>
          <w:rFonts w:cs="Times New Roman"/>
          <w:szCs w:val="24"/>
        </w:rPr>
      </w:pPr>
      <w:r>
        <w:rPr>
          <w:rFonts w:cs="Times New Roman"/>
          <w:i/>
          <w:szCs w:val="24"/>
        </w:rPr>
        <w:t xml:space="preserve">Re </w:t>
      </w:r>
      <w:proofErr w:type="spellStart"/>
      <w:r>
        <w:rPr>
          <w:rFonts w:cs="Times New Roman"/>
          <w:i/>
          <w:szCs w:val="24"/>
        </w:rPr>
        <w:t>Reily</w:t>
      </w:r>
      <w:proofErr w:type="spellEnd"/>
      <w:r>
        <w:rPr>
          <w:rFonts w:cs="Times New Roman"/>
          <w:szCs w:val="24"/>
        </w:rPr>
        <w:t xml:space="preserve">; </w:t>
      </w:r>
      <w:proofErr w:type="spellStart"/>
      <w:r>
        <w:rPr>
          <w:rFonts w:cs="Times New Roman"/>
          <w:i/>
          <w:szCs w:val="24"/>
        </w:rPr>
        <w:t>Mungar</w:t>
      </w:r>
      <w:proofErr w:type="spellEnd"/>
      <w:r>
        <w:rPr>
          <w:rFonts w:cs="Times New Roman"/>
          <w:i/>
          <w:szCs w:val="24"/>
        </w:rPr>
        <w:t xml:space="preserve"> v Legal Practice Board of WA</w:t>
      </w:r>
    </w:p>
    <w:p w14:paraId="45571288" w14:textId="77777777" w:rsidR="0020079F" w:rsidRPr="001772BA" w:rsidRDefault="0020079F" w:rsidP="001772BA">
      <w:pPr>
        <w:pStyle w:val="NoSpacing"/>
      </w:pPr>
    </w:p>
    <w:p w14:paraId="246F33FD" w14:textId="1773C237" w:rsidR="0020079F" w:rsidRDefault="002E38C0" w:rsidP="0020079F">
      <w:pPr>
        <w:pStyle w:val="NoSpacing"/>
        <w:numPr>
          <w:ilvl w:val="1"/>
          <w:numId w:val="105"/>
        </w:numPr>
        <w:rPr>
          <w:rFonts w:cs="Times New Roman"/>
          <w:szCs w:val="24"/>
        </w:rPr>
      </w:pPr>
      <w:r w:rsidRPr="00A871B9">
        <w:rPr>
          <w:rFonts w:cs="Times New Roman"/>
          <w:b/>
          <w:i/>
          <w:szCs w:val="24"/>
        </w:rPr>
        <w:t>Weight given to regret</w:t>
      </w:r>
      <w:r>
        <w:rPr>
          <w:rFonts w:cs="Times New Roman"/>
          <w:i/>
          <w:szCs w:val="24"/>
        </w:rPr>
        <w:t xml:space="preserve"> </w:t>
      </w:r>
      <w:r>
        <w:rPr>
          <w:rFonts w:cs="Times New Roman"/>
          <w:szCs w:val="24"/>
        </w:rPr>
        <w:t>– The Court will relevantly provide weight to an applicant who expresses regret for their actions and has understood and accepted their wrongful actions.</w:t>
      </w:r>
    </w:p>
    <w:p w14:paraId="5771B3BF" w14:textId="77777777" w:rsidR="00E451CF" w:rsidRDefault="00EE06CA" w:rsidP="00EE06CA">
      <w:pPr>
        <w:pStyle w:val="NoSpacing"/>
        <w:numPr>
          <w:ilvl w:val="2"/>
          <w:numId w:val="105"/>
        </w:numPr>
        <w:rPr>
          <w:rFonts w:cs="Times New Roman"/>
          <w:szCs w:val="24"/>
        </w:rPr>
      </w:pPr>
      <w:r>
        <w:rPr>
          <w:rFonts w:cs="Times New Roman"/>
          <w:i/>
          <w:szCs w:val="24"/>
        </w:rPr>
        <w:t xml:space="preserve">‘acknowledgement of the error does not itself displace </w:t>
      </w:r>
      <w:r w:rsidRPr="00EE06CA">
        <w:rPr>
          <w:rFonts w:cs="Times New Roman"/>
          <w:i/>
          <w:szCs w:val="24"/>
        </w:rPr>
        <w:t>unfitness … but it is an indispensable starting point’</w:t>
      </w:r>
      <w:r w:rsidR="00E451CF">
        <w:rPr>
          <w:rFonts w:cs="Times New Roman"/>
          <w:i/>
          <w:szCs w:val="24"/>
        </w:rPr>
        <w:t xml:space="preserve"> </w:t>
      </w:r>
      <w:r w:rsidR="00E451CF">
        <w:rPr>
          <w:rFonts w:cs="Times New Roman"/>
          <w:szCs w:val="24"/>
        </w:rPr>
        <w:t xml:space="preserve">per </w:t>
      </w:r>
    </w:p>
    <w:p w14:paraId="1F20C505" w14:textId="1C111C27" w:rsidR="00EE06CA" w:rsidRPr="007572A4" w:rsidRDefault="00E451CF" w:rsidP="00E451CF">
      <w:pPr>
        <w:pStyle w:val="NoSpacing"/>
        <w:numPr>
          <w:ilvl w:val="3"/>
          <w:numId w:val="105"/>
        </w:numPr>
        <w:rPr>
          <w:rFonts w:cs="Times New Roman"/>
          <w:szCs w:val="24"/>
        </w:rPr>
      </w:pPr>
      <w:r>
        <w:rPr>
          <w:rFonts w:cs="Times New Roman"/>
          <w:i/>
          <w:szCs w:val="24"/>
        </w:rPr>
        <w:t>Re Dennis</w:t>
      </w:r>
    </w:p>
    <w:p w14:paraId="5A88853E" w14:textId="77777777" w:rsidR="007572A4" w:rsidRPr="00F207E1" w:rsidRDefault="007572A4" w:rsidP="007572A4">
      <w:pPr>
        <w:pStyle w:val="NoSpacing"/>
        <w:ind w:left="2880"/>
        <w:rPr>
          <w:rFonts w:cs="Times New Roman"/>
          <w:szCs w:val="24"/>
        </w:rPr>
      </w:pPr>
    </w:p>
    <w:p w14:paraId="3CA8AFFD" w14:textId="0A9F5A57" w:rsidR="001568AB" w:rsidRDefault="001568AB" w:rsidP="00F207E1">
      <w:pPr>
        <w:pStyle w:val="NoSpacing"/>
        <w:numPr>
          <w:ilvl w:val="2"/>
          <w:numId w:val="105"/>
        </w:numPr>
        <w:rPr>
          <w:rFonts w:cs="Times New Roman"/>
          <w:szCs w:val="24"/>
        </w:rPr>
      </w:pPr>
      <w:r>
        <w:rPr>
          <w:rFonts w:cs="Times New Roman"/>
          <w:i/>
          <w:szCs w:val="24"/>
        </w:rPr>
        <w:t>Must provide evidence</w:t>
      </w:r>
      <w:r w:rsidR="00B8135A">
        <w:rPr>
          <w:rFonts w:cs="Times New Roman"/>
          <w:i/>
          <w:szCs w:val="24"/>
        </w:rPr>
        <w:t xml:space="preserve"> of contrition</w:t>
      </w:r>
      <w:r>
        <w:rPr>
          <w:rFonts w:cs="Times New Roman"/>
          <w:i/>
          <w:szCs w:val="24"/>
        </w:rPr>
        <w:t xml:space="preserve"> </w:t>
      </w:r>
      <w:r>
        <w:rPr>
          <w:rFonts w:cs="Times New Roman"/>
          <w:szCs w:val="24"/>
        </w:rPr>
        <w:t>– The evidentiary burden still exists since ‘regret is no more than words, which carry little weight if unsupported by evidence and behaviour which reflects that regret’</w:t>
      </w:r>
    </w:p>
    <w:p w14:paraId="1FF95AD5" w14:textId="3C1E6D07" w:rsidR="001568AB" w:rsidRPr="001568AB" w:rsidRDefault="001568AB" w:rsidP="001568AB">
      <w:pPr>
        <w:pStyle w:val="NoSpacing"/>
        <w:numPr>
          <w:ilvl w:val="3"/>
          <w:numId w:val="105"/>
        </w:numPr>
        <w:rPr>
          <w:rFonts w:cs="Times New Roman"/>
          <w:szCs w:val="24"/>
        </w:rPr>
      </w:pPr>
      <w:r>
        <w:rPr>
          <w:rFonts w:cs="Times New Roman"/>
          <w:i/>
          <w:szCs w:val="24"/>
        </w:rPr>
        <w:t>Gregory v QLD Law Society</w:t>
      </w:r>
    </w:p>
    <w:p w14:paraId="2E74642A" w14:textId="77777777" w:rsidR="001568AB" w:rsidRDefault="001568AB" w:rsidP="001568AB">
      <w:pPr>
        <w:pStyle w:val="NoSpacing"/>
        <w:ind w:left="2160"/>
        <w:rPr>
          <w:rFonts w:cs="Times New Roman"/>
          <w:szCs w:val="24"/>
        </w:rPr>
      </w:pPr>
    </w:p>
    <w:p w14:paraId="3D5ADCC2" w14:textId="77777777" w:rsidR="007B621E" w:rsidRPr="001568AB" w:rsidRDefault="007B621E" w:rsidP="001568AB">
      <w:pPr>
        <w:pStyle w:val="NoSpacing"/>
        <w:ind w:left="2160"/>
        <w:rPr>
          <w:rFonts w:cs="Times New Roman"/>
          <w:szCs w:val="24"/>
        </w:rPr>
      </w:pPr>
    </w:p>
    <w:p w14:paraId="74C3DE2A" w14:textId="69386FB1" w:rsidR="00F207E1" w:rsidRDefault="007572A4" w:rsidP="00F207E1">
      <w:pPr>
        <w:pStyle w:val="NoSpacing"/>
        <w:numPr>
          <w:ilvl w:val="2"/>
          <w:numId w:val="105"/>
        </w:numPr>
        <w:rPr>
          <w:rFonts w:cs="Times New Roman"/>
          <w:szCs w:val="24"/>
        </w:rPr>
      </w:pPr>
      <w:r>
        <w:rPr>
          <w:rFonts w:cs="Times New Roman"/>
          <w:i/>
          <w:szCs w:val="24"/>
        </w:rPr>
        <w:lastRenderedPageBreak/>
        <w:t xml:space="preserve">Rejection of Regret – </w:t>
      </w:r>
      <w:r w:rsidR="001568AB">
        <w:rPr>
          <w:rFonts w:cs="Times New Roman"/>
          <w:szCs w:val="24"/>
        </w:rPr>
        <w:t>If the applicant fails to acknowledge the seriousness of their prior behaviour or attempts to deflect or downplay the responsibility for it – the Court will immediately look to this as evidence of character and unfitness.</w:t>
      </w:r>
    </w:p>
    <w:p w14:paraId="42793EAE" w14:textId="77777777" w:rsidR="005736D9" w:rsidRPr="001568AB" w:rsidRDefault="001568AB" w:rsidP="005736D9">
      <w:pPr>
        <w:pStyle w:val="NoSpacing"/>
        <w:numPr>
          <w:ilvl w:val="3"/>
          <w:numId w:val="105"/>
        </w:numPr>
        <w:rPr>
          <w:rFonts w:cs="Times New Roman"/>
          <w:szCs w:val="24"/>
        </w:rPr>
      </w:pPr>
      <w:r>
        <w:rPr>
          <w:rFonts w:cs="Times New Roman"/>
          <w:i/>
          <w:szCs w:val="24"/>
        </w:rPr>
        <w:t>Watt v Law Society of Canada</w:t>
      </w:r>
      <w:r w:rsidR="005736D9">
        <w:rPr>
          <w:rFonts w:cs="Times New Roman"/>
          <w:i/>
          <w:szCs w:val="24"/>
        </w:rPr>
        <w:t>; Gregory v QLD Law Society</w:t>
      </w:r>
    </w:p>
    <w:p w14:paraId="3521D8E8" w14:textId="38B99440" w:rsidR="001568AB" w:rsidRDefault="001568AB" w:rsidP="005736D9">
      <w:pPr>
        <w:pStyle w:val="NoSpacing"/>
        <w:rPr>
          <w:rFonts w:cs="Times New Roman"/>
          <w:szCs w:val="24"/>
        </w:rPr>
      </w:pPr>
    </w:p>
    <w:p w14:paraId="7143D8FD" w14:textId="66C2B79D" w:rsidR="00BB2778" w:rsidRDefault="00AF2289" w:rsidP="008B34E3">
      <w:pPr>
        <w:pStyle w:val="NoSpacing"/>
        <w:numPr>
          <w:ilvl w:val="0"/>
          <w:numId w:val="104"/>
        </w:numPr>
        <w:rPr>
          <w:rFonts w:cs="Times New Roman"/>
          <w:szCs w:val="24"/>
        </w:rPr>
      </w:pPr>
      <w:r>
        <w:rPr>
          <w:rFonts w:cs="Times New Roman"/>
          <w:b/>
          <w:i/>
          <w:szCs w:val="24"/>
        </w:rPr>
        <w:t xml:space="preserve">Findings of Tribunal who ordered removal </w:t>
      </w:r>
      <w:r>
        <w:rPr>
          <w:rFonts w:cs="Times New Roman"/>
          <w:szCs w:val="24"/>
        </w:rPr>
        <w:t xml:space="preserve">– </w:t>
      </w:r>
      <w:r w:rsidR="00DA55D3">
        <w:rPr>
          <w:rFonts w:cs="Times New Roman"/>
          <w:szCs w:val="24"/>
        </w:rPr>
        <w:t>Critical to the findings of readmission are the findings of the Court or tribunal that ordered the removal in the first place.</w:t>
      </w:r>
    </w:p>
    <w:p w14:paraId="2584E114" w14:textId="77777777" w:rsidR="006F679C" w:rsidRDefault="006F679C" w:rsidP="006F679C">
      <w:pPr>
        <w:pStyle w:val="NoSpacing"/>
        <w:ind w:left="720"/>
        <w:rPr>
          <w:rFonts w:cs="Times New Roman"/>
          <w:szCs w:val="24"/>
        </w:rPr>
      </w:pPr>
    </w:p>
    <w:p w14:paraId="20202B82" w14:textId="3A4A080C" w:rsidR="006F679C" w:rsidRDefault="00B66E3C" w:rsidP="006F679C">
      <w:pPr>
        <w:pStyle w:val="NoSpacing"/>
        <w:numPr>
          <w:ilvl w:val="1"/>
          <w:numId w:val="104"/>
        </w:numPr>
        <w:rPr>
          <w:rFonts w:cs="Times New Roman"/>
          <w:szCs w:val="24"/>
        </w:rPr>
      </w:pPr>
      <w:r w:rsidRPr="00A871B9">
        <w:rPr>
          <w:rFonts w:cs="Times New Roman"/>
          <w:b/>
          <w:i/>
          <w:szCs w:val="24"/>
        </w:rPr>
        <w:t>Not ‘downplay’ findings</w:t>
      </w:r>
      <w:r w:rsidR="006F679C">
        <w:rPr>
          <w:rFonts w:cs="Times New Roman"/>
          <w:b/>
          <w:i/>
          <w:szCs w:val="24"/>
        </w:rPr>
        <w:t xml:space="preserve"> </w:t>
      </w:r>
      <w:r w:rsidR="006F679C">
        <w:rPr>
          <w:rFonts w:cs="Times New Roman"/>
          <w:szCs w:val="24"/>
        </w:rPr>
        <w:t>–</w:t>
      </w:r>
      <w:r>
        <w:rPr>
          <w:rFonts w:cs="Times New Roman"/>
          <w:szCs w:val="24"/>
        </w:rPr>
        <w:t xml:space="preserve"> The Court will look to previous findings and put them to the applicant. The applicant must not downplay the findings and must explain their conduct and any mitigating instances.</w:t>
      </w:r>
    </w:p>
    <w:p w14:paraId="45238475" w14:textId="3FB95E25" w:rsidR="00B66E3C" w:rsidRPr="00B66E3C" w:rsidRDefault="00B66E3C" w:rsidP="00B66E3C">
      <w:pPr>
        <w:pStyle w:val="NoSpacing"/>
        <w:numPr>
          <w:ilvl w:val="2"/>
          <w:numId w:val="104"/>
        </w:numPr>
        <w:rPr>
          <w:rFonts w:cs="Times New Roman"/>
          <w:szCs w:val="24"/>
        </w:rPr>
      </w:pPr>
      <w:r>
        <w:rPr>
          <w:rFonts w:cs="Times New Roman"/>
          <w:i/>
          <w:szCs w:val="24"/>
        </w:rPr>
        <w:t>Bridges v Law Society of NSW</w:t>
      </w:r>
    </w:p>
    <w:p w14:paraId="398C4109" w14:textId="77777777" w:rsidR="00B66E3C" w:rsidRDefault="00B66E3C" w:rsidP="00B66E3C">
      <w:pPr>
        <w:pStyle w:val="NoSpacing"/>
        <w:ind w:left="2160"/>
        <w:rPr>
          <w:rFonts w:cs="Times New Roman"/>
          <w:szCs w:val="24"/>
        </w:rPr>
      </w:pPr>
    </w:p>
    <w:p w14:paraId="455D813D" w14:textId="07428604" w:rsidR="00B66E3C" w:rsidRDefault="00A1554A" w:rsidP="00B66E3C">
      <w:pPr>
        <w:pStyle w:val="NoSpacing"/>
        <w:numPr>
          <w:ilvl w:val="1"/>
          <w:numId w:val="104"/>
        </w:numPr>
        <w:rPr>
          <w:rFonts w:cs="Times New Roman"/>
          <w:szCs w:val="24"/>
        </w:rPr>
      </w:pPr>
      <w:r w:rsidRPr="00A871B9">
        <w:rPr>
          <w:rFonts w:cs="Times New Roman"/>
          <w:b/>
          <w:i/>
          <w:szCs w:val="24"/>
        </w:rPr>
        <w:t>Focus on address of failings</w:t>
      </w:r>
      <w:r>
        <w:rPr>
          <w:rFonts w:cs="Times New Roman"/>
          <w:i/>
          <w:szCs w:val="24"/>
        </w:rPr>
        <w:t xml:space="preserve"> – </w:t>
      </w:r>
      <w:r w:rsidR="006E610C">
        <w:rPr>
          <w:rFonts w:cs="Times New Roman"/>
          <w:szCs w:val="24"/>
        </w:rPr>
        <w:t>The applicant must focus [per above] their submissions on evidence of ratification of their failings and deduce evidence which clearly shows that they been rehabilitated.</w:t>
      </w:r>
    </w:p>
    <w:p w14:paraId="1E1C0D70" w14:textId="6D0CDEB4" w:rsidR="006E610C" w:rsidRDefault="006E610C" w:rsidP="006E610C">
      <w:pPr>
        <w:pStyle w:val="NoSpacing"/>
        <w:ind w:left="1440"/>
        <w:rPr>
          <w:rFonts w:cs="Times New Roman"/>
          <w:szCs w:val="24"/>
        </w:rPr>
      </w:pPr>
    </w:p>
    <w:p w14:paraId="6AA27937" w14:textId="37DF3FCD" w:rsidR="0024160E" w:rsidRDefault="0024160E" w:rsidP="0024160E">
      <w:pPr>
        <w:pStyle w:val="NoSpacing"/>
        <w:numPr>
          <w:ilvl w:val="1"/>
          <w:numId w:val="105"/>
        </w:numPr>
        <w:rPr>
          <w:rFonts w:cs="Times New Roman"/>
          <w:szCs w:val="24"/>
        </w:rPr>
      </w:pPr>
      <w:r w:rsidRPr="00A871B9">
        <w:rPr>
          <w:rFonts w:cs="Times New Roman"/>
          <w:b/>
          <w:i/>
          <w:szCs w:val="24"/>
        </w:rPr>
        <w:t>More Serious the failing, Greater the Burden</w:t>
      </w:r>
      <w:r w:rsidRPr="0024160E">
        <w:rPr>
          <w:rFonts w:cs="Times New Roman"/>
          <w:i/>
          <w:szCs w:val="24"/>
        </w:rPr>
        <w:t xml:space="preserve"> </w:t>
      </w:r>
      <w:r w:rsidRPr="0024160E">
        <w:rPr>
          <w:rFonts w:cs="Times New Roman"/>
          <w:szCs w:val="24"/>
        </w:rPr>
        <w:t xml:space="preserve">– </w:t>
      </w:r>
      <w:r>
        <w:rPr>
          <w:rFonts w:cs="Times New Roman"/>
          <w:szCs w:val="24"/>
        </w:rPr>
        <w:t>[see above] – The more serious the failings of the applicant, the greater the evidentiary burden required by the applicant to show they have overcome such failings.</w:t>
      </w:r>
    </w:p>
    <w:p w14:paraId="3F896015" w14:textId="1437EE3B" w:rsidR="0024160E" w:rsidRPr="00CD13BA" w:rsidRDefault="0024160E" w:rsidP="0024160E">
      <w:pPr>
        <w:pStyle w:val="NoSpacing"/>
        <w:numPr>
          <w:ilvl w:val="2"/>
          <w:numId w:val="105"/>
        </w:numPr>
        <w:rPr>
          <w:rFonts w:cs="Times New Roman"/>
          <w:szCs w:val="24"/>
        </w:rPr>
      </w:pPr>
      <w:r>
        <w:rPr>
          <w:rFonts w:cs="Times New Roman"/>
          <w:i/>
          <w:szCs w:val="24"/>
        </w:rPr>
        <w:t xml:space="preserve">Re Harrison </w:t>
      </w:r>
    </w:p>
    <w:p w14:paraId="09DD198D" w14:textId="77777777" w:rsidR="00CD13BA" w:rsidRPr="0024160E" w:rsidRDefault="00CD13BA" w:rsidP="00CD13BA">
      <w:pPr>
        <w:pStyle w:val="NoSpacing"/>
        <w:ind w:left="2160"/>
        <w:rPr>
          <w:rFonts w:cs="Times New Roman"/>
          <w:szCs w:val="24"/>
        </w:rPr>
      </w:pPr>
    </w:p>
    <w:p w14:paraId="2511A9FF" w14:textId="0041186A" w:rsidR="00FA6626" w:rsidRDefault="00FA6626" w:rsidP="00FA6626">
      <w:pPr>
        <w:pStyle w:val="NoSpacing"/>
        <w:numPr>
          <w:ilvl w:val="1"/>
          <w:numId w:val="104"/>
        </w:numPr>
        <w:rPr>
          <w:rFonts w:cs="Times New Roman"/>
          <w:szCs w:val="24"/>
        </w:rPr>
      </w:pPr>
      <w:r w:rsidRPr="00A871B9">
        <w:rPr>
          <w:rFonts w:cs="Times New Roman"/>
          <w:b/>
          <w:i/>
          <w:szCs w:val="24"/>
        </w:rPr>
        <w:t xml:space="preserve">Frequency of Acts </w:t>
      </w:r>
      <w:r w:rsidR="00D66611" w:rsidRPr="00A871B9">
        <w:rPr>
          <w:rFonts w:cs="Times New Roman"/>
          <w:b/>
          <w:i/>
          <w:szCs w:val="24"/>
        </w:rPr>
        <w:t>&amp; Immaturity</w:t>
      </w:r>
      <w:r w:rsidR="00D66611">
        <w:rPr>
          <w:rFonts w:cs="Times New Roman"/>
          <w:i/>
          <w:szCs w:val="24"/>
        </w:rPr>
        <w:t xml:space="preserve"> </w:t>
      </w:r>
      <w:r>
        <w:rPr>
          <w:rFonts w:cs="Times New Roman"/>
          <w:i/>
          <w:szCs w:val="24"/>
        </w:rPr>
        <w:t xml:space="preserve">– </w:t>
      </w:r>
      <w:r>
        <w:rPr>
          <w:rFonts w:cs="Times New Roman"/>
          <w:szCs w:val="24"/>
        </w:rPr>
        <w:t xml:space="preserve">The Court will look to the findings of the tribunal to seek evidence of whether the reasons for striking off where unique or isolated incidents </w:t>
      </w:r>
      <w:r w:rsidR="00CB5F82">
        <w:rPr>
          <w:rFonts w:cs="Times New Roman"/>
          <w:szCs w:val="24"/>
        </w:rPr>
        <w:t xml:space="preserve">or where sustained and repeated </w:t>
      </w:r>
      <w:r w:rsidR="00044C22">
        <w:rPr>
          <w:rFonts w:cs="Times New Roman"/>
          <w:szCs w:val="24"/>
        </w:rPr>
        <w:t xml:space="preserve">and the age of the applicant at the time </w:t>
      </w:r>
      <w:r w:rsidR="00CB5F82">
        <w:rPr>
          <w:rFonts w:cs="Times New Roman"/>
          <w:szCs w:val="24"/>
        </w:rPr>
        <w:t xml:space="preserve">per </w:t>
      </w:r>
      <w:r w:rsidR="00CB5F82">
        <w:rPr>
          <w:rFonts w:cs="Times New Roman"/>
          <w:i/>
          <w:szCs w:val="24"/>
        </w:rPr>
        <w:t>Re Harrison.</w:t>
      </w:r>
    </w:p>
    <w:p w14:paraId="3E233672" w14:textId="77777777" w:rsidR="00B07729" w:rsidRPr="00B07729" w:rsidRDefault="00B07729" w:rsidP="00B07729">
      <w:pPr>
        <w:pStyle w:val="NoSpacing"/>
        <w:ind w:left="2160"/>
        <w:rPr>
          <w:rFonts w:cs="Times New Roman"/>
          <w:szCs w:val="24"/>
        </w:rPr>
      </w:pPr>
    </w:p>
    <w:p w14:paraId="135A83B0" w14:textId="442442CB" w:rsidR="00FA6626" w:rsidRDefault="00FA6626" w:rsidP="00FA6626">
      <w:pPr>
        <w:pStyle w:val="NoSpacing"/>
        <w:numPr>
          <w:ilvl w:val="2"/>
          <w:numId w:val="104"/>
        </w:numPr>
        <w:rPr>
          <w:rFonts w:cs="Times New Roman"/>
          <w:szCs w:val="24"/>
        </w:rPr>
      </w:pPr>
      <w:r>
        <w:rPr>
          <w:rFonts w:cs="Times New Roman"/>
          <w:i/>
          <w:szCs w:val="24"/>
        </w:rPr>
        <w:t>More likely if isolated</w:t>
      </w:r>
      <w:r w:rsidR="00B07729">
        <w:rPr>
          <w:rFonts w:cs="Times New Roman"/>
          <w:i/>
          <w:szCs w:val="24"/>
        </w:rPr>
        <w:t>, immature</w:t>
      </w:r>
      <w:r>
        <w:rPr>
          <w:rFonts w:cs="Times New Roman"/>
          <w:i/>
          <w:szCs w:val="24"/>
        </w:rPr>
        <w:t xml:space="preserve"> –</w:t>
      </w:r>
      <w:r>
        <w:rPr>
          <w:rFonts w:cs="Times New Roman"/>
          <w:szCs w:val="24"/>
        </w:rPr>
        <w:t xml:space="preserve"> The Court will likely to attribute weight to the </w:t>
      </w:r>
      <w:r w:rsidR="00CB5F82">
        <w:rPr>
          <w:rFonts w:cs="Times New Roman"/>
          <w:szCs w:val="24"/>
        </w:rPr>
        <w:t>application</w:t>
      </w:r>
      <w:r>
        <w:rPr>
          <w:rFonts w:cs="Times New Roman"/>
          <w:szCs w:val="24"/>
        </w:rPr>
        <w:t xml:space="preserve"> if the incident is isolated</w:t>
      </w:r>
      <w:r w:rsidR="00C56B28">
        <w:rPr>
          <w:rFonts w:cs="Times New Roman"/>
          <w:szCs w:val="24"/>
        </w:rPr>
        <w:t xml:space="preserve"> and the applicant was immaturity and inexperienced</w:t>
      </w:r>
      <w:r>
        <w:rPr>
          <w:rFonts w:cs="Times New Roman"/>
          <w:szCs w:val="24"/>
        </w:rPr>
        <w:t>.</w:t>
      </w:r>
    </w:p>
    <w:p w14:paraId="65A7B962" w14:textId="5A274E23" w:rsidR="00CB5F82" w:rsidRPr="0014262D" w:rsidRDefault="00CB5F82" w:rsidP="00CB5F82">
      <w:pPr>
        <w:pStyle w:val="NoSpacing"/>
        <w:numPr>
          <w:ilvl w:val="3"/>
          <w:numId w:val="104"/>
        </w:numPr>
        <w:rPr>
          <w:rFonts w:cs="Times New Roman"/>
          <w:szCs w:val="24"/>
        </w:rPr>
      </w:pPr>
      <w:proofErr w:type="spellStart"/>
      <w:r>
        <w:rPr>
          <w:rFonts w:cs="Times New Roman"/>
          <w:i/>
          <w:szCs w:val="24"/>
        </w:rPr>
        <w:t>Kriss</w:t>
      </w:r>
      <w:proofErr w:type="spellEnd"/>
      <w:r>
        <w:rPr>
          <w:rFonts w:cs="Times New Roman"/>
          <w:i/>
          <w:szCs w:val="24"/>
        </w:rPr>
        <w:t xml:space="preserve"> v Legal Practitioners Board</w:t>
      </w:r>
    </w:p>
    <w:p w14:paraId="5A413190" w14:textId="77777777" w:rsidR="0014262D" w:rsidRPr="0014262D" w:rsidRDefault="0014262D" w:rsidP="0014262D">
      <w:pPr>
        <w:pStyle w:val="NoSpacing"/>
        <w:ind w:left="2880"/>
        <w:rPr>
          <w:rFonts w:cs="Times New Roman"/>
          <w:szCs w:val="24"/>
        </w:rPr>
      </w:pPr>
    </w:p>
    <w:p w14:paraId="43643A17" w14:textId="78BF7809" w:rsidR="009F6790" w:rsidRDefault="0014262D" w:rsidP="0014262D">
      <w:pPr>
        <w:pStyle w:val="NoSpacing"/>
        <w:numPr>
          <w:ilvl w:val="1"/>
          <w:numId w:val="104"/>
        </w:numPr>
        <w:rPr>
          <w:rFonts w:cs="Times New Roman"/>
          <w:szCs w:val="24"/>
        </w:rPr>
      </w:pPr>
      <w:r w:rsidRPr="00A871B9">
        <w:rPr>
          <w:rFonts w:cs="Times New Roman"/>
          <w:b/>
          <w:i/>
          <w:szCs w:val="24"/>
        </w:rPr>
        <w:t>Other External Stressors</w:t>
      </w:r>
      <w:r>
        <w:rPr>
          <w:rFonts w:cs="Times New Roman"/>
          <w:i/>
          <w:szCs w:val="24"/>
        </w:rPr>
        <w:t xml:space="preserve"> </w:t>
      </w:r>
      <w:r>
        <w:rPr>
          <w:rFonts w:cs="Times New Roman"/>
          <w:szCs w:val="24"/>
        </w:rPr>
        <w:t>– The Court relevantly considers any external stressors at the time the offence was committed.</w:t>
      </w:r>
      <w:r w:rsidR="006C582B">
        <w:rPr>
          <w:rFonts w:cs="Times New Roman"/>
          <w:szCs w:val="24"/>
        </w:rPr>
        <w:t xml:space="preserve"> </w:t>
      </w:r>
      <w:r w:rsidR="004357D9">
        <w:rPr>
          <w:rFonts w:cs="Times New Roman"/>
          <w:szCs w:val="24"/>
        </w:rPr>
        <w:t>These may or may not be relevant.</w:t>
      </w:r>
    </w:p>
    <w:p w14:paraId="4A28AB6C" w14:textId="2E898C4F" w:rsidR="0014262D" w:rsidRPr="00CB5F82" w:rsidRDefault="009F6790" w:rsidP="009F6790">
      <w:pPr>
        <w:pStyle w:val="NoSpacing"/>
        <w:numPr>
          <w:ilvl w:val="2"/>
          <w:numId w:val="104"/>
        </w:numPr>
        <w:rPr>
          <w:rFonts w:cs="Times New Roman"/>
          <w:szCs w:val="24"/>
        </w:rPr>
      </w:pPr>
      <w:r>
        <w:rPr>
          <w:rFonts w:cs="Times New Roman"/>
          <w:i/>
          <w:szCs w:val="24"/>
        </w:rPr>
        <w:t xml:space="preserve">Age, Family Problems </w:t>
      </w:r>
      <w:proofErr w:type="spellStart"/>
      <w:r>
        <w:rPr>
          <w:rFonts w:cs="Times New Roman"/>
          <w:i/>
          <w:szCs w:val="24"/>
        </w:rPr>
        <w:t>etc</w:t>
      </w:r>
      <w:proofErr w:type="spellEnd"/>
      <w:r>
        <w:rPr>
          <w:rFonts w:cs="Times New Roman"/>
          <w:i/>
          <w:szCs w:val="24"/>
        </w:rPr>
        <w:t xml:space="preserve"> </w:t>
      </w:r>
      <w:r w:rsidR="006C582B" w:rsidRPr="009F6790">
        <w:rPr>
          <w:rFonts w:cs="Times New Roman"/>
          <w:b/>
          <w:i/>
          <w:szCs w:val="24"/>
          <w:u w:val="single"/>
        </w:rPr>
        <w:t>[see mitigating factors]</w:t>
      </w:r>
    </w:p>
    <w:p w14:paraId="5763353D" w14:textId="77777777" w:rsidR="00CB5F82" w:rsidRPr="00CB5F82" w:rsidRDefault="00CB5F82" w:rsidP="00CB5F82">
      <w:pPr>
        <w:pStyle w:val="NoSpacing"/>
        <w:ind w:left="2880"/>
        <w:rPr>
          <w:rFonts w:cs="Times New Roman"/>
          <w:szCs w:val="24"/>
        </w:rPr>
      </w:pPr>
    </w:p>
    <w:p w14:paraId="30ED79A5" w14:textId="77777777" w:rsidR="00CB5F82" w:rsidRPr="008C2D3E" w:rsidRDefault="008C2D3E" w:rsidP="008C2D3E">
      <w:pPr>
        <w:pStyle w:val="NoSpacing"/>
        <w:numPr>
          <w:ilvl w:val="0"/>
          <w:numId w:val="104"/>
        </w:numPr>
        <w:rPr>
          <w:rFonts w:cs="Times New Roman"/>
          <w:szCs w:val="24"/>
        </w:rPr>
      </w:pPr>
      <w:r>
        <w:rPr>
          <w:rFonts w:cs="Times New Roman"/>
          <w:b/>
          <w:i/>
          <w:szCs w:val="24"/>
        </w:rPr>
        <w:t>Importance of Candour upon Readmission</w:t>
      </w:r>
    </w:p>
    <w:p w14:paraId="52989FF7" w14:textId="14A9A4D2" w:rsidR="008C2D3E" w:rsidRDefault="00DF4426" w:rsidP="008C2D3E">
      <w:pPr>
        <w:pStyle w:val="NoSpacing"/>
        <w:numPr>
          <w:ilvl w:val="1"/>
          <w:numId w:val="104"/>
        </w:numPr>
        <w:rPr>
          <w:rFonts w:cs="Times New Roman"/>
          <w:szCs w:val="24"/>
        </w:rPr>
      </w:pPr>
      <w:r>
        <w:rPr>
          <w:rFonts w:cs="Times New Roman"/>
          <w:i/>
          <w:szCs w:val="24"/>
        </w:rPr>
        <w:t xml:space="preserve">Overcoming failings </w:t>
      </w:r>
      <w:r>
        <w:rPr>
          <w:rFonts w:cs="Times New Roman"/>
          <w:szCs w:val="24"/>
        </w:rPr>
        <w:t xml:space="preserve">– The importance of displaying candour is even more critical </w:t>
      </w:r>
      <w:r w:rsidR="00C208DF">
        <w:rPr>
          <w:rFonts w:cs="Times New Roman"/>
          <w:szCs w:val="24"/>
        </w:rPr>
        <w:t>since the applicant must overcome those reasons for which they were struck off in the first place.</w:t>
      </w:r>
    </w:p>
    <w:p w14:paraId="3347F35B" w14:textId="77777777" w:rsidR="00A2710E" w:rsidRPr="00CB5F82" w:rsidRDefault="00A2710E" w:rsidP="00A2710E">
      <w:pPr>
        <w:pStyle w:val="NoSpacing"/>
        <w:numPr>
          <w:ilvl w:val="3"/>
          <w:numId w:val="104"/>
        </w:numPr>
        <w:rPr>
          <w:rFonts w:cs="Times New Roman"/>
          <w:szCs w:val="24"/>
        </w:rPr>
      </w:pPr>
      <w:proofErr w:type="spellStart"/>
      <w:r>
        <w:rPr>
          <w:rFonts w:cs="Times New Roman"/>
          <w:i/>
          <w:szCs w:val="24"/>
        </w:rPr>
        <w:t>Kriss</w:t>
      </w:r>
      <w:proofErr w:type="spellEnd"/>
      <w:r>
        <w:rPr>
          <w:rFonts w:cs="Times New Roman"/>
          <w:i/>
          <w:szCs w:val="24"/>
        </w:rPr>
        <w:t xml:space="preserve"> v Legal Practitioners Board</w:t>
      </w:r>
    </w:p>
    <w:p w14:paraId="1144E879" w14:textId="09814C87" w:rsidR="00D02358" w:rsidRDefault="00D02358" w:rsidP="00D02358">
      <w:pPr>
        <w:pStyle w:val="NoSpacing"/>
        <w:ind w:left="1440"/>
        <w:rPr>
          <w:rFonts w:cs="Times New Roman"/>
          <w:szCs w:val="24"/>
        </w:rPr>
      </w:pPr>
    </w:p>
    <w:p w14:paraId="1CBA1014" w14:textId="09239B03" w:rsidR="00D02358" w:rsidRDefault="00D02358" w:rsidP="008C2D3E">
      <w:pPr>
        <w:pStyle w:val="NoSpacing"/>
        <w:numPr>
          <w:ilvl w:val="1"/>
          <w:numId w:val="104"/>
        </w:numPr>
        <w:rPr>
          <w:rFonts w:cs="Times New Roman"/>
          <w:szCs w:val="24"/>
        </w:rPr>
      </w:pPr>
      <w:r>
        <w:rPr>
          <w:rFonts w:cs="Times New Roman"/>
          <w:i/>
          <w:szCs w:val="24"/>
        </w:rPr>
        <w:t xml:space="preserve">Lack of Candour – </w:t>
      </w:r>
      <w:r>
        <w:rPr>
          <w:rFonts w:cs="Times New Roman"/>
          <w:szCs w:val="24"/>
        </w:rPr>
        <w:t>A relevant lack of candour is direct evidence that the applicant readmission is weak and will undoubtedly sway the Court to rejecting the applicants request for readmission on this basis.</w:t>
      </w:r>
    </w:p>
    <w:p w14:paraId="7C9DDC9B" w14:textId="77777777" w:rsidR="00D02358" w:rsidRDefault="00D02358" w:rsidP="00D02358">
      <w:pPr>
        <w:pStyle w:val="ListParagraph"/>
      </w:pPr>
    </w:p>
    <w:p w14:paraId="35FE6CBA" w14:textId="2937B0AF" w:rsidR="00D02358" w:rsidRDefault="001E6EF4" w:rsidP="00D02358">
      <w:pPr>
        <w:pStyle w:val="NoSpacing"/>
        <w:numPr>
          <w:ilvl w:val="0"/>
          <w:numId w:val="104"/>
        </w:numPr>
        <w:rPr>
          <w:rFonts w:cs="Times New Roman"/>
          <w:szCs w:val="24"/>
        </w:rPr>
      </w:pPr>
      <w:r>
        <w:rPr>
          <w:rFonts w:cs="Times New Roman"/>
          <w:b/>
          <w:i/>
          <w:szCs w:val="24"/>
        </w:rPr>
        <w:t xml:space="preserve">Time between removal and application </w:t>
      </w:r>
      <w:r>
        <w:rPr>
          <w:rFonts w:cs="Times New Roman"/>
          <w:b/>
          <w:szCs w:val="24"/>
        </w:rPr>
        <w:t xml:space="preserve">– </w:t>
      </w:r>
      <w:r>
        <w:rPr>
          <w:rFonts w:cs="Times New Roman"/>
          <w:szCs w:val="24"/>
        </w:rPr>
        <w:t>The Court will provide appropriate weight to the tim</w:t>
      </w:r>
      <w:r w:rsidR="00776E41">
        <w:rPr>
          <w:rFonts w:cs="Times New Roman"/>
          <w:szCs w:val="24"/>
        </w:rPr>
        <w:t>e between which the applicant has been removed and has applicant for admission.</w:t>
      </w:r>
    </w:p>
    <w:p w14:paraId="5881F21B" w14:textId="6257200E" w:rsidR="00776E41" w:rsidRDefault="00776E41" w:rsidP="00776E41">
      <w:pPr>
        <w:pStyle w:val="NoSpacing"/>
        <w:numPr>
          <w:ilvl w:val="1"/>
          <w:numId w:val="104"/>
        </w:numPr>
        <w:rPr>
          <w:rFonts w:cs="Times New Roman"/>
          <w:szCs w:val="24"/>
        </w:rPr>
      </w:pPr>
      <w:r w:rsidRPr="00776E41">
        <w:rPr>
          <w:rFonts w:cs="Times New Roman"/>
          <w:i/>
          <w:szCs w:val="24"/>
        </w:rPr>
        <w:lastRenderedPageBreak/>
        <w:t xml:space="preserve">Sufficient evidence of </w:t>
      </w:r>
      <w:r>
        <w:rPr>
          <w:rFonts w:cs="Times New Roman"/>
          <w:i/>
          <w:szCs w:val="24"/>
        </w:rPr>
        <w:t xml:space="preserve">Rehabilitation </w:t>
      </w:r>
      <w:r>
        <w:rPr>
          <w:rFonts w:cs="Times New Roman"/>
          <w:szCs w:val="24"/>
        </w:rPr>
        <w:t>– The Court will rele</w:t>
      </w:r>
      <w:r w:rsidR="00913AEA">
        <w:rPr>
          <w:rFonts w:cs="Times New Roman"/>
          <w:szCs w:val="24"/>
        </w:rPr>
        <w:t xml:space="preserve">vantly weight the time between removal and readmission in order to ensure that the applicant </w:t>
      </w:r>
      <w:r w:rsidR="00C83C2A">
        <w:rPr>
          <w:rFonts w:cs="Times New Roman"/>
          <w:szCs w:val="24"/>
        </w:rPr>
        <w:t>has been able to overcome their failings.</w:t>
      </w:r>
    </w:p>
    <w:p w14:paraId="4375AEF3" w14:textId="77777777" w:rsidR="00C83C2A" w:rsidRPr="001A6CA2" w:rsidRDefault="001A6CA2" w:rsidP="00C83C2A">
      <w:pPr>
        <w:pStyle w:val="NoSpacing"/>
        <w:numPr>
          <w:ilvl w:val="2"/>
          <w:numId w:val="104"/>
        </w:numPr>
        <w:rPr>
          <w:rFonts w:cs="Times New Roman"/>
          <w:szCs w:val="24"/>
        </w:rPr>
      </w:pPr>
      <w:r>
        <w:rPr>
          <w:rFonts w:cs="Times New Roman"/>
          <w:i/>
          <w:szCs w:val="24"/>
        </w:rPr>
        <w:t>Gregory v QLD Law Society</w:t>
      </w:r>
    </w:p>
    <w:p w14:paraId="60E071DD" w14:textId="77777777" w:rsidR="001A6CA2" w:rsidRPr="001A6CA2" w:rsidRDefault="001A6CA2" w:rsidP="001A6CA2">
      <w:pPr>
        <w:pStyle w:val="NoSpacing"/>
        <w:ind w:left="2160"/>
        <w:rPr>
          <w:rFonts w:cs="Times New Roman"/>
          <w:szCs w:val="24"/>
        </w:rPr>
      </w:pPr>
    </w:p>
    <w:p w14:paraId="43CB148E" w14:textId="49646851" w:rsidR="001A6CA2" w:rsidRDefault="005B1D1F" w:rsidP="001A6CA2">
      <w:pPr>
        <w:pStyle w:val="NoSpacing"/>
        <w:numPr>
          <w:ilvl w:val="1"/>
          <w:numId w:val="104"/>
        </w:numPr>
        <w:rPr>
          <w:rFonts w:cs="Times New Roman"/>
          <w:szCs w:val="24"/>
        </w:rPr>
      </w:pPr>
      <w:r>
        <w:rPr>
          <w:rFonts w:cs="Times New Roman"/>
          <w:i/>
          <w:szCs w:val="24"/>
        </w:rPr>
        <w:t xml:space="preserve">Longer time does not </w:t>
      </w:r>
      <w:r w:rsidR="00D66611">
        <w:rPr>
          <w:rFonts w:cs="Times New Roman"/>
          <w:i/>
          <w:szCs w:val="24"/>
        </w:rPr>
        <w:t>guarantee</w:t>
      </w:r>
      <w:r>
        <w:rPr>
          <w:rFonts w:cs="Times New Roman"/>
          <w:i/>
          <w:szCs w:val="24"/>
        </w:rPr>
        <w:t xml:space="preserve"> </w:t>
      </w:r>
      <w:r>
        <w:rPr>
          <w:rFonts w:cs="Times New Roman"/>
          <w:szCs w:val="24"/>
        </w:rPr>
        <w:t xml:space="preserve">– </w:t>
      </w:r>
      <w:r w:rsidR="00D66611">
        <w:rPr>
          <w:rFonts w:cs="Times New Roman"/>
          <w:szCs w:val="24"/>
        </w:rPr>
        <w:t xml:space="preserve">A long time between removal and readmission does not guarantee </w:t>
      </w:r>
      <w:r w:rsidR="00B07729">
        <w:rPr>
          <w:rFonts w:cs="Times New Roman"/>
          <w:szCs w:val="24"/>
        </w:rPr>
        <w:t>removal.</w:t>
      </w:r>
    </w:p>
    <w:p w14:paraId="67EC7EF1" w14:textId="7A01852B" w:rsidR="00B07729" w:rsidRDefault="00B07729" w:rsidP="00B07729">
      <w:pPr>
        <w:pStyle w:val="NoSpacing"/>
        <w:numPr>
          <w:ilvl w:val="2"/>
          <w:numId w:val="104"/>
        </w:numPr>
        <w:rPr>
          <w:rFonts w:cs="Times New Roman"/>
          <w:szCs w:val="24"/>
        </w:rPr>
      </w:pPr>
      <w:r>
        <w:rPr>
          <w:rFonts w:cs="Times New Roman"/>
          <w:i/>
          <w:szCs w:val="24"/>
        </w:rPr>
        <w:t xml:space="preserve">Re Harrison </w:t>
      </w:r>
      <w:r>
        <w:rPr>
          <w:rFonts w:cs="Times New Roman"/>
          <w:szCs w:val="24"/>
        </w:rPr>
        <w:t xml:space="preserve">– 20 years after removal – Court rejected </w:t>
      </w:r>
      <w:r w:rsidR="0029078E">
        <w:rPr>
          <w:rFonts w:cs="Times New Roman"/>
          <w:szCs w:val="24"/>
        </w:rPr>
        <w:t xml:space="preserve">applicant as conduct was in </w:t>
      </w:r>
      <w:proofErr w:type="gramStart"/>
      <w:r w:rsidR="0029078E">
        <w:rPr>
          <w:rFonts w:cs="Times New Roman"/>
          <w:szCs w:val="24"/>
        </w:rPr>
        <w:t>mid</w:t>
      </w:r>
      <w:r w:rsidR="00FF0792">
        <w:rPr>
          <w:rFonts w:cs="Times New Roman"/>
          <w:szCs w:val="24"/>
        </w:rPr>
        <w:t>–</w:t>
      </w:r>
      <w:r w:rsidR="0029078E">
        <w:rPr>
          <w:rFonts w:cs="Times New Roman"/>
          <w:szCs w:val="24"/>
        </w:rPr>
        <w:t>40’s</w:t>
      </w:r>
      <w:proofErr w:type="gramEnd"/>
      <w:r w:rsidR="0029078E">
        <w:rPr>
          <w:rFonts w:cs="Times New Roman"/>
          <w:szCs w:val="24"/>
        </w:rPr>
        <w:t xml:space="preserve"> and applicant show repeated, sustained dishonesty over 4 years.</w:t>
      </w:r>
    </w:p>
    <w:p w14:paraId="49A951FC" w14:textId="77777777" w:rsidR="0029078E" w:rsidRDefault="0029078E" w:rsidP="0029078E">
      <w:pPr>
        <w:pStyle w:val="NoSpacing"/>
        <w:ind w:left="2160"/>
        <w:rPr>
          <w:rFonts w:cs="Times New Roman"/>
          <w:i/>
          <w:szCs w:val="24"/>
        </w:rPr>
      </w:pPr>
    </w:p>
    <w:p w14:paraId="7FBB08F5" w14:textId="77777777" w:rsidR="0029078E" w:rsidRDefault="0029078E" w:rsidP="0029078E">
      <w:pPr>
        <w:pStyle w:val="NoSpacing"/>
        <w:ind w:left="2160"/>
        <w:rPr>
          <w:rFonts w:cs="Times New Roman"/>
          <w:szCs w:val="24"/>
        </w:rPr>
      </w:pPr>
    </w:p>
    <w:p w14:paraId="51E51F23" w14:textId="3D928C0E" w:rsidR="00E3183B" w:rsidRDefault="00B37830" w:rsidP="005C3631">
      <w:pPr>
        <w:pStyle w:val="NoSpacing"/>
        <w:numPr>
          <w:ilvl w:val="0"/>
          <w:numId w:val="104"/>
        </w:numPr>
      </w:pPr>
      <w:r>
        <w:rPr>
          <w:rFonts w:cs="Times New Roman"/>
          <w:b/>
          <w:i/>
          <w:szCs w:val="24"/>
        </w:rPr>
        <w:t xml:space="preserve">Readmission Subject to Conditions </w:t>
      </w:r>
      <w:r>
        <w:rPr>
          <w:rFonts w:cs="Times New Roman"/>
          <w:szCs w:val="24"/>
        </w:rPr>
        <w:t xml:space="preserve">– </w:t>
      </w:r>
      <w:proofErr w:type="gramStart"/>
      <w:r w:rsidR="00E3183B">
        <w:rPr>
          <w:i/>
        </w:rPr>
        <w:t>s</w:t>
      </w:r>
      <w:r w:rsidR="00E3183B" w:rsidRPr="00373C2E">
        <w:rPr>
          <w:i/>
        </w:rPr>
        <w:t>4.4.17(</w:t>
      </w:r>
      <w:proofErr w:type="gramEnd"/>
      <w:r w:rsidR="00E3183B" w:rsidRPr="00373C2E">
        <w:rPr>
          <w:i/>
        </w:rPr>
        <w:t>d)</w:t>
      </w:r>
      <w:r w:rsidR="00E3183B">
        <w:t xml:space="preserve"> </w:t>
      </w:r>
      <w:r w:rsidR="00E3183B">
        <w:rPr>
          <w:i/>
        </w:rPr>
        <w:t>LPA</w:t>
      </w:r>
      <w:r w:rsidR="00E3183B">
        <w:t xml:space="preserve"> –</w:t>
      </w:r>
      <w:r w:rsidR="00E3183B" w:rsidRPr="00FA0E47">
        <w:rPr>
          <w:rFonts w:cs="Times New Roman"/>
          <w:i/>
          <w:szCs w:val="24"/>
        </w:rPr>
        <w:t>–</w:t>
      </w:r>
      <w:r w:rsidR="00E3183B">
        <w:rPr>
          <w:rFonts w:cs="Times New Roman"/>
          <w:szCs w:val="24"/>
        </w:rPr>
        <w:t xml:space="preserve"> </w:t>
      </w:r>
      <w:r w:rsidR="005224B3">
        <w:rPr>
          <w:rFonts w:cs="Times New Roman"/>
          <w:szCs w:val="24"/>
        </w:rPr>
        <w:t>The Court can readmit an applicant unconditionally or with conditions attached to their practising certificate</w:t>
      </w:r>
      <w:r w:rsidR="0034579E">
        <w:rPr>
          <w:rFonts w:cs="Times New Roman"/>
          <w:szCs w:val="24"/>
        </w:rPr>
        <w:t>.</w:t>
      </w:r>
    </w:p>
    <w:p w14:paraId="71CAD2E8" w14:textId="77777777" w:rsidR="00DA5459" w:rsidRPr="00DA5459" w:rsidRDefault="00DA5459" w:rsidP="00DA5459">
      <w:pPr>
        <w:pStyle w:val="NoSpacing"/>
        <w:ind w:left="1440"/>
        <w:rPr>
          <w:rFonts w:cs="Times New Roman"/>
          <w:szCs w:val="24"/>
        </w:rPr>
      </w:pPr>
    </w:p>
    <w:p w14:paraId="35D57964" w14:textId="25E410AC" w:rsidR="00360692" w:rsidRDefault="00DA5459" w:rsidP="0034579E">
      <w:pPr>
        <w:pStyle w:val="NoSpacing"/>
        <w:numPr>
          <w:ilvl w:val="0"/>
          <w:numId w:val="106"/>
        </w:numPr>
        <w:rPr>
          <w:rFonts w:cs="Times New Roman"/>
          <w:szCs w:val="24"/>
        </w:rPr>
      </w:pPr>
      <w:r>
        <w:rPr>
          <w:rFonts w:cs="Times New Roman"/>
          <w:i/>
          <w:szCs w:val="24"/>
        </w:rPr>
        <w:t xml:space="preserve">Monitoring &amp; Conditions </w:t>
      </w:r>
      <w:r>
        <w:rPr>
          <w:rFonts w:cs="Times New Roman"/>
          <w:szCs w:val="24"/>
        </w:rPr>
        <w:t xml:space="preserve">– Where the Court imposes conditions or undertakings on readmission, they are done to control or monitor the </w:t>
      </w:r>
      <w:proofErr w:type="spellStart"/>
      <w:r>
        <w:rPr>
          <w:rFonts w:cs="Times New Roman"/>
          <w:szCs w:val="24"/>
        </w:rPr>
        <w:t>lwayers</w:t>
      </w:r>
      <w:proofErr w:type="spellEnd"/>
      <w:r>
        <w:rPr>
          <w:rFonts w:cs="Times New Roman"/>
          <w:szCs w:val="24"/>
        </w:rPr>
        <w:t xml:space="preserve"> reason for removal.</w:t>
      </w:r>
    </w:p>
    <w:p w14:paraId="39606D2D" w14:textId="3BB03415" w:rsidR="00DA5459" w:rsidRDefault="00DA5459" w:rsidP="00DA5459">
      <w:pPr>
        <w:pStyle w:val="NoSpacing"/>
        <w:ind w:left="1440"/>
        <w:rPr>
          <w:rFonts w:cs="Times New Roman"/>
          <w:szCs w:val="24"/>
        </w:rPr>
      </w:pPr>
    </w:p>
    <w:p w14:paraId="6F38E9DC" w14:textId="36EE98BD" w:rsidR="00DA5459" w:rsidRDefault="00E01237" w:rsidP="0034579E">
      <w:pPr>
        <w:pStyle w:val="NoSpacing"/>
        <w:numPr>
          <w:ilvl w:val="0"/>
          <w:numId w:val="106"/>
        </w:numPr>
        <w:rPr>
          <w:rFonts w:cs="Times New Roman"/>
          <w:szCs w:val="24"/>
        </w:rPr>
      </w:pPr>
      <w:r>
        <w:rPr>
          <w:rFonts w:cs="Times New Roman"/>
          <w:i/>
          <w:szCs w:val="24"/>
        </w:rPr>
        <w:t xml:space="preserve">Removal of Conditions </w:t>
      </w:r>
      <w:r w:rsidR="007B6CFA">
        <w:rPr>
          <w:rFonts w:cs="Times New Roman"/>
          <w:szCs w:val="24"/>
        </w:rPr>
        <w:t xml:space="preserve">– </w:t>
      </w:r>
      <w:r w:rsidR="007B6CFA" w:rsidRPr="006D7D3F">
        <w:rPr>
          <w:rFonts w:cs="Times New Roman"/>
          <w:i/>
          <w:szCs w:val="24"/>
        </w:rPr>
        <w:t>s4.4.2</w:t>
      </w:r>
      <w:r w:rsidR="005C3631">
        <w:rPr>
          <w:rFonts w:cs="Times New Roman"/>
          <w:i/>
          <w:szCs w:val="24"/>
        </w:rPr>
        <w:t>3</w:t>
      </w:r>
      <w:r w:rsidR="007B6CFA" w:rsidRPr="006D7D3F">
        <w:rPr>
          <w:rFonts w:cs="Times New Roman"/>
          <w:i/>
          <w:szCs w:val="24"/>
        </w:rPr>
        <w:t xml:space="preserve"> LPA</w:t>
      </w:r>
      <w:r w:rsidR="007B6CFA">
        <w:rPr>
          <w:rFonts w:cs="Times New Roman"/>
          <w:szCs w:val="24"/>
        </w:rPr>
        <w:t xml:space="preserve"> – </w:t>
      </w:r>
      <w:r>
        <w:rPr>
          <w:rFonts w:cs="Times New Roman"/>
          <w:szCs w:val="24"/>
        </w:rPr>
        <w:t xml:space="preserve">The applicant can apply to the Court to have the conditions removed </w:t>
      </w:r>
      <w:r w:rsidR="00A560BD">
        <w:rPr>
          <w:rFonts w:cs="Times New Roman"/>
          <w:szCs w:val="24"/>
        </w:rPr>
        <w:t>and must prove that the circumstances that made the Court impose the condition have been overcome.</w:t>
      </w:r>
    </w:p>
    <w:p w14:paraId="6404203E" w14:textId="77777777" w:rsidR="00A560BD" w:rsidRDefault="00A560BD" w:rsidP="00A560BD">
      <w:pPr>
        <w:pStyle w:val="ListParagraph"/>
      </w:pPr>
    </w:p>
    <w:p w14:paraId="1857ACE1" w14:textId="77777777" w:rsidR="00A560BD" w:rsidRDefault="00A560BD" w:rsidP="00A560BD">
      <w:pPr>
        <w:pStyle w:val="NoSpacing"/>
        <w:numPr>
          <w:ilvl w:val="2"/>
          <w:numId w:val="106"/>
        </w:numPr>
        <w:rPr>
          <w:rFonts w:cs="Times New Roman"/>
          <w:szCs w:val="24"/>
        </w:rPr>
      </w:pPr>
      <w:r>
        <w:rPr>
          <w:rFonts w:cs="Times New Roman"/>
          <w:i/>
          <w:szCs w:val="24"/>
        </w:rPr>
        <w:t xml:space="preserve">Reversal of Reasons </w:t>
      </w:r>
      <w:r>
        <w:rPr>
          <w:rFonts w:cs="Times New Roman"/>
          <w:szCs w:val="24"/>
        </w:rPr>
        <w:t xml:space="preserve">– The applicants case for a removal of the conditions must be </w:t>
      </w:r>
    </w:p>
    <w:p w14:paraId="7D13B02E" w14:textId="4C7531B5" w:rsidR="00DB36A1" w:rsidRDefault="00A560BD" w:rsidP="007544CE">
      <w:pPr>
        <w:pStyle w:val="NoSpacing"/>
        <w:ind w:left="2880"/>
        <w:rPr>
          <w:rFonts w:cs="Times New Roman"/>
          <w:szCs w:val="24"/>
        </w:rPr>
      </w:pPr>
      <w:r w:rsidRPr="006C47A6">
        <w:rPr>
          <w:rFonts w:cs="Times New Roman"/>
          <w:i/>
          <w:szCs w:val="24"/>
        </w:rPr>
        <w:t>‘</w:t>
      </w:r>
      <w:proofErr w:type="gramStart"/>
      <w:r w:rsidRPr="006C47A6">
        <w:rPr>
          <w:rFonts w:cs="Times New Roman"/>
          <w:i/>
          <w:szCs w:val="24"/>
        </w:rPr>
        <w:t>founded</w:t>
      </w:r>
      <w:proofErr w:type="gramEnd"/>
      <w:r w:rsidRPr="006C47A6">
        <w:rPr>
          <w:rFonts w:cs="Times New Roman"/>
          <w:i/>
          <w:szCs w:val="24"/>
        </w:rPr>
        <w:t xml:space="preserve"> upon a reversal of those reasons which had justified the original imposition of the restriction’</w:t>
      </w:r>
      <w:r w:rsidR="00C746D4">
        <w:rPr>
          <w:rFonts w:cs="Times New Roman"/>
          <w:szCs w:val="24"/>
        </w:rPr>
        <w:t xml:space="preserve"> – </w:t>
      </w:r>
      <w:r w:rsidR="00827BC0">
        <w:rPr>
          <w:rFonts w:cs="Times New Roman"/>
          <w:i/>
          <w:szCs w:val="24"/>
        </w:rPr>
        <w:t>Taylor v QLD Law Society</w:t>
      </w:r>
    </w:p>
    <w:p w14:paraId="4700C372" w14:textId="77777777" w:rsidR="007544CE" w:rsidRPr="007544CE" w:rsidRDefault="007544CE" w:rsidP="007544CE">
      <w:pPr>
        <w:pStyle w:val="NoSpacing"/>
        <w:ind w:left="2880"/>
        <w:rPr>
          <w:rFonts w:cs="Times New Roman"/>
          <w:szCs w:val="24"/>
        </w:rPr>
      </w:pPr>
    </w:p>
    <w:p w14:paraId="3735BFE0" w14:textId="1237B85A" w:rsidR="00E3183B" w:rsidRPr="008F314A" w:rsidRDefault="00E3183B" w:rsidP="0051598B">
      <w:pPr>
        <w:pStyle w:val="NoSpacing"/>
        <w:numPr>
          <w:ilvl w:val="0"/>
          <w:numId w:val="106"/>
        </w:numPr>
      </w:pPr>
      <w:r w:rsidRPr="00CF271C">
        <w:rPr>
          <w:b/>
          <w:i/>
        </w:rPr>
        <w:t>[</w:t>
      </w:r>
      <w:r w:rsidR="00DA5459" w:rsidRPr="00CF271C">
        <w:rPr>
          <w:b/>
          <w:i/>
        </w:rPr>
        <w:t xml:space="preserve">see </w:t>
      </w:r>
      <w:r w:rsidR="0051598B" w:rsidRPr="00CF271C">
        <w:rPr>
          <w:b/>
          <w:i/>
        </w:rPr>
        <w:t xml:space="preserve">also </w:t>
      </w:r>
      <w:r w:rsidR="0034579E" w:rsidRPr="00CF271C">
        <w:rPr>
          <w:b/>
          <w:i/>
          <w:u w:val="single"/>
        </w:rPr>
        <w:t xml:space="preserve">Disciplinary Actions – VCAT Hearing; </w:t>
      </w:r>
      <w:r w:rsidR="00E620EE" w:rsidRPr="00CF271C">
        <w:rPr>
          <w:b/>
          <w:i/>
          <w:u w:val="single"/>
        </w:rPr>
        <w:t xml:space="preserve"> </w:t>
      </w:r>
      <w:r w:rsidR="0034579E" w:rsidRPr="00CF271C">
        <w:rPr>
          <w:b/>
          <w:i/>
          <w:u w:val="single"/>
        </w:rPr>
        <w:t>Misconduct</w:t>
      </w:r>
      <w:r w:rsidRPr="00CF271C">
        <w:rPr>
          <w:b/>
          <w:i/>
        </w:rPr>
        <w:t>]</w:t>
      </w:r>
    </w:p>
    <w:p w14:paraId="19DF0DC0" w14:textId="77777777" w:rsidR="005E2A4D" w:rsidRDefault="005E2A4D" w:rsidP="00A560BD">
      <w:pPr>
        <w:pStyle w:val="NoSpacing"/>
      </w:pPr>
    </w:p>
    <w:p w14:paraId="1D1F3394" w14:textId="77777777" w:rsidR="005E2A4D" w:rsidRDefault="005E2A4D" w:rsidP="0079364B">
      <w:pPr>
        <w:pStyle w:val="NoSpacing"/>
        <w:rPr>
          <w:rFonts w:cs="Times New Roman"/>
          <w:szCs w:val="24"/>
        </w:rPr>
      </w:pPr>
    </w:p>
    <w:p w14:paraId="510A6A6A" w14:textId="77777777" w:rsidR="005E2A4D" w:rsidRDefault="005E2A4D" w:rsidP="0079364B">
      <w:pPr>
        <w:pStyle w:val="NoSpacing"/>
        <w:rPr>
          <w:rFonts w:cs="Times New Roman"/>
          <w:szCs w:val="24"/>
        </w:rPr>
      </w:pPr>
    </w:p>
    <w:p w14:paraId="17A14073" w14:textId="77777777" w:rsidR="005E2A4D" w:rsidRDefault="005E2A4D" w:rsidP="0079364B">
      <w:pPr>
        <w:pStyle w:val="NoSpacing"/>
        <w:rPr>
          <w:rFonts w:cs="Times New Roman"/>
          <w:szCs w:val="24"/>
        </w:rPr>
      </w:pPr>
    </w:p>
    <w:p w14:paraId="20322A63" w14:textId="77777777" w:rsidR="005E2A4D" w:rsidRDefault="005E2A4D" w:rsidP="0079364B">
      <w:pPr>
        <w:pStyle w:val="NoSpacing"/>
        <w:rPr>
          <w:rFonts w:cs="Times New Roman"/>
          <w:szCs w:val="24"/>
        </w:rPr>
      </w:pPr>
    </w:p>
    <w:p w14:paraId="3F90CAB1" w14:textId="77777777" w:rsidR="005E2A4D" w:rsidRDefault="005E2A4D" w:rsidP="0079364B">
      <w:pPr>
        <w:pStyle w:val="NoSpacing"/>
        <w:rPr>
          <w:rFonts w:cs="Times New Roman"/>
          <w:szCs w:val="24"/>
        </w:rPr>
      </w:pPr>
    </w:p>
    <w:p w14:paraId="30BCC104" w14:textId="77777777" w:rsidR="005E2A4D" w:rsidRDefault="005E2A4D" w:rsidP="0079364B">
      <w:pPr>
        <w:pStyle w:val="NoSpacing"/>
        <w:rPr>
          <w:rFonts w:cs="Times New Roman"/>
          <w:szCs w:val="24"/>
        </w:rPr>
      </w:pPr>
    </w:p>
    <w:p w14:paraId="544592B0" w14:textId="77777777" w:rsidR="005E2A4D" w:rsidRDefault="005E2A4D" w:rsidP="0079364B">
      <w:pPr>
        <w:pStyle w:val="NoSpacing"/>
        <w:rPr>
          <w:rFonts w:cs="Times New Roman"/>
          <w:szCs w:val="24"/>
        </w:rPr>
      </w:pPr>
    </w:p>
    <w:p w14:paraId="0C195AC8" w14:textId="77777777" w:rsidR="005E2A4D" w:rsidRDefault="005E2A4D" w:rsidP="0079364B">
      <w:pPr>
        <w:pStyle w:val="NoSpacing"/>
        <w:rPr>
          <w:rFonts w:cs="Times New Roman"/>
          <w:szCs w:val="24"/>
        </w:rPr>
      </w:pPr>
    </w:p>
    <w:p w14:paraId="43BC7343" w14:textId="77777777" w:rsidR="005E2A4D" w:rsidRDefault="005E2A4D" w:rsidP="0079364B">
      <w:pPr>
        <w:pStyle w:val="NoSpacing"/>
        <w:rPr>
          <w:rFonts w:cs="Times New Roman"/>
          <w:szCs w:val="24"/>
        </w:rPr>
      </w:pPr>
    </w:p>
    <w:p w14:paraId="2F9EAB8E" w14:textId="77777777" w:rsidR="005E2A4D" w:rsidRDefault="005E2A4D" w:rsidP="0079364B">
      <w:pPr>
        <w:pStyle w:val="NoSpacing"/>
        <w:rPr>
          <w:rFonts w:cs="Times New Roman"/>
          <w:szCs w:val="24"/>
        </w:rPr>
      </w:pPr>
    </w:p>
    <w:p w14:paraId="752834BC" w14:textId="77777777" w:rsidR="005E2A4D" w:rsidRDefault="005E2A4D" w:rsidP="0079364B">
      <w:pPr>
        <w:pStyle w:val="NoSpacing"/>
        <w:rPr>
          <w:rFonts w:cs="Times New Roman"/>
          <w:szCs w:val="24"/>
        </w:rPr>
      </w:pPr>
    </w:p>
    <w:p w14:paraId="227BFB72" w14:textId="77777777" w:rsidR="005E2A4D" w:rsidRDefault="005E2A4D" w:rsidP="0079364B">
      <w:pPr>
        <w:pStyle w:val="NoSpacing"/>
        <w:rPr>
          <w:rFonts w:cs="Times New Roman"/>
          <w:szCs w:val="24"/>
        </w:rPr>
      </w:pPr>
    </w:p>
    <w:p w14:paraId="096A1484" w14:textId="77777777" w:rsidR="005E2A4D" w:rsidRDefault="005E2A4D" w:rsidP="0079364B">
      <w:pPr>
        <w:pStyle w:val="NoSpacing"/>
        <w:rPr>
          <w:rFonts w:cs="Times New Roman"/>
          <w:szCs w:val="24"/>
        </w:rPr>
      </w:pPr>
    </w:p>
    <w:p w14:paraId="45A1C619" w14:textId="77777777" w:rsidR="005E2A4D" w:rsidRDefault="005E2A4D" w:rsidP="0079364B">
      <w:pPr>
        <w:pStyle w:val="NoSpacing"/>
        <w:rPr>
          <w:rFonts w:cs="Times New Roman"/>
          <w:szCs w:val="24"/>
        </w:rPr>
      </w:pPr>
    </w:p>
    <w:p w14:paraId="6A39851F" w14:textId="77777777" w:rsidR="005E2A4D" w:rsidRDefault="005E2A4D" w:rsidP="0079364B">
      <w:pPr>
        <w:pStyle w:val="NoSpacing"/>
        <w:rPr>
          <w:rFonts w:cs="Times New Roman"/>
          <w:szCs w:val="24"/>
        </w:rPr>
      </w:pPr>
    </w:p>
    <w:p w14:paraId="3BB4E083" w14:textId="77777777" w:rsidR="005E2A4D" w:rsidRDefault="005E2A4D" w:rsidP="0079364B">
      <w:pPr>
        <w:pStyle w:val="NoSpacing"/>
        <w:rPr>
          <w:rFonts w:cs="Times New Roman"/>
          <w:szCs w:val="24"/>
        </w:rPr>
      </w:pPr>
    </w:p>
    <w:p w14:paraId="2515CACC" w14:textId="77777777" w:rsidR="005E2A4D" w:rsidRDefault="005E2A4D" w:rsidP="0079364B">
      <w:pPr>
        <w:pStyle w:val="NoSpacing"/>
        <w:rPr>
          <w:rFonts w:cs="Times New Roman"/>
          <w:szCs w:val="24"/>
        </w:rPr>
      </w:pPr>
    </w:p>
    <w:p w14:paraId="5011B958" w14:textId="77777777" w:rsidR="005E2A4D" w:rsidRDefault="005E2A4D" w:rsidP="0079364B">
      <w:pPr>
        <w:pStyle w:val="NoSpacing"/>
        <w:rPr>
          <w:rFonts w:cs="Times New Roman"/>
          <w:szCs w:val="24"/>
        </w:rPr>
      </w:pPr>
    </w:p>
    <w:p w14:paraId="53003883" w14:textId="77777777" w:rsidR="005E2A4D" w:rsidRDefault="005E2A4D" w:rsidP="0079364B">
      <w:pPr>
        <w:pStyle w:val="NoSpacing"/>
        <w:rPr>
          <w:rFonts w:cs="Times New Roman"/>
          <w:szCs w:val="24"/>
        </w:rPr>
      </w:pPr>
    </w:p>
    <w:p w14:paraId="4A84E7BC" w14:textId="77777777" w:rsidR="005E2A4D" w:rsidRDefault="005E2A4D" w:rsidP="0079364B">
      <w:pPr>
        <w:pStyle w:val="NoSpacing"/>
        <w:rPr>
          <w:rFonts w:cs="Times New Roman"/>
          <w:szCs w:val="24"/>
        </w:rPr>
      </w:pPr>
    </w:p>
    <w:p w14:paraId="67BAF195" w14:textId="77777777" w:rsidR="005E2A4D" w:rsidRDefault="005E2A4D" w:rsidP="0079364B">
      <w:pPr>
        <w:pStyle w:val="NoSpacing"/>
        <w:rPr>
          <w:rFonts w:cs="Times New Roman"/>
          <w:szCs w:val="24"/>
        </w:rPr>
      </w:pPr>
    </w:p>
    <w:p w14:paraId="501225BC" w14:textId="18D58B62" w:rsidR="00145331" w:rsidRDefault="00145331" w:rsidP="00145331">
      <w:pPr>
        <w:pStyle w:val="NoSpacing"/>
        <w:rPr>
          <w:rFonts w:cs="Times New Roman"/>
          <w:b/>
          <w:sz w:val="36"/>
          <w:szCs w:val="36"/>
          <w:u w:val="single"/>
        </w:rPr>
      </w:pPr>
      <w:r>
        <w:rPr>
          <w:rFonts w:cs="Times New Roman"/>
          <w:b/>
          <w:sz w:val="36"/>
          <w:szCs w:val="36"/>
          <w:u w:val="single"/>
        </w:rPr>
        <w:lastRenderedPageBreak/>
        <w:t>Duty to the Court</w:t>
      </w:r>
    </w:p>
    <w:p w14:paraId="5350ED04" w14:textId="77777777" w:rsidR="00145331" w:rsidRPr="00145331" w:rsidRDefault="00145331" w:rsidP="00145331">
      <w:pPr>
        <w:pStyle w:val="NoSpacing"/>
      </w:pPr>
    </w:p>
    <w:p w14:paraId="2321504C" w14:textId="77777777" w:rsidR="00145331" w:rsidRDefault="00D94A90" w:rsidP="00145331">
      <w:pPr>
        <w:pStyle w:val="NoSpacing"/>
        <w:rPr>
          <w:b/>
          <w:u w:val="single"/>
        </w:rPr>
      </w:pPr>
      <w:r>
        <w:rPr>
          <w:b/>
          <w:u w:val="single"/>
        </w:rPr>
        <w:t>General</w:t>
      </w:r>
    </w:p>
    <w:p w14:paraId="6A5D1497" w14:textId="77777777" w:rsidR="00D94A90" w:rsidRDefault="00D94A90" w:rsidP="00145331">
      <w:pPr>
        <w:pStyle w:val="NoSpacing"/>
        <w:rPr>
          <w:b/>
          <w:u w:val="single"/>
        </w:rPr>
      </w:pPr>
    </w:p>
    <w:p w14:paraId="0FEBE55C" w14:textId="79DB3B60" w:rsidR="00D94A90" w:rsidRDefault="00B33BA6" w:rsidP="000A1182">
      <w:pPr>
        <w:pStyle w:val="NoSpacing"/>
        <w:numPr>
          <w:ilvl w:val="0"/>
          <w:numId w:val="75"/>
        </w:numPr>
      </w:pPr>
      <w:r w:rsidRPr="00B33BA6">
        <w:rPr>
          <w:b/>
          <w:i/>
        </w:rPr>
        <w:t>Order of Duties</w:t>
      </w:r>
      <w:r>
        <w:t xml:space="preserve"> – The obligations of legal practitioners comprise a hierarchy of duties:</w:t>
      </w:r>
    </w:p>
    <w:p w14:paraId="1C1E54DC" w14:textId="77777777" w:rsidR="008806E3" w:rsidRPr="0094384E" w:rsidRDefault="00B33BA6" w:rsidP="000A1182">
      <w:pPr>
        <w:pStyle w:val="NoSpacing"/>
        <w:numPr>
          <w:ilvl w:val="1"/>
          <w:numId w:val="75"/>
        </w:numPr>
        <w:rPr>
          <w:u w:val="single"/>
        </w:rPr>
      </w:pPr>
      <w:r w:rsidRPr="0094384E">
        <w:rPr>
          <w:b/>
          <w:i/>
          <w:u w:val="single"/>
        </w:rPr>
        <w:t>Duty to the Law</w:t>
      </w:r>
    </w:p>
    <w:p w14:paraId="6A81DB11" w14:textId="588BD5B1" w:rsidR="00B33BA6" w:rsidRDefault="008806E3" w:rsidP="00D77690">
      <w:pPr>
        <w:pStyle w:val="NoSpacing"/>
        <w:numPr>
          <w:ilvl w:val="2"/>
          <w:numId w:val="75"/>
        </w:numPr>
      </w:pPr>
      <w:r w:rsidRPr="00D77690">
        <w:rPr>
          <w:i/>
        </w:rPr>
        <w:t>Paramount Duty</w:t>
      </w:r>
      <w:r w:rsidRPr="008806E3">
        <w:rPr>
          <w:b/>
          <w:i/>
        </w:rPr>
        <w:t xml:space="preserve"> </w:t>
      </w:r>
      <w:r w:rsidRPr="008806E3">
        <w:rPr>
          <w:i/>
        </w:rPr>
        <w:t>– PCPR 4 –</w:t>
      </w:r>
      <w:r w:rsidRPr="008806E3">
        <w:rPr>
          <w:b/>
          <w:i/>
        </w:rPr>
        <w:t xml:space="preserve"> </w:t>
      </w:r>
      <w:r>
        <w:t xml:space="preserve">The paramount duty is to the Law and to obey the law in the interests of the administration of justice and the respect for the law per </w:t>
      </w:r>
      <w:r w:rsidRPr="008806E3">
        <w:rPr>
          <w:i/>
        </w:rPr>
        <w:t>Re B</w:t>
      </w:r>
      <w:r>
        <w:t>.</w:t>
      </w:r>
      <w:r>
        <w:tab/>
      </w:r>
    </w:p>
    <w:p w14:paraId="12BE0B7F" w14:textId="77777777" w:rsidR="00B33BA6" w:rsidRPr="0094384E" w:rsidRDefault="00B33BA6" w:rsidP="000A1182">
      <w:pPr>
        <w:pStyle w:val="NoSpacing"/>
        <w:numPr>
          <w:ilvl w:val="1"/>
          <w:numId w:val="75"/>
        </w:numPr>
        <w:rPr>
          <w:u w:val="single"/>
        </w:rPr>
      </w:pPr>
      <w:r w:rsidRPr="0094384E">
        <w:rPr>
          <w:b/>
          <w:i/>
          <w:u w:val="single"/>
        </w:rPr>
        <w:t>Duty to the Court</w:t>
      </w:r>
    </w:p>
    <w:p w14:paraId="1FCBC554" w14:textId="77777777" w:rsidR="00B33BA6" w:rsidRPr="0094384E" w:rsidRDefault="00B33BA6" w:rsidP="000A1182">
      <w:pPr>
        <w:pStyle w:val="NoSpacing"/>
        <w:numPr>
          <w:ilvl w:val="1"/>
          <w:numId w:val="75"/>
        </w:numPr>
        <w:rPr>
          <w:u w:val="single"/>
        </w:rPr>
      </w:pPr>
      <w:r w:rsidRPr="0094384E">
        <w:rPr>
          <w:b/>
          <w:i/>
          <w:u w:val="single"/>
        </w:rPr>
        <w:t>Duty to Clients</w:t>
      </w:r>
    </w:p>
    <w:p w14:paraId="675DF836" w14:textId="1B082183" w:rsidR="00B33BA6" w:rsidRPr="00D77690" w:rsidRDefault="00B33BA6" w:rsidP="000A1182">
      <w:pPr>
        <w:pStyle w:val="NoSpacing"/>
        <w:numPr>
          <w:ilvl w:val="1"/>
          <w:numId w:val="75"/>
        </w:numPr>
      </w:pPr>
      <w:r w:rsidRPr="0094384E">
        <w:rPr>
          <w:b/>
          <w:i/>
          <w:u w:val="single"/>
        </w:rPr>
        <w:t>Duty to Others</w:t>
      </w:r>
      <w:r w:rsidRPr="00422EF9">
        <w:rPr>
          <w:i/>
        </w:rPr>
        <w:t xml:space="preserve"> [Practitioners, Community, 3</w:t>
      </w:r>
      <w:r w:rsidRPr="00422EF9">
        <w:rPr>
          <w:i/>
          <w:vertAlign w:val="superscript"/>
        </w:rPr>
        <w:t>rd</w:t>
      </w:r>
      <w:r w:rsidRPr="00422EF9">
        <w:rPr>
          <w:i/>
        </w:rPr>
        <w:t xml:space="preserve"> Parties]</w:t>
      </w:r>
    </w:p>
    <w:p w14:paraId="1BB521A4" w14:textId="77777777" w:rsidR="00B33BA6" w:rsidRDefault="00B33BA6" w:rsidP="00B33BA6">
      <w:pPr>
        <w:pStyle w:val="NoSpacing"/>
        <w:ind w:left="1080"/>
      </w:pPr>
    </w:p>
    <w:p w14:paraId="21FA55AA" w14:textId="1ABF8198" w:rsidR="00B33BA6" w:rsidRPr="00DB089E" w:rsidRDefault="00CC70CD" w:rsidP="00CC70CD">
      <w:pPr>
        <w:pStyle w:val="NoSpacing"/>
        <w:rPr>
          <w:b/>
          <w:sz w:val="28"/>
          <w:szCs w:val="28"/>
          <w:u w:val="single"/>
        </w:rPr>
      </w:pPr>
      <w:r w:rsidRPr="00DB089E">
        <w:rPr>
          <w:b/>
          <w:sz w:val="28"/>
          <w:szCs w:val="28"/>
          <w:u w:val="single"/>
        </w:rPr>
        <w:t xml:space="preserve">Duty to the </w:t>
      </w:r>
      <w:r w:rsidR="00A6336F" w:rsidRPr="00DB089E">
        <w:rPr>
          <w:b/>
          <w:sz w:val="28"/>
          <w:szCs w:val="28"/>
          <w:u w:val="single"/>
        </w:rPr>
        <w:t>Law</w:t>
      </w:r>
    </w:p>
    <w:p w14:paraId="0BB154F2" w14:textId="1F75C76C" w:rsidR="00CA07A6" w:rsidRDefault="00CA07A6" w:rsidP="00CB011D">
      <w:pPr>
        <w:pStyle w:val="NoSpacing"/>
      </w:pPr>
    </w:p>
    <w:p w14:paraId="19F3B570" w14:textId="6A2F73B4" w:rsidR="0011042A" w:rsidRPr="001217E8" w:rsidRDefault="0069386E" w:rsidP="00CB011D">
      <w:pPr>
        <w:pStyle w:val="NoSpacing"/>
        <w:rPr>
          <w:b/>
          <w:i/>
          <w:u w:val="single"/>
        </w:rPr>
      </w:pPr>
      <w:r w:rsidRPr="00DB089E">
        <w:rPr>
          <w:b/>
          <w:i/>
          <w:u w:val="single"/>
        </w:rPr>
        <w:t>Client who behaves unlawfully</w:t>
      </w:r>
      <w:r w:rsidR="00772A82">
        <w:rPr>
          <w:b/>
          <w:i/>
        </w:rPr>
        <w:t xml:space="preserve"> –</w:t>
      </w:r>
      <w:r w:rsidR="00066944">
        <w:rPr>
          <w:b/>
          <w:i/>
        </w:rPr>
        <w:t xml:space="preserve"> PCPR 15</w:t>
      </w:r>
      <w:r w:rsidR="001217E8">
        <w:rPr>
          <w:b/>
          <w:i/>
        </w:rPr>
        <w:t xml:space="preserve"> </w:t>
      </w:r>
      <w:r w:rsidR="001217E8" w:rsidRPr="001217E8">
        <w:rPr>
          <w:b/>
          <w:i/>
          <w:u w:val="single"/>
        </w:rPr>
        <w:t>[also confidentiality, public interest]</w:t>
      </w:r>
    </w:p>
    <w:p w14:paraId="4C01AC53" w14:textId="77777777" w:rsidR="00CB011D" w:rsidRPr="00772A82" w:rsidRDefault="00CB011D" w:rsidP="00CB011D">
      <w:pPr>
        <w:pStyle w:val="NoSpacing"/>
      </w:pPr>
    </w:p>
    <w:p w14:paraId="173AD650" w14:textId="202C2019" w:rsidR="0011042A" w:rsidRDefault="00182A9A" w:rsidP="00E33042">
      <w:pPr>
        <w:pStyle w:val="NoSpacing"/>
        <w:numPr>
          <w:ilvl w:val="0"/>
          <w:numId w:val="76"/>
        </w:numPr>
      </w:pPr>
      <w:r w:rsidRPr="00C4011C">
        <w:rPr>
          <w:b/>
          <w:i/>
        </w:rPr>
        <w:t>Unlawful Conduct</w:t>
      </w:r>
      <w:r>
        <w:rPr>
          <w:i/>
        </w:rPr>
        <w:t xml:space="preserve"> – </w:t>
      </w:r>
      <w:r w:rsidR="0069386E" w:rsidRPr="0011042A">
        <w:t>If a client engages in unlawful conduct the practitioner should counsel the client against it and avoid any personal involvement.</w:t>
      </w:r>
      <w:r w:rsidR="00E33042">
        <w:t xml:space="preserve"> </w:t>
      </w:r>
      <w:r w:rsidR="00E33042">
        <w:rPr>
          <w:i/>
        </w:rPr>
        <w:t>‘Cannot turn a blind eye to disclosed or apparent illegality’</w:t>
      </w:r>
    </w:p>
    <w:p w14:paraId="27C0272F" w14:textId="093D41C2" w:rsidR="00C139E9" w:rsidRPr="004F7F31" w:rsidRDefault="00BC182F" w:rsidP="000A1182">
      <w:pPr>
        <w:pStyle w:val="NoSpacing"/>
        <w:numPr>
          <w:ilvl w:val="1"/>
          <w:numId w:val="76"/>
        </w:numPr>
        <w:rPr>
          <w:rFonts w:cs="Times New Roman"/>
          <w:szCs w:val="24"/>
        </w:rPr>
      </w:pPr>
      <w:r w:rsidRPr="00BC182F">
        <w:rPr>
          <w:rFonts w:cs="Times New Roman"/>
          <w:i/>
          <w:szCs w:val="24"/>
          <w:u w:val="single"/>
        </w:rPr>
        <w:t>Termination of Retainer</w:t>
      </w:r>
      <w:r>
        <w:rPr>
          <w:rFonts w:cs="Times New Roman"/>
          <w:i/>
          <w:szCs w:val="24"/>
        </w:rPr>
        <w:t xml:space="preserve"> –</w:t>
      </w:r>
      <w:r w:rsidR="00C139E9" w:rsidRPr="000B0288">
        <w:rPr>
          <w:rFonts w:cs="Times New Roman"/>
          <w:i/>
          <w:szCs w:val="24"/>
        </w:rPr>
        <w:t>PCPR 6.1.3</w:t>
      </w:r>
    </w:p>
    <w:p w14:paraId="43CCED80" w14:textId="1E82A7AA" w:rsidR="00C139E9" w:rsidRPr="003B71F7" w:rsidRDefault="00C139E9" w:rsidP="000A1182">
      <w:pPr>
        <w:pStyle w:val="NoSpacing"/>
        <w:numPr>
          <w:ilvl w:val="3"/>
          <w:numId w:val="76"/>
        </w:numPr>
      </w:pPr>
      <w:proofErr w:type="gramStart"/>
      <w:r w:rsidRPr="00BC182F">
        <w:rPr>
          <w:rFonts w:cs="Times New Roman"/>
          <w:i/>
          <w:szCs w:val="24"/>
        </w:rPr>
        <w:t>Clients</w:t>
      </w:r>
      <w:proofErr w:type="gramEnd"/>
      <w:r w:rsidRPr="00BC182F">
        <w:rPr>
          <w:rFonts w:cs="Times New Roman"/>
          <w:i/>
          <w:szCs w:val="24"/>
        </w:rPr>
        <w:t xml:space="preserve"> acts or omissions provide cause </w:t>
      </w:r>
      <w:r w:rsidRPr="00BC182F">
        <w:rPr>
          <w:rFonts w:cs="Times New Roman"/>
          <w:szCs w:val="24"/>
        </w:rPr>
        <w:t xml:space="preserve">– If the client is preventing the lawyer from properly </w:t>
      </w:r>
      <w:r w:rsidR="003B71F7" w:rsidRPr="00BC182F">
        <w:rPr>
          <w:rFonts w:cs="Times New Roman"/>
          <w:szCs w:val="24"/>
        </w:rPr>
        <w:t>performing their duties such as then they can terminate the retainer.</w:t>
      </w:r>
    </w:p>
    <w:p w14:paraId="5622CF8A" w14:textId="77777777" w:rsidR="00254AB9" w:rsidRPr="00254AB9" w:rsidRDefault="00254AB9" w:rsidP="00254AB9">
      <w:pPr>
        <w:pStyle w:val="NoSpacing"/>
        <w:ind w:left="1440"/>
      </w:pPr>
    </w:p>
    <w:p w14:paraId="5FFA4B23" w14:textId="643BAA33" w:rsidR="0069386E" w:rsidRDefault="00182A9A" w:rsidP="000A1182">
      <w:pPr>
        <w:pStyle w:val="NoSpacing"/>
        <w:numPr>
          <w:ilvl w:val="1"/>
          <w:numId w:val="76"/>
        </w:numPr>
      </w:pPr>
      <w:r>
        <w:rPr>
          <w:i/>
        </w:rPr>
        <w:t>Disregard Advice –</w:t>
      </w:r>
      <w:r w:rsidR="001D2E3E">
        <w:rPr>
          <w:i/>
        </w:rPr>
        <w:t>PCPR 15.3</w:t>
      </w:r>
      <w:r>
        <w:rPr>
          <w:i/>
        </w:rPr>
        <w:t xml:space="preserve"> </w:t>
      </w:r>
      <w:r w:rsidR="001D2E3E">
        <w:rPr>
          <w:i/>
        </w:rPr>
        <w:t xml:space="preserve">– </w:t>
      </w:r>
      <w:r w:rsidR="0069386E" w:rsidRPr="0011042A">
        <w:t>If client disregards the advice and thereby contravenes the law or legal obligation to a 3rd party then terminate instructions.</w:t>
      </w:r>
    </w:p>
    <w:p w14:paraId="3A78799F" w14:textId="77777777" w:rsidR="0069304A" w:rsidRDefault="0069304A" w:rsidP="0069304A">
      <w:pPr>
        <w:pStyle w:val="NoSpacing"/>
        <w:ind w:left="1440"/>
      </w:pPr>
    </w:p>
    <w:p w14:paraId="37AE72D7" w14:textId="0F8DEE46" w:rsidR="0069304A" w:rsidRDefault="00A3487F" w:rsidP="0069304A">
      <w:pPr>
        <w:pStyle w:val="NoSpacing"/>
        <w:numPr>
          <w:ilvl w:val="1"/>
          <w:numId w:val="76"/>
        </w:numPr>
      </w:pPr>
      <w:r>
        <w:rPr>
          <w:b/>
          <w:i/>
          <w:u w:val="single"/>
        </w:rPr>
        <w:t xml:space="preserve">False or Misleading Evidence </w:t>
      </w:r>
      <w:r>
        <w:t xml:space="preserve">– </w:t>
      </w:r>
      <w:r w:rsidR="006832A0" w:rsidRPr="0014187D">
        <w:rPr>
          <w:i/>
        </w:rPr>
        <w:t>PCPR 15.1</w:t>
      </w:r>
      <w:r w:rsidR="006832A0">
        <w:t xml:space="preserve"> – </w:t>
      </w:r>
      <w:r>
        <w:t>a Client who has tendered false and misleading evidence and has informed the lawyer about such evidence must:</w:t>
      </w:r>
    </w:p>
    <w:p w14:paraId="1DE729E7" w14:textId="7CAC6799" w:rsidR="00A3487F" w:rsidRDefault="00A3487F" w:rsidP="00A3487F">
      <w:pPr>
        <w:pStyle w:val="NoSpacing"/>
        <w:numPr>
          <w:ilvl w:val="2"/>
          <w:numId w:val="76"/>
        </w:numPr>
      </w:pPr>
      <w:r w:rsidRPr="00346F1C">
        <w:rPr>
          <w:i/>
        </w:rPr>
        <w:t>15.1.1A</w:t>
      </w:r>
      <w:r>
        <w:t xml:space="preserve"> – Advise the </w:t>
      </w:r>
      <w:r w:rsidRPr="008D5243">
        <w:rPr>
          <w:u w:val="single"/>
        </w:rPr>
        <w:t>client unless the court is informed of the lie</w:t>
      </w:r>
      <w:r>
        <w:t xml:space="preserve"> or </w:t>
      </w:r>
      <w:r w:rsidR="00346F1C">
        <w:t>falsification</w:t>
      </w:r>
      <w:r>
        <w:t xml:space="preserve">, the </w:t>
      </w:r>
      <w:r w:rsidR="00346F1C">
        <w:t>practitioner</w:t>
      </w:r>
      <w:r>
        <w:t xml:space="preserve"> cannot take any further part of the case.</w:t>
      </w:r>
    </w:p>
    <w:p w14:paraId="5B7FB025" w14:textId="54C4FFFA" w:rsidR="00A3487F" w:rsidRDefault="00A3487F" w:rsidP="00A3487F">
      <w:pPr>
        <w:pStyle w:val="NoSpacing"/>
        <w:numPr>
          <w:ilvl w:val="2"/>
          <w:numId w:val="76"/>
        </w:numPr>
      </w:pPr>
      <w:r w:rsidRPr="00346F1C">
        <w:rPr>
          <w:i/>
        </w:rPr>
        <w:t>15.1.1</w:t>
      </w:r>
      <w:r>
        <w:t xml:space="preserve"> – </w:t>
      </w:r>
      <w:r w:rsidRPr="005F1FBE">
        <w:rPr>
          <w:u w:val="single"/>
        </w:rPr>
        <w:t>Refuse to take any further part of the case</w:t>
      </w:r>
      <w:r>
        <w:t xml:space="preserve"> until the client authorises disclosure.</w:t>
      </w:r>
    </w:p>
    <w:p w14:paraId="249D0BDD" w14:textId="4FCB3468" w:rsidR="00A3487F" w:rsidRDefault="00A3487F" w:rsidP="00A3487F">
      <w:pPr>
        <w:pStyle w:val="NoSpacing"/>
        <w:numPr>
          <w:ilvl w:val="2"/>
          <w:numId w:val="76"/>
        </w:numPr>
      </w:pPr>
      <w:r w:rsidRPr="00346F1C">
        <w:rPr>
          <w:i/>
        </w:rPr>
        <w:t>15.1.2</w:t>
      </w:r>
      <w:r>
        <w:t xml:space="preserve"> – Promptly </w:t>
      </w:r>
      <w:proofErr w:type="gramStart"/>
      <w:r w:rsidRPr="00FD04EB">
        <w:rPr>
          <w:u w:val="single"/>
        </w:rPr>
        <w:t>inform</w:t>
      </w:r>
      <w:proofErr w:type="gramEnd"/>
      <w:r w:rsidRPr="00FD04EB">
        <w:rPr>
          <w:u w:val="single"/>
        </w:rPr>
        <w:t xml:space="preserve"> the Court of the lie or the </w:t>
      </w:r>
      <w:r w:rsidR="00346F1C" w:rsidRPr="00FD04EB">
        <w:rPr>
          <w:u w:val="single"/>
        </w:rPr>
        <w:t>falsification</w:t>
      </w:r>
      <w:r>
        <w:t xml:space="preserve"> upon the client authorising the practitioner to do so.</w:t>
      </w:r>
    </w:p>
    <w:p w14:paraId="647E0F3D" w14:textId="39148A1E" w:rsidR="00A3487F" w:rsidRDefault="00A3487F" w:rsidP="00A3487F">
      <w:pPr>
        <w:pStyle w:val="NoSpacing"/>
        <w:numPr>
          <w:ilvl w:val="2"/>
          <w:numId w:val="76"/>
        </w:numPr>
      </w:pPr>
      <w:r w:rsidRPr="00346F1C">
        <w:rPr>
          <w:i/>
        </w:rPr>
        <w:t>15.1.3</w:t>
      </w:r>
      <w:r>
        <w:t xml:space="preserve"> – Must not inform the Court of the lie or </w:t>
      </w:r>
      <w:r w:rsidR="008D56F9">
        <w:t>falsification</w:t>
      </w:r>
      <w:r>
        <w:t>.</w:t>
      </w:r>
    </w:p>
    <w:p w14:paraId="45D39070" w14:textId="77777777" w:rsidR="00CD501A" w:rsidRPr="00CD501A" w:rsidRDefault="00CD501A" w:rsidP="00CD501A">
      <w:pPr>
        <w:pStyle w:val="NoSpacing"/>
        <w:ind w:left="720"/>
      </w:pPr>
    </w:p>
    <w:p w14:paraId="107AE16B" w14:textId="77777777" w:rsidR="00CD501A" w:rsidRPr="00C139E9" w:rsidRDefault="00CD501A" w:rsidP="00CD501A">
      <w:pPr>
        <w:pStyle w:val="NoSpacing"/>
        <w:numPr>
          <w:ilvl w:val="0"/>
          <w:numId w:val="76"/>
        </w:numPr>
      </w:pPr>
      <w:r w:rsidRPr="00F44177">
        <w:rPr>
          <w:b/>
          <w:i/>
        </w:rPr>
        <w:t>Unethical instructions</w:t>
      </w:r>
      <w:r>
        <w:t xml:space="preserve"> – </w:t>
      </w:r>
      <w:r>
        <w:rPr>
          <w:i/>
        </w:rPr>
        <w:t>PCPR 6.1.3</w:t>
      </w:r>
    </w:p>
    <w:p w14:paraId="552670CE" w14:textId="77777777" w:rsidR="00CD501A" w:rsidRDefault="00CD501A" w:rsidP="00CD501A">
      <w:pPr>
        <w:pStyle w:val="NoSpacing"/>
        <w:numPr>
          <w:ilvl w:val="1"/>
          <w:numId w:val="76"/>
        </w:numPr>
      </w:pPr>
      <w:r>
        <w:rPr>
          <w:i/>
        </w:rPr>
        <w:t xml:space="preserve">Make Inquiries – </w:t>
      </w:r>
      <w:r w:rsidRPr="0011042A">
        <w:t>If the instructions may have ethical consequences for you then you are entitled to make inquiries of the client to establish their bona fides.</w:t>
      </w:r>
    </w:p>
    <w:p w14:paraId="3EC27A1D" w14:textId="77777777" w:rsidR="00CD501A" w:rsidRDefault="00CD501A" w:rsidP="00CD501A">
      <w:pPr>
        <w:pStyle w:val="NoSpacing"/>
        <w:numPr>
          <w:ilvl w:val="1"/>
          <w:numId w:val="76"/>
        </w:numPr>
      </w:pPr>
      <w:r>
        <w:rPr>
          <w:i/>
        </w:rPr>
        <w:t>Inquire to 3</w:t>
      </w:r>
      <w:r w:rsidRPr="00A201D6">
        <w:rPr>
          <w:i/>
          <w:vertAlign w:val="superscript"/>
        </w:rPr>
        <w:t>rd</w:t>
      </w:r>
      <w:r>
        <w:rPr>
          <w:i/>
        </w:rPr>
        <w:t xml:space="preserve"> Parties – </w:t>
      </w:r>
      <w:r w:rsidRPr="0011042A">
        <w:t>If these inquiries do not allay your suspicions you may be justified in making inquiries of other people provided that you do not breach confidentiality</w:t>
      </w:r>
    </w:p>
    <w:p w14:paraId="1080D786" w14:textId="77777777" w:rsidR="00254AB9" w:rsidRDefault="00254AB9" w:rsidP="00254AB9">
      <w:pPr>
        <w:pStyle w:val="NoSpacing"/>
      </w:pPr>
    </w:p>
    <w:p w14:paraId="61D3E68D" w14:textId="77777777" w:rsidR="007B621E" w:rsidRDefault="007B621E" w:rsidP="00254AB9">
      <w:pPr>
        <w:pStyle w:val="NoSpacing"/>
      </w:pPr>
    </w:p>
    <w:p w14:paraId="19409FFE" w14:textId="77777777" w:rsidR="007B621E" w:rsidRPr="0011042A" w:rsidRDefault="007B621E" w:rsidP="00254AB9">
      <w:pPr>
        <w:pStyle w:val="NoSpacing"/>
      </w:pPr>
    </w:p>
    <w:p w14:paraId="17D18C73" w14:textId="63489CF3" w:rsidR="00575A42" w:rsidRPr="00185AA6" w:rsidRDefault="0069386E" w:rsidP="000A1182">
      <w:pPr>
        <w:pStyle w:val="NoSpacing"/>
        <w:numPr>
          <w:ilvl w:val="0"/>
          <w:numId w:val="76"/>
        </w:numPr>
      </w:pPr>
      <w:r w:rsidRPr="00254AB9">
        <w:rPr>
          <w:b/>
          <w:i/>
        </w:rPr>
        <w:lastRenderedPageBreak/>
        <w:t>Illegal transfer of money</w:t>
      </w:r>
      <w:r w:rsidR="00254AB9">
        <w:rPr>
          <w:b/>
          <w:i/>
        </w:rPr>
        <w:t xml:space="preserve"> </w:t>
      </w:r>
      <w:r w:rsidR="00254AB9" w:rsidRPr="00254AB9">
        <w:rPr>
          <w:b/>
        </w:rPr>
        <w:t xml:space="preserve">– </w:t>
      </w:r>
      <w:r w:rsidR="00A40E96">
        <w:rPr>
          <w:b/>
          <w:i/>
        </w:rPr>
        <w:t xml:space="preserve">Financial </w:t>
      </w:r>
      <w:r w:rsidR="005C75A3">
        <w:rPr>
          <w:b/>
          <w:i/>
        </w:rPr>
        <w:t>Transactions</w:t>
      </w:r>
      <w:r w:rsidR="00A40E96">
        <w:rPr>
          <w:b/>
          <w:i/>
        </w:rPr>
        <w:t xml:space="preserve"> Reports Act 1988 (</w:t>
      </w:r>
      <w:proofErr w:type="spellStart"/>
      <w:r w:rsidR="00A40E96">
        <w:rPr>
          <w:b/>
          <w:i/>
        </w:rPr>
        <w:t>Cth</w:t>
      </w:r>
      <w:proofErr w:type="spellEnd"/>
      <w:r w:rsidR="00A40E96">
        <w:rPr>
          <w:b/>
          <w:i/>
        </w:rPr>
        <w:t>)</w:t>
      </w:r>
    </w:p>
    <w:p w14:paraId="7F36DE14" w14:textId="5AFE1159" w:rsidR="00C42E7F" w:rsidRDefault="00C42E7F" w:rsidP="000A1182">
      <w:pPr>
        <w:pStyle w:val="NoSpacing"/>
        <w:numPr>
          <w:ilvl w:val="1"/>
          <w:numId w:val="76"/>
        </w:numPr>
      </w:pPr>
      <w:r>
        <w:rPr>
          <w:i/>
        </w:rPr>
        <w:t xml:space="preserve">Need to Inquire </w:t>
      </w:r>
      <w:r>
        <w:t xml:space="preserve">– The lawyer should question the client regarding any large transfers of money and it should raise the </w:t>
      </w:r>
      <w:r w:rsidR="004B2932">
        <w:t>suspicion</w:t>
      </w:r>
      <w:r>
        <w:t xml:space="preserve"> that is stems from criminal activity.</w:t>
      </w:r>
    </w:p>
    <w:p w14:paraId="1227A605" w14:textId="5D2589E7" w:rsidR="00973078" w:rsidRDefault="008209EF" w:rsidP="000A1182">
      <w:pPr>
        <w:pStyle w:val="NoSpacing"/>
        <w:numPr>
          <w:ilvl w:val="1"/>
          <w:numId w:val="76"/>
        </w:numPr>
      </w:pPr>
      <w:r>
        <w:rPr>
          <w:i/>
        </w:rPr>
        <w:t>Decline</w:t>
      </w:r>
      <w:r w:rsidR="003F01BE">
        <w:rPr>
          <w:i/>
        </w:rPr>
        <w:t xml:space="preserve"> – </w:t>
      </w:r>
      <w:r w:rsidR="0069386E" w:rsidRPr="0011042A">
        <w:t xml:space="preserve">If you suspect it was come by unlawfully and the client is unable to satisfy you otherwise, then you should decline to handle it.  </w:t>
      </w:r>
    </w:p>
    <w:p w14:paraId="042839D7" w14:textId="106E2DB4" w:rsidR="008209EF" w:rsidRDefault="008209EF" w:rsidP="000A1182">
      <w:pPr>
        <w:pStyle w:val="NoSpacing"/>
        <w:numPr>
          <w:ilvl w:val="1"/>
          <w:numId w:val="76"/>
        </w:numPr>
      </w:pPr>
      <w:r>
        <w:rPr>
          <w:i/>
        </w:rPr>
        <w:t xml:space="preserve">Report FTRA – </w:t>
      </w:r>
      <w:r w:rsidR="007A5A90">
        <w:t>s28(3) of the FTRA requires any cash transactions over $10K</w:t>
      </w:r>
    </w:p>
    <w:p w14:paraId="22C0BDAE" w14:textId="77777777" w:rsidR="00973078" w:rsidRDefault="00973078" w:rsidP="00973078">
      <w:pPr>
        <w:pStyle w:val="NoSpacing"/>
      </w:pPr>
    </w:p>
    <w:p w14:paraId="7A4D2BC5" w14:textId="425A9018" w:rsidR="00973078" w:rsidRPr="00D76C27" w:rsidRDefault="0069386E" w:rsidP="000A1182">
      <w:pPr>
        <w:pStyle w:val="NoSpacing"/>
        <w:numPr>
          <w:ilvl w:val="0"/>
          <w:numId w:val="76"/>
        </w:numPr>
      </w:pPr>
      <w:r w:rsidRPr="006E4226">
        <w:rPr>
          <w:b/>
          <w:i/>
        </w:rPr>
        <w:t>Clients using false names</w:t>
      </w:r>
      <w:r w:rsidR="00CD501A">
        <w:rPr>
          <w:b/>
          <w:i/>
        </w:rPr>
        <w:t xml:space="preserve"> – </w:t>
      </w:r>
      <w:r w:rsidR="00CD501A" w:rsidRPr="00CD501A">
        <w:rPr>
          <w:i/>
        </w:rPr>
        <w:t>PCPR 15.1</w:t>
      </w:r>
    </w:p>
    <w:p w14:paraId="1591668B" w14:textId="6450A6BB" w:rsidR="00973078" w:rsidRDefault="002F708F" w:rsidP="000A1182">
      <w:pPr>
        <w:pStyle w:val="NoSpacing"/>
        <w:numPr>
          <w:ilvl w:val="1"/>
          <w:numId w:val="76"/>
        </w:numPr>
      </w:pPr>
      <w:r w:rsidRPr="00DF1ADA">
        <w:rPr>
          <w:i/>
        </w:rPr>
        <w:t>False names</w:t>
      </w:r>
      <w:r>
        <w:t xml:space="preserve"> – Lawyer should inquire about false names – particularly for trust accounts – and ensure that the client is not perverting the course of justice.</w:t>
      </w:r>
    </w:p>
    <w:p w14:paraId="0E5BEF82" w14:textId="77777777" w:rsidR="00973078" w:rsidRDefault="00973078" w:rsidP="00973078">
      <w:pPr>
        <w:pStyle w:val="NoSpacing"/>
        <w:ind w:left="720"/>
      </w:pPr>
    </w:p>
    <w:p w14:paraId="0C240BEE" w14:textId="098A6C42" w:rsidR="00973078" w:rsidRPr="003F6CA6" w:rsidRDefault="0069386E" w:rsidP="000A1182">
      <w:pPr>
        <w:pStyle w:val="NoSpacing"/>
        <w:numPr>
          <w:ilvl w:val="0"/>
          <w:numId w:val="76"/>
        </w:numPr>
      </w:pPr>
      <w:r w:rsidRPr="003F6CA6">
        <w:rPr>
          <w:b/>
        </w:rPr>
        <w:t>Consequences for lawyer of the client’s unlawful acts</w:t>
      </w:r>
    </w:p>
    <w:p w14:paraId="15A6BD63" w14:textId="77777777" w:rsidR="00793618" w:rsidRPr="00793618" w:rsidRDefault="005E499B" w:rsidP="000A1182">
      <w:pPr>
        <w:pStyle w:val="NoSpacing"/>
        <w:numPr>
          <w:ilvl w:val="1"/>
          <w:numId w:val="76"/>
        </w:numPr>
      </w:pPr>
      <w:r w:rsidRPr="00793618">
        <w:rPr>
          <w:i/>
        </w:rPr>
        <w:t>P</w:t>
      </w:r>
      <w:r w:rsidR="0069386E" w:rsidRPr="00793618">
        <w:rPr>
          <w:i/>
        </w:rPr>
        <w:t>rofessional sanctions</w:t>
      </w:r>
    </w:p>
    <w:p w14:paraId="58F64E4C" w14:textId="77777777" w:rsidR="00793618" w:rsidRDefault="00793618" w:rsidP="000A1182">
      <w:pPr>
        <w:pStyle w:val="NoSpacing"/>
        <w:numPr>
          <w:ilvl w:val="1"/>
          <w:numId w:val="76"/>
        </w:numPr>
      </w:pPr>
      <w:r w:rsidRPr="00793618">
        <w:rPr>
          <w:i/>
        </w:rPr>
        <w:t>Civil Liability</w:t>
      </w:r>
      <w:r>
        <w:t xml:space="preserve"> – </w:t>
      </w:r>
      <w:r w:rsidR="0069386E" w:rsidRPr="0011042A">
        <w:t>if they exhibit the requisite knowledge  (</w:t>
      </w:r>
      <w:proofErr w:type="spellStart"/>
      <w:r w:rsidR="0069386E" w:rsidRPr="0011042A">
        <w:t>eg</w:t>
      </w:r>
      <w:proofErr w:type="spellEnd"/>
      <w:r w:rsidR="0069386E" w:rsidRPr="0011042A">
        <w:t xml:space="preserve"> as a third</w:t>
      </w:r>
      <w:r>
        <w:t xml:space="preserve"> party to a breach of trust), </w:t>
      </w:r>
    </w:p>
    <w:p w14:paraId="3E0BACD8" w14:textId="3B002772" w:rsidR="0069386E" w:rsidRPr="0011042A" w:rsidRDefault="00793618" w:rsidP="000A1182">
      <w:pPr>
        <w:pStyle w:val="NoSpacing"/>
        <w:numPr>
          <w:ilvl w:val="1"/>
          <w:numId w:val="76"/>
        </w:numPr>
      </w:pPr>
      <w:r w:rsidRPr="00793618">
        <w:rPr>
          <w:i/>
        </w:rPr>
        <w:t>Criminal Liability</w:t>
      </w:r>
      <w:r>
        <w:t xml:space="preserve"> – C</w:t>
      </w:r>
      <w:r w:rsidR="0069386E" w:rsidRPr="0011042A">
        <w:t>riminally if they aid and abet a criminal act.</w:t>
      </w:r>
    </w:p>
    <w:p w14:paraId="7B87D737" w14:textId="77777777" w:rsidR="0069386E" w:rsidRDefault="0069386E" w:rsidP="0011042A">
      <w:pPr>
        <w:pStyle w:val="NoSpacing"/>
      </w:pPr>
    </w:p>
    <w:p w14:paraId="1E71F912" w14:textId="1066C320" w:rsidR="00DB089E" w:rsidRPr="00DB089E" w:rsidRDefault="0069386E" w:rsidP="0011042A">
      <w:pPr>
        <w:pStyle w:val="NoSpacing"/>
        <w:rPr>
          <w:b/>
          <w:i/>
          <w:u w:val="single"/>
        </w:rPr>
      </w:pPr>
      <w:r w:rsidRPr="00DB089E">
        <w:rPr>
          <w:b/>
          <w:i/>
          <w:u w:val="single"/>
        </w:rPr>
        <w:t>Giving advice</w:t>
      </w:r>
    </w:p>
    <w:p w14:paraId="68EFA0A3" w14:textId="77777777" w:rsidR="0048315E" w:rsidRPr="0011042A" w:rsidRDefault="0048315E" w:rsidP="0011042A">
      <w:pPr>
        <w:pStyle w:val="NoSpacing"/>
      </w:pPr>
    </w:p>
    <w:p w14:paraId="62783AFF" w14:textId="3150A364" w:rsidR="00EC70BF" w:rsidRDefault="00C273A5" w:rsidP="000A1182">
      <w:pPr>
        <w:pStyle w:val="NoSpacing"/>
        <w:numPr>
          <w:ilvl w:val="0"/>
          <w:numId w:val="77"/>
        </w:numPr>
      </w:pPr>
      <w:r w:rsidRPr="00E64493">
        <w:rPr>
          <w:b/>
          <w:i/>
        </w:rPr>
        <w:t>Cannot advance a</w:t>
      </w:r>
      <w:r w:rsidR="00E64493">
        <w:rPr>
          <w:b/>
          <w:i/>
        </w:rPr>
        <w:t xml:space="preserve">n </w:t>
      </w:r>
      <w:r w:rsidRPr="00E64493">
        <w:rPr>
          <w:b/>
          <w:i/>
        </w:rPr>
        <w:t xml:space="preserve"> </w:t>
      </w:r>
      <w:r w:rsidR="00E64493">
        <w:rPr>
          <w:b/>
          <w:i/>
        </w:rPr>
        <w:t>il</w:t>
      </w:r>
      <w:r w:rsidRPr="00E64493">
        <w:rPr>
          <w:b/>
          <w:i/>
        </w:rPr>
        <w:t>legal purpose</w:t>
      </w:r>
      <w:r>
        <w:rPr>
          <w:i/>
        </w:rPr>
        <w:t xml:space="preserve"> – </w:t>
      </w:r>
      <w:r w:rsidR="001B66DF">
        <w:rPr>
          <w:i/>
        </w:rPr>
        <w:t>PCPR 1.</w:t>
      </w:r>
      <w:r w:rsidR="001B66DF" w:rsidRPr="001B66DF">
        <w:t>1</w:t>
      </w:r>
      <w:r w:rsidR="001B66DF">
        <w:t xml:space="preserve"> – </w:t>
      </w:r>
      <w:r w:rsidR="0069386E" w:rsidRPr="001B66DF">
        <w:t>Must</w:t>
      </w:r>
      <w:r w:rsidR="0069386E" w:rsidRPr="0011042A">
        <w:t xml:space="preserve"> not give advice to a client when knowing that the client is requesting the advice to advance an illegal purpose;</w:t>
      </w:r>
    </w:p>
    <w:p w14:paraId="438D41F7" w14:textId="77777777" w:rsidR="00AF349A" w:rsidRPr="00AF349A" w:rsidRDefault="00AF349A" w:rsidP="00AF349A">
      <w:pPr>
        <w:pStyle w:val="NoSpacing"/>
        <w:ind w:left="1440"/>
      </w:pPr>
    </w:p>
    <w:p w14:paraId="5D350976" w14:textId="27C69E56" w:rsidR="00CE5BD7" w:rsidRDefault="00B10119" w:rsidP="000A1182">
      <w:pPr>
        <w:pStyle w:val="NoSpacing"/>
        <w:numPr>
          <w:ilvl w:val="1"/>
          <w:numId w:val="77"/>
        </w:numPr>
      </w:pPr>
      <w:r>
        <w:rPr>
          <w:i/>
        </w:rPr>
        <w:t xml:space="preserve">Achieve or Conceal and Illegal Purpose – </w:t>
      </w:r>
      <w:r w:rsidR="001B66DF">
        <w:t xml:space="preserve">Vic </w:t>
      </w:r>
      <w:r w:rsidR="001B66DF" w:rsidRPr="0011042A">
        <w:t>Bar 109</w:t>
      </w:r>
      <w:r w:rsidR="001B66DF">
        <w:t xml:space="preserve"> – </w:t>
      </w:r>
      <w:r w:rsidR="0069386E" w:rsidRPr="0011042A">
        <w:t>Must not advise a client as to the ways in which an unlawful purpose may be achieved or concealed, propose methods of breaking the law, or advise clients to behave contrary to a court order ();</w:t>
      </w:r>
    </w:p>
    <w:p w14:paraId="74DBC873" w14:textId="78584E76" w:rsidR="00D019DB" w:rsidRDefault="005B1221" w:rsidP="00CE53E9">
      <w:pPr>
        <w:pStyle w:val="NoSpacing"/>
        <w:numPr>
          <w:ilvl w:val="2"/>
          <w:numId w:val="77"/>
        </w:numPr>
      </w:pPr>
      <w:r>
        <w:t>R</w:t>
      </w:r>
      <w:r w:rsidR="0069386E" w:rsidRPr="0011042A">
        <w:t>equires barristers who apprehend that written advice is being sought for a wider purpose than the affairs of a client to seek and obtain a satisfactory assurance that it will not be used for an improper purpose</w:t>
      </w:r>
    </w:p>
    <w:p w14:paraId="303C7FB7" w14:textId="77777777" w:rsidR="001D2E3E" w:rsidRPr="001D2E3E" w:rsidRDefault="001D2E3E" w:rsidP="001D2E3E">
      <w:pPr>
        <w:pStyle w:val="NoSpacing"/>
        <w:ind w:left="720"/>
      </w:pPr>
    </w:p>
    <w:p w14:paraId="79212E04" w14:textId="7E137434" w:rsidR="00681D96" w:rsidRDefault="00AF349A" w:rsidP="000A1182">
      <w:pPr>
        <w:pStyle w:val="NoSpacing"/>
        <w:numPr>
          <w:ilvl w:val="0"/>
          <w:numId w:val="77"/>
        </w:numPr>
      </w:pPr>
      <w:r w:rsidRPr="00AF349A">
        <w:rPr>
          <w:b/>
          <w:i/>
        </w:rPr>
        <w:t>Only Lawful Advice</w:t>
      </w:r>
      <w:r>
        <w:rPr>
          <w:i/>
        </w:rPr>
        <w:t xml:space="preserve"> – </w:t>
      </w:r>
      <w:r w:rsidR="0069386E" w:rsidRPr="0011042A">
        <w:t>A practitioner may advise a client to engage in conduct the lawfulness of which is uncertain, provided:</w:t>
      </w:r>
    </w:p>
    <w:p w14:paraId="7BA13A84" w14:textId="77777777" w:rsidR="00681D96" w:rsidRDefault="0069386E" w:rsidP="000A1182">
      <w:pPr>
        <w:pStyle w:val="NoSpacing"/>
        <w:numPr>
          <w:ilvl w:val="1"/>
          <w:numId w:val="77"/>
        </w:numPr>
      </w:pPr>
      <w:r w:rsidRPr="0011042A">
        <w:t>the advice is given in good faith to test the validity or scope of the law</w:t>
      </w:r>
    </w:p>
    <w:p w14:paraId="4E3F38D1" w14:textId="77777777" w:rsidR="00681D96" w:rsidRDefault="0069386E" w:rsidP="000A1182">
      <w:pPr>
        <w:pStyle w:val="NoSpacing"/>
        <w:numPr>
          <w:ilvl w:val="1"/>
          <w:numId w:val="77"/>
        </w:numPr>
      </w:pPr>
      <w:r w:rsidRPr="0011042A">
        <w:t>the client is informed before advice is given of the likelihood and consequences of the conduct being found to be illegal</w:t>
      </w:r>
    </w:p>
    <w:p w14:paraId="0A87E063" w14:textId="49293E13" w:rsidR="0069386E" w:rsidRPr="0011042A" w:rsidRDefault="0069386E" w:rsidP="000A1182">
      <w:pPr>
        <w:pStyle w:val="NoSpacing"/>
        <w:numPr>
          <w:ilvl w:val="1"/>
          <w:numId w:val="77"/>
        </w:numPr>
      </w:pPr>
      <w:r w:rsidRPr="0011042A">
        <w:t xml:space="preserve">the client has freedom of choice on what  action to take </w:t>
      </w:r>
    </w:p>
    <w:p w14:paraId="6A738290" w14:textId="77777777" w:rsidR="00681D96" w:rsidRDefault="00681D96" w:rsidP="0011042A">
      <w:pPr>
        <w:pStyle w:val="NoSpacing"/>
      </w:pPr>
    </w:p>
    <w:p w14:paraId="7D026347" w14:textId="20E103CD" w:rsidR="00AF349A" w:rsidRDefault="0069386E" w:rsidP="000A1182">
      <w:pPr>
        <w:pStyle w:val="NoSpacing"/>
        <w:numPr>
          <w:ilvl w:val="0"/>
          <w:numId w:val="77"/>
        </w:numPr>
      </w:pPr>
      <w:r w:rsidRPr="00AF349A">
        <w:rPr>
          <w:b/>
          <w:i/>
        </w:rPr>
        <w:t>Taxation advice</w:t>
      </w:r>
    </w:p>
    <w:p w14:paraId="465CD218" w14:textId="4E8A9864" w:rsidR="00AF349A" w:rsidRDefault="00AF349A" w:rsidP="000A1182">
      <w:pPr>
        <w:pStyle w:val="NoSpacing"/>
        <w:numPr>
          <w:ilvl w:val="1"/>
          <w:numId w:val="77"/>
        </w:numPr>
      </w:pPr>
      <w:r>
        <w:rPr>
          <w:i/>
        </w:rPr>
        <w:t xml:space="preserve">No Tax Avoidance – </w:t>
      </w:r>
      <w:r w:rsidR="0069386E" w:rsidRPr="0011042A">
        <w:t>Practitioners must not advise clients to engage in tax evasion which is the criminal falsification of information provided to the ATO, or the non</w:t>
      </w:r>
      <w:r w:rsidR="00DF0AC6">
        <w:t>–</w:t>
      </w:r>
      <w:r w:rsidR="0069386E" w:rsidRPr="0011042A">
        <w:t>disclosure of material information.</w:t>
      </w:r>
    </w:p>
    <w:p w14:paraId="4AFF1E0A" w14:textId="77777777" w:rsidR="00B0323A" w:rsidRDefault="00A522F8" w:rsidP="000A1182">
      <w:pPr>
        <w:pStyle w:val="NoSpacing"/>
        <w:numPr>
          <w:ilvl w:val="1"/>
          <w:numId w:val="77"/>
        </w:numPr>
      </w:pPr>
      <w:r>
        <w:rPr>
          <w:i/>
        </w:rPr>
        <w:t xml:space="preserve">Failure to adequately advise tax minimisation is also a breach – </w:t>
      </w:r>
      <w:r w:rsidR="0069386E" w:rsidRPr="0011042A">
        <w:t>Conversely, failure to advise of tax minimisation opportunities may, where such advice is within the scope of the retainer, con</w:t>
      </w:r>
      <w:r w:rsidR="00AF349A">
        <w:t xml:space="preserve">stitute professional negligence </w:t>
      </w:r>
      <w:r w:rsidR="0069386E" w:rsidRPr="0011042A">
        <w:t>practitioners have a positive duty to advise clients of legitimate means of avoiding tax liability</w:t>
      </w:r>
    </w:p>
    <w:p w14:paraId="52F8B141" w14:textId="7DF71705" w:rsidR="0069386E" w:rsidRPr="0011042A" w:rsidRDefault="00B0323A" w:rsidP="000A1182">
      <w:pPr>
        <w:pStyle w:val="NoSpacing"/>
        <w:numPr>
          <w:ilvl w:val="1"/>
          <w:numId w:val="77"/>
        </w:numPr>
      </w:pPr>
      <w:r w:rsidRPr="00B0323A">
        <w:rPr>
          <w:i/>
        </w:rPr>
        <w:t xml:space="preserve">Commissioner of Taxation v </w:t>
      </w:r>
      <w:proofErr w:type="spellStart"/>
      <w:r w:rsidRPr="00B0323A">
        <w:rPr>
          <w:i/>
        </w:rPr>
        <w:t>Westraders</w:t>
      </w:r>
      <w:proofErr w:type="spellEnd"/>
      <w:r w:rsidR="0069386E" w:rsidRPr="00B0323A">
        <w:rPr>
          <w:i/>
        </w:rPr>
        <w:t xml:space="preserve"> </w:t>
      </w:r>
      <w:r>
        <w:rPr>
          <w:i/>
        </w:rPr>
        <w:t xml:space="preserve">– </w:t>
      </w:r>
      <w:r w:rsidR="0069386E" w:rsidRPr="00B0323A">
        <w:rPr>
          <w:i/>
        </w:rPr>
        <w:t>Barwick</w:t>
      </w:r>
      <w:r w:rsidR="0069386E" w:rsidRPr="0011042A">
        <w:t xml:space="preserve"> CJ (a ‘pro</w:t>
      </w:r>
      <w:r w:rsidR="00DF0AC6">
        <w:t>–</w:t>
      </w:r>
      <w:r w:rsidR="0069386E" w:rsidRPr="0011042A">
        <w:t>taxpayer”) emphasised the duty of Parliament to specify what was legal or not, and Deane J concurred, equating any effort by a Court to plug loopholes as offensive to the Rule of Law.</w:t>
      </w:r>
    </w:p>
    <w:p w14:paraId="096C9F13" w14:textId="02229E36" w:rsidR="00B0323A" w:rsidRDefault="00B0323A" w:rsidP="0011042A">
      <w:pPr>
        <w:pStyle w:val="NoSpacing"/>
      </w:pPr>
    </w:p>
    <w:p w14:paraId="3C16D997" w14:textId="77777777" w:rsidR="00B0323A" w:rsidRPr="000314FF" w:rsidRDefault="0069386E" w:rsidP="000A1182">
      <w:pPr>
        <w:pStyle w:val="NoSpacing"/>
        <w:numPr>
          <w:ilvl w:val="0"/>
          <w:numId w:val="77"/>
        </w:numPr>
      </w:pPr>
      <w:r w:rsidRPr="000314FF">
        <w:rPr>
          <w:b/>
          <w:i/>
        </w:rPr>
        <w:lastRenderedPageBreak/>
        <w:t>Moral issues in providing legal advice</w:t>
      </w:r>
    </w:p>
    <w:p w14:paraId="66F40588" w14:textId="77777777" w:rsidR="00B0323A" w:rsidRDefault="0069386E" w:rsidP="000A1182">
      <w:pPr>
        <w:pStyle w:val="NoSpacing"/>
        <w:numPr>
          <w:ilvl w:val="1"/>
          <w:numId w:val="77"/>
        </w:numPr>
      </w:pPr>
      <w:r w:rsidRPr="0011042A">
        <w:t xml:space="preserve">Having accepted instructions to act, should a practitioner </w:t>
      </w:r>
      <w:proofErr w:type="gramStart"/>
      <w:r w:rsidRPr="0011042A">
        <w:t>raise</w:t>
      </w:r>
      <w:proofErr w:type="gramEnd"/>
      <w:r w:rsidRPr="0011042A">
        <w:t xml:space="preserve"> with the client any moral issues associated with those instructions? </w:t>
      </w:r>
    </w:p>
    <w:p w14:paraId="3F7B245B" w14:textId="77777777" w:rsidR="00B0323A" w:rsidRDefault="0069386E" w:rsidP="000A1182">
      <w:pPr>
        <w:pStyle w:val="NoSpacing"/>
        <w:numPr>
          <w:ilvl w:val="1"/>
          <w:numId w:val="77"/>
        </w:numPr>
      </w:pPr>
      <w:r w:rsidRPr="0011042A">
        <w:t>It has been suggested that where a course is legal, but morally questionable, practitioners should inform their clients of those moral implications.</w:t>
      </w:r>
    </w:p>
    <w:p w14:paraId="722E7A91" w14:textId="77777777" w:rsidR="00B0323A" w:rsidRDefault="00B0323A" w:rsidP="00B0323A">
      <w:pPr>
        <w:pStyle w:val="NoSpacing"/>
        <w:ind w:left="720"/>
      </w:pPr>
    </w:p>
    <w:p w14:paraId="05DD766F" w14:textId="72C8202C" w:rsidR="00B0323A" w:rsidRDefault="00B0323A" w:rsidP="000A1182">
      <w:pPr>
        <w:pStyle w:val="NoSpacing"/>
        <w:numPr>
          <w:ilvl w:val="0"/>
          <w:numId w:val="77"/>
        </w:numPr>
      </w:pPr>
      <w:r w:rsidRPr="00DB089E">
        <w:rPr>
          <w:b/>
          <w:i/>
        </w:rPr>
        <w:t>Barrister</w:t>
      </w:r>
      <w:r>
        <w:t xml:space="preserve"> – </w:t>
      </w:r>
      <w:r w:rsidR="002777B7" w:rsidRPr="002777B7">
        <w:rPr>
          <w:i/>
        </w:rPr>
        <w:t>[</w:t>
      </w:r>
      <w:r w:rsidRPr="00036B6B">
        <w:rPr>
          <w:b/>
          <w:i/>
        </w:rPr>
        <w:t>see cab</w:t>
      </w:r>
      <w:r w:rsidR="00DF0AC6">
        <w:rPr>
          <w:b/>
          <w:i/>
        </w:rPr>
        <w:t>–</w:t>
      </w:r>
      <w:r w:rsidRPr="00036B6B">
        <w:rPr>
          <w:b/>
          <w:i/>
        </w:rPr>
        <w:t>rank rule</w:t>
      </w:r>
      <w:r w:rsidR="002777B7">
        <w:rPr>
          <w:b/>
          <w:i/>
        </w:rPr>
        <w:t>]</w:t>
      </w:r>
    </w:p>
    <w:p w14:paraId="2040779B" w14:textId="77777777" w:rsidR="00B0323A" w:rsidRDefault="0069386E" w:rsidP="000A1182">
      <w:pPr>
        <w:pStyle w:val="NoSpacing"/>
        <w:numPr>
          <w:ilvl w:val="1"/>
          <w:numId w:val="77"/>
        </w:numPr>
      </w:pPr>
      <w:r w:rsidRPr="0011042A">
        <w:t>The barrister should frankly disclose to the client and let the client decide if suitable.</w:t>
      </w:r>
    </w:p>
    <w:p w14:paraId="64392A48" w14:textId="77777777" w:rsidR="00B0323A" w:rsidRDefault="00B0323A" w:rsidP="00B0323A">
      <w:pPr>
        <w:pStyle w:val="ListParagraph"/>
      </w:pPr>
    </w:p>
    <w:p w14:paraId="16EDEEF3" w14:textId="5160DC4C" w:rsidR="00652831" w:rsidRDefault="0069386E" w:rsidP="000A1182">
      <w:pPr>
        <w:pStyle w:val="NoSpacing"/>
        <w:numPr>
          <w:ilvl w:val="0"/>
          <w:numId w:val="77"/>
        </w:numPr>
      </w:pPr>
      <w:r w:rsidRPr="008B4DA0">
        <w:rPr>
          <w:b/>
          <w:i/>
        </w:rPr>
        <w:t>Lawyer</w:t>
      </w:r>
      <w:r w:rsidR="008B4DA0">
        <w:rPr>
          <w:b/>
          <w:i/>
        </w:rPr>
        <w:t xml:space="preserve"> </w:t>
      </w:r>
      <w:r w:rsidR="008B4DA0" w:rsidRPr="00652831">
        <w:rPr>
          <w:i/>
        </w:rPr>
        <w:t>–</w:t>
      </w:r>
      <w:r w:rsidR="00652831">
        <w:rPr>
          <w:i/>
        </w:rPr>
        <w:t xml:space="preserve"> [</w:t>
      </w:r>
      <w:r w:rsidR="00652831" w:rsidRPr="0066441A">
        <w:rPr>
          <w:b/>
          <w:i/>
        </w:rPr>
        <w:t>see termination of retainer</w:t>
      </w:r>
      <w:r w:rsidR="00652831">
        <w:rPr>
          <w:i/>
        </w:rPr>
        <w:t>]</w:t>
      </w:r>
      <w:r w:rsidR="008B4DA0" w:rsidRPr="00652831">
        <w:rPr>
          <w:i/>
        </w:rPr>
        <w:t xml:space="preserve"> </w:t>
      </w:r>
      <w:r w:rsidRPr="0011042A">
        <w:t xml:space="preserve"> </w:t>
      </w:r>
    </w:p>
    <w:p w14:paraId="732A8C93" w14:textId="0CD464B4" w:rsidR="0069386E" w:rsidRPr="0011042A" w:rsidRDefault="0069386E" w:rsidP="000A1182">
      <w:pPr>
        <w:pStyle w:val="NoSpacing"/>
        <w:numPr>
          <w:ilvl w:val="1"/>
          <w:numId w:val="77"/>
        </w:numPr>
      </w:pPr>
      <w:proofErr w:type="gramStart"/>
      <w:r w:rsidRPr="0011042A">
        <w:t>may</w:t>
      </w:r>
      <w:proofErr w:type="gramEnd"/>
      <w:r w:rsidRPr="0011042A">
        <w:t xml:space="preserve"> decline to represent a client who proposes a course of conduct that offends the lawyer’s sense of morality.</w:t>
      </w:r>
    </w:p>
    <w:p w14:paraId="07C9C9D7" w14:textId="77777777" w:rsidR="003D13DB" w:rsidRDefault="003D13DB" w:rsidP="00145331">
      <w:pPr>
        <w:pStyle w:val="NoSpacing"/>
        <w:rPr>
          <w:b/>
          <w:sz w:val="28"/>
          <w:szCs w:val="28"/>
          <w:u w:val="single"/>
        </w:rPr>
      </w:pPr>
    </w:p>
    <w:p w14:paraId="5F4694E9" w14:textId="77777777" w:rsidR="007B621E" w:rsidRDefault="007B621E" w:rsidP="00145331">
      <w:pPr>
        <w:pStyle w:val="NoSpacing"/>
        <w:rPr>
          <w:b/>
          <w:sz w:val="28"/>
          <w:szCs w:val="28"/>
          <w:u w:val="single"/>
        </w:rPr>
      </w:pPr>
    </w:p>
    <w:p w14:paraId="31CB8CFB" w14:textId="77777777" w:rsidR="007B621E" w:rsidRDefault="007B621E" w:rsidP="00145331">
      <w:pPr>
        <w:pStyle w:val="NoSpacing"/>
        <w:rPr>
          <w:b/>
          <w:sz w:val="28"/>
          <w:szCs w:val="28"/>
          <w:u w:val="single"/>
        </w:rPr>
      </w:pPr>
    </w:p>
    <w:p w14:paraId="68EC46F5" w14:textId="77777777" w:rsidR="007B621E" w:rsidRDefault="007B621E" w:rsidP="00145331">
      <w:pPr>
        <w:pStyle w:val="NoSpacing"/>
        <w:rPr>
          <w:b/>
          <w:sz w:val="28"/>
          <w:szCs w:val="28"/>
          <w:u w:val="single"/>
        </w:rPr>
      </w:pPr>
    </w:p>
    <w:p w14:paraId="4B6B13AC" w14:textId="77777777" w:rsidR="007B621E" w:rsidRDefault="007B621E" w:rsidP="00145331">
      <w:pPr>
        <w:pStyle w:val="NoSpacing"/>
        <w:rPr>
          <w:b/>
          <w:sz w:val="28"/>
          <w:szCs w:val="28"/>
          <w:u w:val="single"/>
        </w:rPr>
      </w:pPr>
    </w:p>
    <w:p w14:paraId="65DE9230" w14:textId="77777777" w:rsidR="007B621E" w:rsidRDefault="007B621E" w:rsidP="00145331">
      <w:pPr>
        <w:pStyle w:val="NoSpacing"/>
        <w:rPr>
          <w:b/>
          <w:sz w:val="28"/>
          <w:szCs w:val="28"/>
          <w:u w:val="single"/>
        </w:rPr>
      </w:pPr>
    </w:p>
    <w:p w14:paraId="269B1A13" w14:textId="77777777" w:rsidR="007B621E" w:rsidRDefault="007B621E" w:rsidP="00145331">
      <w:pPr>
        <w:pStyle w:val="NoSpacing"/>
        <w:rPr>
          <w:b/>
          <w:sz w:val="28"/>
          <w:szCs w:val="28"/>
          <w:u w:val="single"/>
        </w:rPr>
      </w:pPr>
    </w:p>
    <w:p w14:paraId="27440E31" w14:textId="77777777" w:rsidR="007B621E" w:rsidRDefault="007B621E" w:rsidP="00145331">
      <w:pPr>
        <w:pStyle w:val="NoSpacing"/>
        <w:rPr>
          <w:b/>
          <w:sz w:val="28"/>
          <w:szCs w:val="28"/>
          <w:u w:val="single"/>
        </w:rPr>
      </w:pPr>
    </w:p>
    <w:p w14:paraId="78E1259F" w14:textId="77777777" w:rsidR="007B621E" w:rsidRDefault="007B621E" w:rsidP="00145331">
      <w:pPr>
        <w:pStyle w:val="NoSpacing"/>
        <w:rPr>
          <w:b/>
          <w:sz w:val="28"/>
          <w:szCs w:val="28"/>
          <w:u w:val="single"/>
        </w:rPr>
      </w:pPr>
    </w:p>
    <w:p w14:paraId="706D2AF6" w14:textId="77777777" w:rsidR="007B621E" w:rsidRDefault="007B621E" w:rsidP="00145331">
      <w:pPr>
        <w:pStyle w:val="NoSpacing"/>
        <w:rPr>
          <w:b/>
          <w:sz w:val="28"/>
          <w:szCs w:val="28"/>
          <w:u w:val="single"/>
        </w:rPr>
      </w:pPr>
    </w:p>
    <w:p w14:paraId="27161648" w14:textId="77777777" w:rsidR="007B621E" w:rsidRDefault="007B621E" w:rsidP="00145331">
      <w:pPr>
        <w:pStyle w:val="NoSpacing"/>
        <w:rPr>
          <w:b/>
          <w:sz w:val="28"/>
          <w:szCs w:val="28"/>
          <w:u w:val="single"/>
        </w:rPr>
      </w:pPr>
    </w:p>
    <w:p w14:paraId="156185D3" w14:textId="77777777" w:rsidR="007B621E" w:rsidRDefault="007B621E" w:rsidP="00145331">
      <w:pPr>
        <w:pStyle w:val="NoSpacing"/>
        <w:rPr>
          <w:b/>
          <w:sz w:val="28"/>
          <w:szCs w:val="28"/>
          <w:u w:val="single"/>
        </w:rPr>
      </w:pPr>
    </w:p>
    <w:p w14:paraId="5957B5EF" w14:textId="77777777" w:rsidR="007B621E" w:rsidRDefault="007B621E" w:rsidP="00145331">
      <w:pPr>
        <w:pStyle w:val="NoSpacing"/>
        <w:rPr>
          <w:b/>
          <w:sz w:val="28"/>
          <w:szCs w:val="28"/>
          <w:u w:val="single"/>
        </w:rPr>
      </w:pPr>
    </w:p>
    <w:p w14:paraId="14EB7A34" w14:textId="77777777" w:rsidR="007B621E" w:rsidRDefault="007B621E" w:rsidP="00145331">
      <w:pPr>
        <w:pStyle w:val="NoSpacing"/>
        <w:rPr>
          <w:b/>
          <w:sz w:val="28"/>
          <w:szCs w:val="28"/>
          <w:u w:val="single"/>
        </w:rPr>
      </w:pPr>
    </w:p>
    <w:p w14:paraId="28BBD158" w14:textId="77777777" w:rsidR="007B621E" w:rsidRDefault="007B621E" w:rsidP="00145331">
      <w:pPr>
        <w:pStyle w:val="NoSpacing"/>
        <w:rPr>
          <w:b/>
          <w:sz w:val="28"/>
          <w:szCs w:val="28"/>
          <w:u w:val="single"/>
        </w:rPr>
      </w:pPr>
    </w:p>
    <w:p w14:paraId="485AD624" w14:textId="77777777" w:rsidR="007B621E" w:rsidRDefault="007B621E" w:rsidP="00145331">
      <w:pPr>
        <w:pStyle w:val="NoSpacing"/>
        <w:rPr>
          <w:b/>
          <w:sz w:val="28"/>
          <w:szCs w:val="28"/>
          <w:u w:val="single"/>
        </w:rPr>
      </w:pPr>
    </w:p>
    <w:p w14:paraId="5FD5ED41" w14:textId="77777777" w:rsidR="007B621E" w:rsidRDefault="007B621E" w:rsidP="00145331">
      <w:pPr>
        <w:pStyle w:val="NoSpacing"/>
        <w:rPr>
          <w:b/>
          <w:sz w:val="28"/>
          <w:szCs w:val="28"/>
          <w:u w:val="single"/>
        </w:rPr>
      </w:pPr>
    </w:p>
    <w:p w14:paraId="2CFBD013" w14:textId="77777777" w:rsidR="007B621E" w:rsidRDefault="007B621E" w:rsidP="00145331">
      <w:pPr>
        <w:pStyle w:val="NoSpacing"/>
        <w:rPr>
          <w:b/>
          <w:sz w:val="28"/>
          <w:szCs w:val="28"/>
          <w:u w:val="single"/>
        </w:rPr>
      </w:pPr>
    </w:p>
    <w:p w14:paraId="536A2D3C" w14:textId="77777777" w:rsidR="007B621E" w:rsidRDefault="007B621E" w:rsidP="00145331">
      <w:pPr>
        <w:pStyle w:val="NoSpacing"/>
        <w:rPr>
          <w:b/>
          <w:sz w:val="28"/>
          <w:szCs w:val="28"/>
          <w:u w:val="single"/>
        </w:rPr>
      </w:pPr>
    </w:p>
    <w:p w14:paraId="2B5649D0" w14:textId="77777777" w:rsidR="007B621E" w:rsidRDefault="007B621E" w:rsidP="00145331">
      <w:pPr>
        <w:pStyle w:val="NoSpacing"/>
        <w:rPr>
          <w:b/>
          <w:sz w:val="28"/>
          <w:szCs w:val="28"/>
          <w:u w:val="single"/>
        </w:rPr>
      </w:pPr>
    </w:p>
    <w:p w14:paraId="285A836F" w14:textId="77777777" w:rsidR="007B621E" w:rsidRDefault="007B621E" w:rsidP="00145331">
      <w:pPr>
        <w:pStyle w:val="NoSpacing"/>
        <w:rPr>
          <w:b/>
          <w:sz w:val="28"/>
          <w:szCs w:val="28"/>
          <w:u w:val="single"/>
        </w:rPr>
      </w:pPr>
    </w:p>
    <w:p w14:paraId="33710F1E" w14:textId="77777777" w:rsidR="007B621E" w:rsidRDefault="007B621E" w:rsidP="00145331">
      <w:pPr>
        <w:pStyle w:val="NoSpacing"/>
        <w:rPr>
          <w:b/>
          <w:sz w:val="28"/>
          <w:szCs w:val="28"/>
          <w:u w:val="single"/>
        </w:rPr>
      </w:pPr>
    </w:p>
    <w:p w14:paraId="135DCAEB" w14:textId="77777777" w:rsidR="007B621E" w:rsidRDefault="007B621E" w:rsidP="00145331">
      <w:pPr>
        <w:pStyle w:val="NoSpacing"/>
        <w:rPr>
          <w:b/>
          <w:sz w:val="28"/>
          <w:szCs w:val="28"/>
          <w:u w:val="single"/>
        </w:rPr>
      </w:pPr>
    </w:p>
    <w:p w14:paraId="103E44C2" w14:textId="77777777" w:rsidR="007B621E" w:rsidRDefault="007B621E" w:rsidP="00145331">
      <w:pPr>
        <w:pStyle w:val="NoSpacing"/>
        <w:rPr>
          <w:b/>
          <w:sz w:val="28"/>
          <w:szCs w:val="28"/>
          <w:u w:val="single"/>
        </w:rPr>
      </w:pPr>
    </w:p>
    <w:p w14:paraId="3FE08079" w14:textId="77777777" w:rsidR="007B621E" w:rsidRDefault="007B621E" w:rsidP="00145331">
      <w:pPr>
        <w:pStyle w:val="NoSpacing"/>
        <w:rPr>
          <w:b/>
          <w:sz w:val="28"/>
          <w:szCs w:val="28"/>
          <w:u w:val="single"/>
        </w:rPr>
      </w:pPr>
    </w:p>
    <w:p w14:paraId="22AD6C10" w14:textId="77777777" w:rsidR="007B621E" w:rsidRDefault="007B621E" w:rsidP="00145331">
      <w:pPr>
        <w:pStyle w:val="NoSpacing"/>
        <w:rPr>
          <w:b/>
          <w:sz w:val="28"/>
          <w:szCs w:val="28"/>
          <w:u w:val="single"/>
        </w:rPr>
      </w:pPr>
    </w:p>
    <w:p w14:paraId="72176DF0" w14:textId="77777777" w:rsidR="007B621E" w:rsidRDefault="007B621E" w:rsidP="00145331">
      <w:pPr>
        <w:pStyle w:val="NoSpacing"/>
        <w:rPr>
          <w:b/>
          <w:sz w:val="28"/>
          <w:szCs w:val="28"/>
          <w:u w:val="single"/>
        </w:rPr>
      </w:pPr>
    </w:p>
    <w:p w14:paraId="07E17F03" w14:textId="77777777" w:rsidR="007B621E" w:rsidRDefault="007B621E" w:rsidP="00145331">
      <w:pPr>
        <w:pStyle w:val="NoSpacing"/>
        <w:rPr>
          <w:b/>
          <w:sz w:val="28"/>
          <w:szCs w:val="28"/>
          <w:u w:val="single"/>
        </w:rPr>
      </w:pPr>
    </w:p>
    <w:p w14:paraId="70D23C13" w14:textId="77777777" w:rsidR="007B621E" w:rsidRDefault="007B621E" w:rsidP="00145331">
      <w:pPr>
        <w:pStyle w:val="NoSpacing"/>
        <w:rPr>
          <w:b/>
          <w:sz w:val="28"/>
          <w:szCs w:val="28"/>
          <w:u w:val="single"/>
        </w:rPr>
      </w:pPr>
    </w:p>
    <w:p w14:paraId="4C57A8A0" w14:textId="77777777" w:rsidR="007B621E" w:rsidRDefault="007B621E" w:rsidP="00145331">
      <w:pPr>
        <w:pStyle w:val="NoSpacing"/>
        <w:rPr>
          <w:b/>
          <w:sz w:val="28"/>
          <w:szCs w:val="28"/>
          <w:u w:val="single"/>
        </w:rPr>
      </w:pPr>
    </w:p>
    <w:p w14:paraId="59ECE867" w14:textId="77777777" w:rsidR="007B621E" w:rsidRDefault="007B621E" w:rsidP="00145331">
      <w:pPr>
        <w:pStyle w:val="NoSpacing"/>
        <w:rPr>
          <w:b/>
          <w:sz w:val="28"/>
          <w:szCs w:val="28"/>
          <w:u w:val="single"/>
        </w:rPr>
      </w:pPr>
    </w:p>
    <w:p w14:paraId="709C8EEE" w14:textId="77777777" w:rsidR="007B621E" w:rsidRDefault="007B621E" w:rsidP="00145331">
      <w:pPr>
        <w:pStyle w:val="NoSpacing"/>
        <w:rPr>
          <w:b/>
          <w:sz w:val="28"/>
          <w:szCs w:val="28"/>
          <w:u w:val="single"/>
        </w:rPr>
      </w:pPr>
    </w:p>
    <w:p w14:paraId="412446A8" w14:textId="77777777" w:rsidR="007B621E" w:rsidRDefault="007B621E" w:rsidP="00145331">
      <w:pPr>
        <w:pStyle w:val="NoSpacing"/>
        <w:rPr>
          <w:b/>
          <w:sz w:val="28"/>
          <w:szCs w:val="28"/>
          <w:u w:val="single"/>
        </w:rPr>
      </w:pPr>
    </w:p>
    <w:p w14:paraId="324783E5" w14:textId="0F48B376" w:rsidR="00145331" w:rsidRPr="00DB089E" w:rsidRDefault="00422EF9" w:rsidP="00145331">
      <w:pPr>
        <w:pStyle w:val="NoSpacing"/>
        <w:rPr>
          <w:b/>
          <w:sz w:val="28"/>
          <w:szCs w:val="28"/>
          <w:u w:val="single"/>
        </w:rPr>
      </w:pPr>
      <w:r w:rsidRPr="00DB089E">
        <w:rPr>
          <w:b/>
          <w:sz w:val="28"/>
          <w:szCs w:val="28"/>
          <w:u w:val="single"/>
        </w:rPr>
        <w:lastRenderedPageBreak/>
        <w:t>Duty to the Court</w:t>
      </w:r>
      <w:r w:rsidR="00787E30">
        <w:rPr>
          <w:b/>
          <w:sz w:val="28"/>
          <w:szCs w:val="28"/>
          <w:u w:val="single"/>
        </w:rPr>
        <w:t xml:space="preserve"> / </w:t>
      </w:r>
      <w:r w:rsidR="00787E30" w:rsidRPr="00DB089E">
        <w:rPr>
          <w:b/>
          <w:sz w:val="28"/>
          <w:szCs w:val="28"/>
          <w:u w:val="single"/>
        </w:rPr>
        <w:t xml:space="preserve">Duty to </w:t>
      </w:r>
      <w:r w:rsidR="00787E30">
        <w:rPr>
          <w:b/>
          <w:sz w:val="28"/>
          <w:szCs w:val="28"/>
          <w:u w:val="single"/>
        </w:rPr>
        <w:t>Client</w:t>
      </w:r>
    </w:p>
    <w:p w14:paraId="3DD73C97" w14:textId="77777777" w:rsidR="00422EF9" w:rsidRDefault="00422EF9" w:rsidP="00145331">
      <w:pPr>
        <w:pStyle w:val="NoSpacing"/>
      </w:pPr>
    </w:p>
    <w:p w14:paraId="112E6CC1" w14:textId="171F4C6E" w:rsidR="000A4DEB" w:rsidRPr="000A4DEB" w:rsidRDefault="006A632C" w:rsidP="00145331">
      <w:pPr>
        <w:pStyle w:val="NoSpacing"/>
        <w:rPr>
          <w:b/>
          <w:i/>
        </w:rPr>
      </w:pPr>
      <w:r>
        <w:rPr>
          <w:b/>
          <w:i/>
        </w:rPr>
        <w:t>**</w:t>
      </w:r>
      <w:r w:rsidR="000A4DEB" w:rsidRPr="001C306B">
        <w:rPr>
          <w:b/>
          <w:i/>
          <w:u w:val="single"/>
        </w:rPr>
        <w:t>General</w:t>
      </w:r>
    </w:p>
    <w:p w14:paraId="3D0ED5BF" w14:textId="77777777" w:rsidR="000A4DEB" w:rsidRPr="00395594" w:rsidRDefault="000A4DEB" w:rsidP="00145331">
      <w:pPr>
        <w:pStyle w:val="NoSpacing"/>
      </w:pPr>
    </w:p>
    <w:p w14:paraId="471474B1" w14:textId="7A06047C" w:rsidR="00395594" w:rsidRDefault="00CA7EFF" w:rsidP="0069421D">
      <w:pPr>
        <w:pStyle w:val="NoSpacing"/>
        <w:numPr>
          <w:ilvl w:val="0"/>
          <w:numId w:val="78"/>
        </w:numPr>
      </w:pPr>
      <w:r w:rsidRPr="001C306B">
        <w:rPr>
          <w:b/>
          <w:i/>
        </w:rPr>
        <w:t>Purpose</w:t>
      </w:r>
      <w:r>
        <w:rPr>
          <w:i/>
        </w:rPr>
        <w:t xml:space="preserve"> – </w:t>
      </w:r>
      <w:r w:rsidR="00131162">
        <w:t xml:space="preserve">Lawyers duty to the court </w:t>
      </w:r>
      <w:r w:rsidR="00A14BA8">
        <w:t>supersedes</w:t>
      </w:r>
      <w:r w:rsidR="00131162">
        <w:t xml:space="preserve"> all other duties except that of their duty to the law and is a ‘paramount’ duty.</w:t>
      </w:r>
    </w:p>
    <w:p w14:paraId="5ED7D36F" w14:textId="10729F23" w:rsidR="00131162" w:rsidRPr="00F02E08" w:rsidRDefault="00131162" w:rsidP="0069421D">
      <w:pPr>
        <w:pStyle w:val="NoSpacing"/>
        <w:numPr>
          <w:ilvl w:val="1"/>
          <w:numId w:val="78"/>
        </w:numPr>
      </w:pPr>
      <w:proofErr w:type="spellStart"/>
      <w:r w:rsidRPr="00F02E08">
        <w:rPr>
          <w:i/>
        </w:rPr>
        <w:t>Giannarelli</w:t>
      </w:r>
      <w:proofErr w:type="spellEnd"/>
      <w:r w:rsidRPr="00F02E08">
        <w:rPr>
          <w:i/>
        </w:rPr>
        <w:t xml:space="preserve"> v Wraith</w:t>
      </w:r>
    </w:p>
    <w:p w14:paraId="5E1F0EF4" w14:textId="77777777" w:rsidR="000A4DEB" w:rsidRDefault="000A4DEB" w:rsidP="000A4DEB">
      <w:pPr>
        <w:pStyle w:val="NoSpacing"/>
      </w:pPr>
    </w:p>
    <w:p w14:paraId="5FDAF6A4" w14:textId="62A14A7E" w:rsidR="00D558B9" w:rsidRDefault="000A4DEB" w:rsidP="0069421D">
      <w:pPr>
        <w:pStyle w:val="NoSpacing"/>
        <w:numPr>
          <w:ilvl w:val="0"/>
          <w:numId w:val="78"/>
        </w:numPr>
      </w:pPr>
      <w:r w:rsidRPr="001C306B">
        <w:rPr>
          <w:b/>
          <w:i/>
        </w:rPr>
        <w:t>Hon</w:t>
      </w:r>
      <w:r w:rsidR="00A14BA8" w:rsidRPr="001C306B">
        <w:rPr>
          <w:b/>
          <w:i/>
        </w:rPr>
        <w:t>esty &amp; Candour</w:t>
      </w:r>
      <w:r w:rsidR="00A14BA8">
        <w:t xml:space="preserve"> – </w:t>
      </w:r>
      <w:r w:rsidR="00A14BA8" w:rsidRPr="00A14BA8">
        <w:rPr>
          <w:i/>
        </w:rPr>
        <w:t>PCPR 30</w:t>
      </w:r>
      <w:r w:rsidR="00A14BA8">
        <w:t xml:space="preserve"> – </w:t>
      </w:r>
      <w:r>
        <w:t>There is a duty to act with honesty and candour in all dea</w:t>
      </w:r>
      <w:r w:rsidR="009E6FFE">
        <w:t>lings with courts and tribunals and not to:</w:t>
      </w:r>
    </w:p>
    <w:p w14:paraId="2109D0BA" w14:textId="5F204223" w:rsidR="007A6857" w:rsidRPr="00031D14" w:rsidRDefault="007A6857" w:rsidP="0069421D">
      <w:pPr>
        <w:pStyle w:val="ListParagraph"/>
        <w:numPr>
          <w:ilvl w:val="1"/>
          <w:numId w:val="78"/>
        </w:numPr>
        <w:autoSpaceDE w:val="0"/>
        <w:autoSpaceDN w:val="0"/>
        <w:adjustRightInd w:val="0"/>
        <w:rPr>
          <w:rFonts w:eastAsiaTheme="minorHAnsi"/>
          <w:lang w:val="en-AU"/>
        </w:rPr>
      </w:pPr>
      <w:r w:rsidRPr="00031D14">
        <w:rPr>
          <w:rFonts w:eastAsiaTheme="minorHAnsi"/>
          <w:i/>
          <w:lang w:val="en-AU"/>
        </w:rPr>
        <w:t>30.1.2(a)</w:t>
      </w:r>
      <w:r w:rsidRPr="00031D14">
        <w:rPr>
          <w:rFonts w:eastAsiaTheme="minorHAnsi"/>
          <w:lang w:val="en-AU"/>
        </w:rPr>
        <w:t xml:space="preserve"> – be prejudicial to the administration of justice;</w:t>
      </w:r>
    </w:p>
    <w:p w14:paraId="109935A2" w14:textId="674A4EC1" w:rsidR="007A6857" w:rsidRPr="00031D14" w:rsidRDefault="007A6857" w:rsidP="0069421D">
      <w:pPr>
        <w:pStyle w:val="ListParagraph"/>
        <w:numPr>
          <w:ilvl w:val="1"/>
          <w:numId w:val="78"/>
        </w:numPr>
        <w:autoSpaceDE w:val="0"/>
        <w:autoSpaceDN w:val="0"/>
        <w:adjustRightInd w:val="0"/>
        <w:rPr>
          <w:rFonts w:eastAsiaTheme="minorHAnsi"/>
          <w:lang w:val="en-AU"/>
        </w:rPr>
      </w:pPr>
      <w:r w:rsidRPr="00031D14">
        <w:rPr>
          <w:rFonts w:eastAsiaTheme="minorHAnsi"/>
          <w:i/>
          <w:lang w:val="en-AU"/>
        </w:rPr>
        <w:t>30.1.2(b)</w:t>
      </w:r>
      <w:r w:rsidRPr="00031D14">
        <w:rPr>
          <w:rFonts w:eastAsiaTheme="minorHAnsi"/>
          <w:lang w:val="en-AU"/>
        </w:rPr>
        <w:t xml:space="preserve"> – diminish public confidence in the administration of justice;</w:t>
      </w:r>
    </w:p>
    <w:p w14:paraId="60B39C1D" w14:textId="56F309FF" w:rsidR="009E6FFE" w:rsidRPr="00031D14" w:rsidRDefault="007A6857" w:rsidP="0069421D">
      <w:pPr>
        <w:pStyle w:val="ListParagraph"/>
        <w:numPr>
          <w:ilvl w:val="1"/>
          <w:numId w:val="78"/>
        </w:numPr>
        <w:autoSpaceDE w:val="0"/>
        <w:autoSpaceDN w:val="0"/>
        <w:adjustRightInd w:val="0"/>
      </w:pPr>
      <w:r w:rsidRPr="00031D14">
        <w:rPr>
          <w:rFonts w:eastAsiaTheme="minorHAnsi"/>
          <w:i/>
          <w:lang w:val="en-AU"/>
        </w:rPr>
        <w:t>30.1.2(c)</w:t>
      </w:r>
      <w:r w:rsidRPr="00031D14">
        <w:rPr>
          <w:rFonts w:eastAsiaTheme="minorHAnsi"/>
          <w:lang w:val="en-AU"/>
        </w:rPr>
        <w:t xml:space="preserve"> – </w:t>
      </w:r>
      <w:proofErr w:type="gramStart"/>
      <w:r w:rsidRPr="00031D14">
        <w:rPr>
          <w:rFonts w:eastAsiaTheme="minorHAnsi"/>
          <w:lang w:val="en-AU"/>
        </w:rPr>
        <w:t>adversely</w:t>
      </w:r>
      <w:proofErr w:type="gramEnd"/>
      <w:r w:rsidRPr="00031D14">
        <w:rPr>
          <w:rFonts w:eastAsiaTheme="minorHAnsi"/>
          <w:lang w:val="en-AU"/>
        </w:rPr>
        <w:t xml:space="preserve"> prejudice a practitioner's ability to practise according to these rules.</w:t>
      </w:r>
    </w:p>
    <w:p w14:paraId="68FDF2C3" w14:textId="77777777" w:rsidR="008B7F85" w:rsidRPr="008B7F85" w:rsidRDefault="008B7F85" w:rsidP="008B7F85">
      <w:pPr>
        <w:pStyle w:val="NoSpacing"/>
        <w:ind w:left="1440"/>
      </w:pPr>
    </w:p>
    <w:p w14:paraId="17273CF2" w14:textId="5334DCF1" w:rsidR="00A258FE" w:rsidRDefault="00A258FE" w:rsidP="0069421D">
      <w:pPr>
        <w:pStyle w:val="NoSpacing"/>
        <w:numPr>
          <w:ilvl w:val="0"/>
          <w:numId w:val="78"/>
        </w:numPr>
      </w:pPr>
      <w:r w:rsidRPr="001C306B">
        <w:rPr>
          <w:b/>
          <w:i/>
        </w:rPr>
        <w:t>Courts Inherent Jurisdiction</w:t>
      </w:r>
      <w:r>
        <w:rPr>
          <w:i/>
        </w:rPr>
        <w:t xml:space="preserve"> </w:t>
      </w:r>
      <w:r>
        <w:t xml:space="preserve">– </w:t>
      </w:r>
      <w:r w:rsidR="001D199B">
        <w:t xml:space="preserve">The court retains an inherent jurisdiction </w:t>
      </w:r>
      <w:r w:rsidR="00D07E9B">
        <w:t>over</w:t>
      </w:r>
      <w:r w:rsidR="001D199B">
        <w:t xml:space="preserve"> its </w:t>
      </w:r>
      <w:r w:rsidR="00D07E9B">
        <w:t>officers</w:t>
      </w:r>
      <w:r w:rsidR="001D199B">
        <w:t>, directed at preserving the proper administration of justice.</w:t>
      </w:r>
    </w:p>
    <w:p w14:paraId="59F85C39" w14:textId="77777777" w:rsidR="005B52AD" w:rsidRPr="005B52AD" w:rsidRDefault="005B52AD" w:rsidP="005B52AD">
      <w:pPr>
        <w:pStyle w:val="NoSpacing"/>
        <w:ind w:left="1440"/>
      </w:pPr>
    </w:p>
    <w:p w14:paraId="7477CE05" w14:textId="1486E906" w:rsidR="005B52AD" w:rsidRPr="005B52AD" w:rsidRDefault="005B52AD" w:rsidP="0069421D">
      <w:pPr>
        <w:pStyle w:val="NoSpacing"/>
        <w:numPr>
          <w:ilvl w:val="1"/>
          <w:numId w:val="78"/>
        </w:numPr>
      </w:pPr>
      <w:r>
        <w:rPr>
          <w:i/>
        </w:rPr>
        <w:t xml:space="preserve">Restrain its Officers </w:t>
      </w:r>
      <w:r w:rsidR="00DF0AC6">
        <w:t>–</w:t>
      </w:r>
      <w:r>
        <w:t xml:space="preserve"> </w:t>
      </w:r>
      <w:r>
        <w:rPr>
          <w:rFonts w:cs="Times New Roman"/>
          <w:szCs w:val="24"/>
        </w:rPr>
        <w:t xml:space="preserve">It may for instance restrain lawyer from appearing where it would breach a confidence owed to a former client or a breach of fiduciary duty owed to an existing client </w:t>
      </w:r>
    </w:p>
    <w:p w14:paraId="0F59E209" w14:textId="0D2235D4" w:rsidR="005B52AD" w:rsidRPr="00223A84" w:rsidRDefault="005B52AD" w:rsidP="0069421D">
      <w:pPr>
        <w:pStyle w:val="NoSpacing"/>
        <w:numPr>
          <w:ilvl w:val="2"/>
          <w:numId w:val="78"/>
        </w:numPr>
        <w:rPr>
          <w:i/>
        </w:rPr>
      </w:pPr>
      <w:proofErr w:type="spellStart"/>
      <w:r w:rsidRPr="005B52AD">
        <w:rPr>
          <w:rFonts w:cs="Times New Roman"/>
          <w:i/>
          <w:szCs w:val="24"/>
        </w:rPr>
        <w:t>Holborow</w:t>
      </w:r>
      <w:proofErr w:type="spellEnd"/>
      <w:r w:rsidRPr="005B52AD">
        <w:rPr>
          <w:rFonts w:cs="Times New Roman"/>
          <w:i/>
          <w:szCs w:val="24"/>
        </w:rPr>
        <w:t xml:space="preserve"> v MacDonald Rudder</w:t>
      </w:r>
    </w:p>
    <w:p w14:paraId="656FC1D2" w14:textId="77777777" w:rsidR="00223A84" w:rsidRPr="00223A84" w:rsidRDefault="00223A84" w:rsidP="00223A84">
      <w:pPr>
        <w:pStyle w:val="NoSpacing"/>
        <w:ind w:left="2160"/>
        <w:rPr>
          <w:i/>
        </w:rPr>
      </w:pPr>
    </w:p>
    <w:p w14:paraId="14FDBE07" w14:textId="433C2CCC" w:rsidR="00223A84" w:rsidRDefault="000E5943" w:rsidP="0069421D">
      <w:pPr>
        <w:pStyle w:val="NoSpacing"/>
        <w:numPr>
          <w:ilvl w:val="1"/>
          <w:numId w:val="78"/>
        </w:numPr>
      </w:pPr>
      <w:r>
        <w:rPr>
          <w:i/>
        </w:rPr>
        <w:t xml:space="preserve">Sanction its Officers </w:t>
      </w:r>
      <w:r>
        <w:t>– A lawyer who misleads the Court</w:t>
      </w:r>
      <w:r w:rsidR="00257E73">
        <w:t xml:space="preserve"> can be disciplined by the Court and are referred to the Court by a disciplinary body. </w:t>
      </w:r>
    </w:p>
    <w:p w14:paraId="768F65D9" w14:textId="736B165C" w:rsidR="00257E73" w:rsidRDefault="00257E73" w:rsidP="0069421D">
      <w:pPr>
        <w:pStyle w:val="NoSpacing"/>
        <w:numPr>
          <w:ilvl w:val="2"/>
          <w:numId w:val="78"/>
        </w:numPr>
      </w:pPr>
      <w:r>
        <w:rPr>
          <w:i/>
        </w:rPr>
        <w:t xml:space="preserve">Interference with Justice </w:t>
      </w:r>
      <w:r>
        <w:t>–</w:t>
      </w:r>
      <w:r w:rsidR="00A2477B">
        <w:t xml:space="preserve"> An interference with the administration of justice or a disregard for due process of the Court is a serious punishment through contempt.</w:t>
      </w:r>
    </w:p>
    <w:p w14:paraId="6E45AFA5" w14:textId="02704043" w:rsidR="00A2477B" w:rsidRPr="00223A84" w:rsidRDefault="00A2477B" w:rsidP="0069421D">
      <w:pPr>
        <w:pStyle w:val="NoSpacing"/>
        <w:numPr>
          <w:ilvl w:val="3"/>
          <w:numId w:val="78"/>
        </w:numPr>
      </w:pPr>
      <w:r>
        <w:rPr>
          <w:i/>
        </w:rPr>
        <w:t xml:space="preserve">Ex parte </w:t>
      </w:r>
      <w:proofErr w:type="spellStart"/>
      <w:r>
        <w:rPr>
          <w:i/>
        </w:rPr>
        <w:t>Bellanto</w:t>
      </w:r>
      <w:proofErr w:type="spellEnd"/>
    </w:p>
    <w:p w14:paraId="5759CE54" w14:textId="77777777" w:rsidR="00A258FE" w:rsidRPr="00A258FE" w:rsidRDefault="00A258FE" w:rsidP="00A258FE">
      <w:pPr>
        <w:pStyle w:val="NoSpacing"/>
        <w:ind w:left="720"/>
      </w:pPr>
    </w:p>
    <w:p w14:paraId="59F59DA3" w14:textId="77777777" w:rsidR="00D558B9" w:rsidRDefault="00D558B9" w:rsidP="0069421D">
      <w:pPr>
        <w:pStyle w:val="NoSpacing"/>
        <w:numPr>
          <w:ilvl w:val="0"/>
          <w:numId w:val="78"/>
        </w:numPr>
      </w:pPr>
      <w:r w:rsidRPr="001C306B">
        <w:rPr>
          <w:b/>
          <w:i/>
        </w:rPr>
        <w:t>Officers of the Court</w:t>
      </w:r>
      <w:r w:rsidRPr="00D558B9">
        <w:rPr>
          <w:i/>
        </w:rPr>
        <w:t xml:space="preserve"> – </w:t>
      </w:r>
      <w:r>
        <w:t>Lawyers are officers of the court and therefore their paramount duty is to the administration of justice consisting of four components:</w:t>
      </w:r>
    </w:p>
    <w:p w14:paraId="5CB05E90" w14:textId="77777777" w:rsidR="0070614B" w:rsidRPr="0070614B" w:rsidRDefault="0070614B" w:rsidP="0070614B">
      <w:pPr>
        <w:pStyle w:val="NoSpacing"/>
        <w:ind w:left="1440"/>
      </w:pPr>
    </w:p>
    <w:p w14:paraId="34F445C4" w14:textId="4DEBC213" w:rsidR="00D558B9" w:rsidRDefault="00D558B9" w:rsidP="0069421D">
      <w:pPr>
        <w:pStyle w:val="NoSpacing"/>
        <w:numPr>
          <w:ilvl w:val="1"/>
          <w:numId w:val="78"/>
        </w:numPr>
      </w:pPr>
      <w:r w:rsidRPr="001F216A">
        <w:rPr>
          <w:b/>
        </w:rPr>
        <w:t>Duty of candour</w:t>
      </w:r>
      <w:r>
        <w:t xml:space="preserve"> </w:t>
      </w:r>
      <w:r w:rsidR="0094384E" w:rsidRPr="0094384E">
        <w:rPr>
          <w:b/>
        </w:rPr>
        <w:t>in disclosing the law</w:t>
      </w:r>
      <w:r w:rsidR="0094384E">
        <w:t xml:space="preserve"> </w:t>
      </w:r>
      <w:r>
        <w:t>(to disclose the applicable law and not to mislead about the facts)</w:t>
      </w:r>
    </w:p>
    <w:p w14:paraId="46F6E331" w14:textId="77777777" w:rsidR="0070614B" w:rsidRPr="0070614B" w:rsidRDefault="0070614B" w:rsidP="0070614B">
      <w:pPr>
        <w:pStyle w:val="NoSpacing"/>
        <w:ind w:left="1440"/>
      </w:pPr>
    </w:p>
    <w:p w14:paraId="7FE6F152" w14:textId="77777777" w:rsidR="00D558B9" w:rsidRPr="001F216A" w:rsidRDefault="00D558B9" w:rsidP="0069421D">
      <w:pPr>
        <w:pStyle w:val="NoSpacing"/>
        <w:numPr>
          <w:ilvl w:val="1"/>
          <w:numId w:val="78"/>
        </w:numPr>
      </w:pPr>
      <w:r w:rsidRPr="001F216A">
        <w:rPr>
          <w:b/>
        </w:rPr>
        <w:t>Not to abuse the court process</w:t>
      </w:r>
    </w:p>
    <w:p w14:paraId="0876AEDD" w14:textId="77777777" w:rsidR="0070614B" w:rsidRPr="0070614B" w:rsidRDefault="0070614B" w:rsidP="0070614B">
      <w:pPr>
        <w:pStyle w:val="NoSpacing"/>
        <w:ind w:left="1440"/>
      </w:pPr>
    </w:p>
    <w:p w14:paraId="79A3DA1F" w14:textId="77777777" w:rsidR="00D558B9" w:rsidRPr="001F216A" w:rsidRDefault="00D558B9" w:rsidP="0069421D">
      <w:pPr>
        <w:pStyle w:val="NoSpacing"/>
        <w:numPr>
          <w:ilvl w:val="1"/>
          <w:numId w:val="78"/>
        </w:numPr>
      </w:pPr>
      <w:r w:rsidRPr="001F216A">
        <w:rPr>
          <w:b/>
        </w:rPr>
        <w:t>Not to corrupt the administration of justice</w:t>
      </w:r>
    </w:p>
    <w:p w14:paraId="4C1F0284" w14:textId="77777777" w:rsidR="0070614B" w:rsidRPr="0070614B" w:rsidRDefault="0070614B" w:rsidP="0070614B">
      <w:pPr>
        <w:pStyle w:val="NoSpacing"/>
        <w:ind w:left="1440"/>
      </w:pPr>
    </w:p>
    <w:p w14:paraId="5FAF1386" w14:textId="7FA1B4D9" w:rsidR="00D558B9" w:rsidRPr="001F216A" w:rsidRDefault="00D558B9" w:rsidP="0069421D">
      <w:pPr>
        <w:pStyle w:val="NoSpacing"/>
        <w:numPr>
          <w:ilvl w:val="1"/>
          <w:numId w:val="78"/>
        </w:numPr>
      </w:pPr>
      <w:r w:rsidRPr="001F216A">
        <w:rPr>
          <w:b/>
        </w:rPr>
        <w:t>To conduct cases efficiently and expeditiously</w:t>
      </w:r>
    </w:p>
    <w:p w14:paraId="2C8D0CB7" w14:textId="77777777" w:rsidR="008B7F85" w:rsidRDefault="008B7F85" w:rsidP="008B7F85">
      <w:pPr>
        <w:pStyle w:val="NoSpacing"/>
      </w:pPr>
    </w:p>
    <w:p w14:paraId="4C854AC0" w14:textId="77777777" w:rsidR="0070614B" w:rsidRDefault="0070614B" w:rsidP="008B7F85">
      <w:pPr>
        <w:pStyle w:val="NoSpacing"/>
      </w:pPr>
    </w:p>
    <w:p w14:paraId="30917693" w14:textId="77777777" w:rsidR="0070614B" w:rsidRDefault="0070614B" w:rsidP="008B7F85">
      <w:pPr>
        <w:pStyle w:val="NoSpacing"/>
      </w:pPr>
    </w:p>
    <w:p w14:paraId="577EC289" w14:textId="77777777" w:rsidR="0070614B" w:rsidRDefault="0070614B" w:rsidP="008B7F85">
      <w:pPr>
        <w:pStyle w:val="NoSpacing"/>
      </w:pPr>
    </w:p>
    <w:p w14:paraId="34F9F982" w14:textId="77777777" w:rsidR="0070614B" w:rsidRDefault="0070614B" w:rsidP="008B7F85">
      <w:pPr>
        <w:pStyle w:val="NoSpacing"/>
      </w:pPr>
    </w:p>
    <w:p w14:paraId="74E5ADBD" w14:textId="77777777" w:rsidR="0070614B" w:rsidRDefault="0070614B" w:rsidP="008B7F85">
      <w:pPr>
        <w:pStyle w:val="NoSpacing"/>
      </w:pPr>
    </w:p>
    <w:p w14:paraId="2A4730BC" w14:textId="77777777" w:rsidR="0070614B" w:rsidRDefault="0070614B" w:rsidP="008B7F85">
      <w:pPr>
        <w:pStyle w:val="NoSpacing"/>
      </w:pPr>
    </w:p>
    <w:p w14:paraId="0825668E" w14:textId="77777777" w:rsidR="0070614B" w:rsidRDefault="0070614B" w:rsidP="008B7F85">
      <w:pPr>
        <w:pStyle w:val="NoSpacing"/>
      </w:pPr>
    </w:p>
    <w:p w14:paraId="1DDC094A" w14:textId="77777777" w:rsidR="0070614B" w:rsidRDefault="0070614B" w:rsidP="008B7F85">
      <w:pPr>
        <w:pStyle w:val="NoSpacing"/>
      </w:pPr>
    </w:p>
    <w:p w14:paraId="1D5D1C19" w14:textId="77777777" w:rsidR="0070614B" w:rsidRDefault="0070614B" w:rsidP="008B7F85">
      <w:pPr>
        <w:pStyle w:val="NoSpacing"/>
      </w:pPr>
    </w:p>
    <w:p w14:paraId="180BB81C" w14:textId="77777777" w:rsidR="0070614B" w:rsidRDefault="0070614B" w:rsidP="008B7F85">
      <w:pPr>
        <w:pStyle w:val="NoSpacing"/>
      </w:pPr>
    </w:p>
    <w:p w14:paraId="3E731CE4" w14:textId="449B78BD" w:rsidR="006A632C" w:rsidRPr="000A4DEB" w:rsidRDefault="006A632C" w:rsidP="006A632C">
      <w:pPr>
        <w:pStyle w:val="NoSpacing"/>
        <w:rPr>
          <w:b/>
          <w:i/>
        </w:rPr>
      </w:pPr>
      <w:r w:rsidRPr="001C306B">
        <w:rPr>
          <w:b/>
          <w:i/>
          <w:u w:val="single"/>
        </w:rPr>
        <w:lastRenderedPageBreak/>
        <w:t>Duty of Candour in Disclosing the Law</w:t>
      </w:r>
    </w:p>
    <w:p w14:paraId="76CD875C" w14:textId="77777777" w:rsidR="00395594" w:rsidRPr="00395594" w:rsidRDefault="00395594" w:rsidP="00145331">
      <w:pPr>
        <w:pStyle w:val="NoSpacing"/>
      </w:pPr>
    </w:p>
    <w:p w14:paraId="1863B460" w14:textId="7E5B6C4D" w:rsidR="00A158A9" w:rsidRDefault="00A158A9" w:rsidP="0069421D">
      <w:pPr>
        <w:pStyle w:val="NoSpacing"/>
        <w:numPr>
          <w:ilvl w:val="0"/>
          <w:numId w:val="79"/>
        </w:numPr>
      </w:pPr>
      <w:r w:rsidRPr="001C306B">
        <w:rPr>
          <w:b/>
          <w:i/>
        </w:rPr>
        <w:t>Duty to assist the court in the applicable law</w:t>
      </w:r>
      <w:r>
        <w:rPr>
          <w:i/>
        </w:rPr>
        <w:t xml:space="preserve"> – </w:t>
      </w:r>
      <w:r w:rsidR="0098183D">
        <w:t xml:space="preserve">Lawyers duty is to ‘do right by their clients and right by the court’ per </w:t>
      </w:r>
      <w:proofErr w:type="spellStart"/>
      <w:r w:rsidR="0098183D">
        <w:rPr>
          <w:i/>
        </w:rPr>
        <w:t>Lougheed</w:t>
      </w:r>
      <w:proofErr w:type="spellEnd"/>
      <w:r w:rsidR="0098183D">
        <w:rPr>
          <w:i/>
        </w:rPr>
        <w:t xml:space="preserve"> Enterprises v </w:t>
      </w:r>
      <w:proofErr w:type="spellStart"/>
      <w:r w:rsidR="0098183D">
        <w:rPr>
          <w:i/>
        </w:rPr>
        <w:t>Armbruster</w:t>
      </w:r>
      <w:proofErr w:type="spellEnd"/>
    </w:p>
    <w:p w14:paraId="5E337A00" w14:textId="77777777" w:rsidR="003143A8" w:rsidRPr="003143A8" w:rsidRDefault="003143A8" w:rsidP="003143A8">
      <w:pPr>
        <w:pStyle w:val="NoSpacing"/>
        <w:ind w:left="1440"/>
      </w:pPr>
    </w:p>
    <w:p w14:paraId="3517BB85" w14:textId="77777777" w:rsidR="00263421" w:rsidRPr="00DF3EF1" w:rsidRDefault="00263421" w:rsidP="0069421D">
      <w:pPr>
        <w:pStyle w:val="NoSpacing"/>
        <w:numPr>
          <w:ilvl w:val="1"/>
          <w:numId w:val="79"/>
        </w:numPr>
      </w:pPr>
      <w:r>
        <w:rPr>
          <w:i/>
        </w:rPr>
        <w:t xml:space="preserve">Client and Court </w:t>
      </w:r>
      <w:r>
        <w:t xml:space="preserve">– </w:t>
      </w:r>
      <w:r w:rsidRPr="00DF3EF1">
        <w:rPr>
          <w:rFonts w:cs="Times New Roman"/>
          <w:szCs w:val="24"/>
        </w:rPr>
        <w:t>A lawyer is obliged as part of their duty to both the client and the court to put any argument that might re</w:t>
      </w:r>
      <w:r>
        <w:rPr>
          <w:rFonts w:cs="Times New Roman"/>
          <w:szCs w:val="24"/>
        </w:rPr>
        <w:t>asonably be open to the client.</w:t>
      </w:r>
    </w:p>
    <w:p w14:paraId="6A81A732" w14:textId="77777777" w:rsidR="00263421" w:rsidRPr="00263421" w:rsidRDefault="00263421" w:rsidP="0069421D">
      <w:pPr>
        <w:pStyle w:val="NoSpacing"/>
        <w:numPr>
          <w:ilvl w:val="2"/>
          <w:numId w:val="79"/>
        </w:numPr>
      </w:pPr>
      <w:r w:rsidRPr="00DF3EF1">
        <w:rPr>
          <w:rFonts w:cs="Times New Roman"/>
          <w:i/>
          <w:szCs w:val="24"/>
        </w:rPr>
        <w:t xml:space="preserve">Queensland Law Society </w:t>
      </w:r>
      <w:proofErr w:type="spellStart"/>
      <w:r w:rsidRPr="00DF3EF1">
        <w:rPr>
          <w:rFonts w:cs="Times New Roman"/>
          <w:i/>
          <w:szCs w:val="24"/>
        </w:rPr>
        <w:t>Inc</w:t>
      </w:r>
      <w:proofErr w:type="spellEnd"/>
      <w:r w:rsidRPr="00DF3EF1">
        <w:rPr>
          <w:rFonts w:cs="Times New Roman"/>
          <w:i/>
          <w:szCs w:val="24"/>
        </w:rPr>
        <w:t xml:space="preserve"> v Stevens</w:t>
      </w:r>
    </w:p>
    <w:p w14:paraId="4C215070" w14:textId="77777777" w:rsidR="00263421" w:rsidRPr="00263421" w:rsidRDefault="00263421" w:rsidP="00263421">
      <w:pPr>
        <w:pStyle w:val="NoSpacing"/>
        <w:ind w:left="1440"/>
      </w:pPr>
    </w:p>
    <w:p w14:paraId="01F543D9" w14:textId="50986B10" w:rsidR="00A158A9" w:rsidRDefault="00470C72" w:rsidP="0069421D">
      <w:pPr>
        <w:pStyle w:val="NoSpacing"/>
        <w:numPr>
          <w:ilvl w:val="1"/>
          <w:numId w:val="79"/>
        </w:numPr>
      </w:pPr>
      <w:r>
        <w:rPr>
          <w:i/>
        </w:rPr>
        <w:t xml:space="preserve">Barristers </w:t>
      </w:r>
      <w:r w:rsidR="008C105F" w:rsidRPr="00470C72">
        <w:rPr>
          <w:i/>
        </w:rPr>
        <w:t>must not</w:t>
      </w:r>
      <w:r w:rsidR="00A807FB" w:rsidRPr="00470C72">
        <w:rPr>
          <w:i/>
        </w:rPr>
        <w:t xml:space="preserve"> mislead the Court</w:t>
      </w:r>
      <w:r w:rsidR="00A807FB">
        <w:t xml:space="preserve"> – </w:t>
      </w:r>
      <w:r w:rsidR="00A158A9">
        <w:t xml:space="preserve">Practitioners must not mislead the court as to </w:t>
      </w:r>
      <w:r w:rsidR="00A158A9" w:rsidRPr="00A807FB">
        <w:rPr>
          <w:u w:val="single"/>
        </w:rPr>
        <w:t>the law</w:t>
      </w:r>
      <w:r w:rsidR="00A158A9">
        <w:t xml:space="preserve"> and must ensure that the law is correctly applied by the court Bar Rules 24 and 26.</w:t>
      </w:r>
    </w:p>
    <w:p w14:paraId="016CA0BA" w14:textId="77777777" w:rsidR="0021118C" w:rsidRPr="0021118C" w:rsidRDefault="0021118C" w:rsidP="0021118C">
      <w:pPr>
        <w:pStyle w:val="NoSpacing"/>
      </w:pPr>
    </w:p>
    <w:p w14:paraId="6DCA3553" w14:textId="65C2679F" w:rsidR="0021118C" w:rsidRDefault="00972C0A" w:rsidP="0069421D">
      <w:pPr>
        <w:pStyle w:val="NoSpacing"/>
        <w:numPr>
          <w:ilvl w:val="0"/>
          <w:numId w:val="79"/>
        </w:numPr>
      </w:pPr>
      <w:r w:rsidRPr="00472694">
        <w:rPr>
          <w:b/>
          <w:i/>
          <w:u w:val="single"/>
        </w:rPr>
        <w:t xml:space="preserve">Candour in Presentation </w:t>
      </w:r>
      <w:r w:rsidR="00DC352A" w:rsidRPr="00472694">
        <w:rPr>
          <w:b/>
          <w:i/>
          <w:u w:val="single"/>
        </w:rPr>
        <w:t>of the Law</w:t>
      </w:r>
      <w:r w:rsidR="00DC352A">
        <w:rPr>
          <w:i/>
        </w:rPr>
        <w:t xml:space="preserve"> </w:t>
      </w:r>
      <w:r>
        <w:t xml:space="preserve">– </w:t>
      </w:r>
      <w:r w:rsidR="006328EF">
        <w:t xml:space="preserve"> Lawyers must ensure they </w:t>
      </w:r>
      <w:r w:rsidR="006328EF" w:rsidRPr="0055265E">
        <w:rPr>
          <w:i/>
        </w:rPr>
        <w:t xml:space="preserve">‘do what they can to ensure that the law is applied correctly to the case’ </w:t>
      </w:r>
      <w:r w:rsidR="006328EF">
        <w:t xml:space="preserve">per </w:t>
      </w:r>
      <w:r w:rsidR="006328EF">
        <w:rPr>
          <w:i/>
        </w:rPr>
        <w:t xml:space="preserve">Re </w:t>
      </w:r>
      <w:proofErr w:type="spellStart"/>
      <w:r w:rsidR="006328EF">
        <w:rPr>
          <w:i/>
        </w:rPr>
        <w:t>Gruzman</w:t>
      </w:r>
      <w:proofErr w:type="spellEnd"/>
    </w:p>
    <w:p w14:paraId="45CEC530" w14:textId="77777777" w:rsidR="00395594" w:rsidRPr="00395594" w:rsidRDefault="00395594" w:rsidP="00145331">
      <w:pPr>
        <w:pStyle w:val="NoSpacing"/>
      </w:pPr>
    </w:p>
    <w:p w14:paraId="7E522996" w14:textId="77777777" w:rsidR="00263421" w:rsidRDefault="00263421" w:rsidP="0069421D">
      <w:pPr>
        <w:pStyle w:val="NoSpacing"/>
        <w:numPr>
          <w:ilvl w:val="1"/>
          <w:numId w:val="79"/>
        </w:numPr>
      </w:pPr>
      <w:r w:rsidRPr="001C306B">
        <w:rPr>
          <w:b/>
          <w:i/>
        </w:rPr>
        <w:t>Independence &amp; Abstraction of Client Control</w:t>
      </w:r>
      <w:r w:rsidRPr="00A807FB">
        <w:rPr>
          <w:i/>
        </w:rPr>
        <w:t xml:space="preserve"> </w:t>
      </w:r>
      <w:r>
        <w:t xml:space="preserve">– Lawyers should be aware of the relevant legal principles and ensure that they do not allow their clients to take over the litigation at the behest of their professional judgement per </w:t>
      </w:r>
      <w:r>
        <w:rPr>
          <w:i/>
        </w:rPr>
        <w:t>Wentworth v Rogers</w:t>
      </w:r>
      <w:r>
        <w:t>.</w:t>
      </w:r>
    </w:p>
    <w:p w14:paraId="34D09951" w14:textId="77777777" w:rsidR="00DC352A" w:rsidRPr="008E2B73" w:rsidRDefault="00DC352A" w:rsidP="00DC352A">
      <w:pPr>
        <w:pStyle w:val="NoSpacing"/>
        <w:ind w:left="2160"/>
      </w:pPr>
    </w:p>
    <w:p w14:paraId="41968BAC" w14:textId="77777777" w:rsidR="00DC352A" w:rsidRPr="00AD5E60" w:rsidRDefault="00DC352A" w:rsidP="0069421D">
      <w:pPr>
        <w:pStyle w:val="NoSpacing"/>
        <w:numPr>
          <w:ilvl w:val="1"/>
          <w:numId w:val="79"/>
        </w:numPr>
      </w:pPr>
      <w:r w:rsidRPr="001C306B">
        <w:rPr>
          <w:b/>
          <w:i/>
        </w:rPr>
        <w:t>Not waste Court time</w:t>
      </w:r>
      <w:r>
        <w:rPr>
          <w:i/>
        </w:rPr>
        <w:t xml:space="preserve"> </w:t>
      </w:r>
      <w:r>
        <w:t xml:space="preserve">– </w:t>
      </w:r>
      <w:r>
        <w:rPr>
          <w:rFonts w:cs="Times New Roman"/>
          <w:szCs w:val="24"/>
        </w:rPr>
        <w:t xml:space="preserve">A lawyer is not required to make every point conceivable and inconceivable without judgment or discrimination available – per </w:t>
      </w:r>
      <w:r w:rsidRPr="008B4B6B">
        <w:rPr>
          <w:rFonts w:cs="Times New Roman"/>
          <w:i/>
          <w:szCs w:val="24"/>
        </w:rPr>
        <w:t xml:space="preserve">Ashmore v Corp </w:t>
      </w:r>
      <w:r>
        <w:rPr>
          <w:rFonts w:cs="Times New Roman"/>
          <w:i/>
          <w:szCs w:val="24"/>
        </w:rPr>
        <w:t>o</w:t>
      </w:r>
      <w:r w:rsidRPr="008B4B6B">
        <w:rPr>
          <w:rFonts w:cs="Times New Roman"/>
          <w:i/>
          <w:szCs w:val="24"/>
        </w:rPr>
        <w:t>f Lloyds</w:t>
      </w:r>
      <w:r>
        <w:rPr>
          <w:rFonts w:cs="Times New Roman"/>
          <w:szCs w:val="24"/>
        </w:rPr>
        <w:t xml:space="preserve"> – but must rather exercise professional judgment so as </w:t>
      </w:r>
      <w:r w:rsidRPr="00A860F5">
        <w:rPr>
          <w:rFonts w:cs="Times New Roman"/>
          <w:i/>
          <w:szCs w:val="24"/>
          <w:u w:val="single"/>
        </w:rPr>
        <w:t>“not to use public time in pursuit of submission which are really unarguable”</w:t>
      </w:r>
    </w:p>
    <w:p w14:paraId="477917C1" w14:textId="77777777" w:rsidR="00DC352A" w:rsidRPr="00263421" w:rsidRDefault="00DC352A" w:rsidP="0069421D">
      <w:pPr>
        <w:pStyle w:val="NoSpacing"/>
        <w:numPr>
          <w:ilvl w:val="2"/>
          <w:numId w:val="79"/>
        </w:numPr>
      </w:pPr>
      <w:r w:rsidRPr="00AD5E60">
        <w:rPr>
          <w:rFonts w:cs="Times New Roman"/>
          <w:i/>
          <w:szCs w:val="24"/>
        </w:rPr>
        <w:t>Richardson v R</w:t>
      </w:r>
      <w:r>
        <w:rPr>
          <w:rFonts w:cs="Times New Roman"/>
          <w:szCs w:val="24"/>
        </w:rPr>
        <w:t xml:space="preserve"> </w:t>
      </w:r>
    </w:p>
    <w:p w14:paraId="6827C891" w14:textId="77777777" w:rsidR="00263421" w:rsidRPr="00263421" w:rsidRDefault="00263421" w:rsidP="00263421">
      <w:pPr>
        <w:pStyle w:val="NoSpacing"/>
        <w:ind w:left="2160"/>
      </w:pPr>
    </w:p>
    <w:p w14:paraId="4865E203" w14:textId="586A6452" w:rsidR="00BE6BA1" w:rsidRDefault="00263421" w:rsidP="0069421D">
      <w:pPr>
        <w:pStyle w:val="NoSpacing"/>
        <w:numPr>
          <w:ilvl w:val="1"/>
          <w:numId w:val="79"/>
        </w:numPr>
      </w:pPr>
      <w:r w:rsidRPr="001C306B">
        <w:rPr>
          <w:b/>
          <w:i/>
        </w:rPr>
        <w:t>Not withhold the Law</w:t>
      </w:r>
      <w:r>
        <w:rPr>
          <w:i/>
        </w:rPr>
        <w:t xml:space="preserve"> </w:t>
      </w:r>
      <w:r w:rsidR="00247D7C">
        <w:rPr>
          <w:i/>
        </w:rPr>
        <w:t>– PCPR 14.6</w:t>
      </w:r>
      <w:r w:rsidR="00AC7069">
        <w:rPr>
          <w:i/>
        </w:rPr>
        <w:t>; 14.8</w:t>
      </w:r>
      <w:r w:rsidR="00247D7C">
        <w:rPr>
          <w:i/>
        </w:rPr>
        <w:t xml:space="preserve"> </w:t>
      </w:r>
      <w:r w:rsidR="00BE6BA1">
        <w:rPr>
          <w:i/>
        </w:rPr>
        <w:t>&amp;</w:t>
      </w:r>
      <w:r w:rsidR="00247D7C">
        <w:rPr>
          <w:i/>
        </w:rPr>
        <w:t xml:space="preserve"> Vic Bar R24</w:t>
      </w:r>
      <w:r w:rsidR="001F6FD8">
        <w:rPr>
          <w:i/>
        </w:rPr>
        <w:t>; R26</w:t>
      </w:r>
      <w:r>
        <w:t xml:space="preserve">– </w:t>
      </w:r>
      <w:r w:rsidR="00DA1733">
        <w:t>Lawyers must not withhold the law and this persists to final judgement per PCPR 14.8.</w:t>
      </w:r>
    </w:p>
    <w:p w14:paraId="56EACB7B" w14:textId="77777777" w:rsidR="00BE6BA1" w:rsidRDefault="00BE6BA1" w:rsidP="00BE6BA1">
      <w:pPr>
        <w:pStyle w:val="NoSpacing"/>
        <w:ind w:left="2160"/>
      </w:pPr>
    </w:p>
    <w:p w14:paraId="0AF806C1" w14:textId="740F1250" w:rsidR="00263421" w:rsidRDefault="00BE6BA1" w:rsidP="0069421D">
      <w:pPr>
        <w:pStyle w:val="NoSpacing"/>
        <w:numPr>
          <w:ilvl w:val="2"/>
          <w:numId w:val="79"/>
        </w:numPr>
      </w:pPr>
      <w:r>
        <w:rPr>
          <w:i/>
        </w:rPr>
        <w:t xml:space="preserve">Not </w:t>
      </w:r>
      <w:r w:rsidR="00DA1733">
        <w:rPr>
          <w:i/>
        </w:rPr>
        <w:t>withhold</w:t>
      </w:r>
      <w:r>
        <w:rPr>
          <w:i/>
        </w:rPr>
        <w:t xml:space="preserve"> authorities – </w:t>
      </w:r>
      <w:r w:rsidR="009446EC">
        <w:t>Lawyers must not withhold authorities which are detrimental to their case but which the law or professional standards require them to produce</w:t>
      </w:r>
    </w:p>
    <w:p w14:paraId="0086B050" w14:textId="4A269752" w:rsidR="009446EC" w:rsidRPr="00D309F1" w:rsidRDefault="009446EC" w:rsidP="0069421D">
      <w:pPr>
        <w:pStyle w:val="NoSpacing"/>
        <w:numPr>
          <w:ilvl w:val="3"/>
          <w:numId w:val="79"/>
        </w:numPr>
      </w:pPr>
      <w:proofErr w:type="spellStart"/>
      <w:r>
        <w:rPr>
          <w:i/>
        </w:rPr>
        <w:t>Rondel</w:t>
      </w:r>
      <w:proofErr w:type="spellEnd"/>
      <w:r>
        <w:rPr>
          <w:i/>
        </w:rPr>
        <w:t xml:space="preserve"> v Worsley</w:t>
      </w:r>
    </w:p>
    <w:p w14:paraId="7305AC08" w14:textId="77777777" w:rsidR="00D309F1" w:rsidRPr="00D309F1" w:rsidRDefault="00D309F1" w:rsidP="00D309F1">
      <w:pPr>
        <w:pStyle w:val="NoSpacing"/>
        <w:ind w:left="2880"/>
      </w:pPr>
    </w:p>
    <w:p w14:paraId="11ACB490" w14:textId="4055D44C" w:rsidR="000B390A" w:rsidRDefault="0006419A" w:rsidP="0069421D">
      <w:pPr>
        <w:pStyle w:val="NoSpacing"/>
        <w:numPr>
          <w:ilvl w:val="2"/>
          <w:numId w:val="79"/>
        </w:numPr>
      </w:pPr>
      <w:r>
        <w:rPr>
          <w:i/>
        </w:rPr>
        <w:t xml:space="preserve">PCPR 14.6 – </w:t>
      </w:r>
      <w:r w:rsidR="00DA1733">
        <w:t>Must disclose the law to the Court including:</w:t>
      </w:r>
    </w:p>
    <w:p w14:paraId="3C5638DC" w14:textId="577E896E" w:rsidR="000B390A" w:rsidRDefault="00DA1733" w:rsidP="0069421D">
      <w:pPr>
        <w:pStyle w:val="NoSpacing"/>
        <w:numPr>
          <w:ilvl w:val="3"/>
          <w:numId w:val="79"/>
        </w:numPr>
      </w:pPr>
      <w:r w:rsidRPr="00DA1733">
        <w:rPr>
          <w:i/>
        </w:rPr>
        <w:t>14.6.1</w:t>
      </w:r>
      <w:r>
        <w:t xml:space="preserve"> – </w:t>
      </w:r>
      <w:r w:rsidR="000B390A">
        <w:t>Any binding authority;</w:t>
      </w:r>
    </w:p>
    <w:p w14:paraId="5BA32A41" w14:textId="49970D2F" w:rsidR="000B390A" w:rsidRDefault="00DA1733" w:rsidP="0069421D">
      <w:pPr>
        <w:pStyle w:val="NoSpacing"/>
        <w:numPr>
          <w:ilvl w:val="3"/>
          <w:numId w:val="79"/>
        </w:numPr>
      </w:pPr>
      <w:r w:rsidRPr="00DA1733">
        <w:rPr>
          <w:i/>
        </w:rPr>
        <w:t>14.6.2</w:t>
      </w:r>
      <w:r>
        <w:t xml:space="preserve"> –</w:t>
      </w:r>
      <w:r w:rsidR="000B390A">
        <w:t xml:space="preserve">Any authority decided by the full court of Federal Court of </w:t>
      </w:r>
      <w:proofErr w:type="spellStart"/>
      <w:r w:rsidR="000B390A">
        <w:t>Aust</w:t>
      </w:r>
      <w:proofErr w:type="spellEnd"/>
      <w:r w:rsidR="000B390A">
        <w:t>, Court of Appeal of SC or Full Court of SC;</w:t>
      </w:r>
    </w:p>
    <w:p w14:paraId="23A1C8B4" w14:textId="649949FF" w:rsidR="000B390A" w:rsidRDefault="00DA1733" w:rsidP="0069421D">
      <w:pPr>
        <w:pStyle w:val="NoSpacing"/>
        <w:numPr>
          <w:ilvl w:val="3"/>
          <w:numId w:val="79"/>
        </w:numPr>
      </w:pPr>
      <w:r w:rsidRPr="00DA1733">
        <w:rPr>
          <w:i/>
        </w:rPr>
        <w:t>14.6.3</w:t>
      </w:r>
      <w:r>
        <w:t xml:space="preserve"> –</w:t>
      </w:r>
      <w:r w:rsidR="000B390A">
        <w:t>Any authority on the same or materially similar legislation as that in question in case including authority decided at first instance;</w:t>
      </w:r>
    </w:p>
    <w:p w14:paraId="0AAEF085" w14:textId="32B233CF" w:rsidR="000B390A" w:rsidRDefault="00DA1733" w:rsidP="0069421D">
      <w:pPr>
        <w:pStyle w:val="NoSpacing"/>
        <w:numPr>
          <w:ilvl w:val="3"/>
          <w:numId w:val="79"/>
        </w:numPr>
      </w:pPr>
      <w:r w:rsidRPr="00DA1733">
        <w:rPr>
          <w:i/>
        </w:rPr>
        <w:t>14.6.4</w:t>
      </w:r>
      <w:r>
        <w:t xml:space="preserve"> –</w:t>
      </w:r>
      <w:r w:rsidR="000B390A">
        <w:t>Any applicable legislation.</w:t>
      </w:r>
    </w:p>
    <w:p w14:paraId="744DE45F" w14:textId="77777777" w:rsidR="000B390A" w:rsidRDefault="000B390A" w:rsidP="000B390A">
      <w:pPr>
        <w:pStyle w:val="NoSpacing"/>
        <w:rPr>
          <w:b/>
          <w:u w:val="single"/>
        </w:rPr>
      </w:pPr>
    </w:p>
    <w:p w14:paraId="1365D28F" w14:textId="77777777" w:rsidR="009A2734" w:rsidRDefault="009A2734" w:rsidP="000B390A">
      <w:pPr>
        <w:pStyle w:val="NoSpacing"/>
        <w:rPr>
          <w:b/>
          <w:u w:val="single"/>
        </w:rPr>
      </w:pPr>
    </w:p>
    <w:p w14:paraId="444B7551" w14:textId="39CC85B4" w:rsidR="009A2734" w:rsidRPr="009A2734" w:rsidRDefault="009A2734" w:rsidP="0069421D">
      <w:pPr>
        <w:pStyle w:val="NoSpacing"/>
        <w:numPr>
          <w:ilvl w:val="0"/>
          <w:numId w:val="79"/>
        </w:numPr>
      </w:pPr>
      <w:r w:rsidRPr="00472694">
        <w:rPr>
          <w:b/>
          <w:i/>
          <w:u w:val="single"/>
        </w:rPr>
        <w:t xml:space="preserve">Candour in Presentation of </w:t>
      </w:r>
      <w:r>
        <w:rPr>
          <w:b/>
          <w:i/>
          <w:u w:val="single"/>
        </w:rPr>
        <w:t>Fact</w:t>
      </w:r>
      <w:r w:rsidRPr="009A2734">
        <w:rPr>
          <w:b/>
          <w:i/>
        </w:rPr>
        <w:t xml:space="preserve"> [next page]</w:t>
      </w:r>
    </w:p>
    <w:p w14:paraId="1DE07533" w14:textId="77777777" w:rsidR="009A2734" w:rsidRDefault="009A2734" w:rsidP="000B390A">
      <w:pPr>
        <w:pStyle w:val="NoSpacing"/>
        <w:rPr>
          <w:b/>
          <w:u w:val="single"/>
        </w:rPr>
      </w:pPr>
    </w:p>
    <w:p w14:paraId="46FCF806" w14:textId="77777777" w:rsidR="009A2734" w:rsidRDefault="009A2734" w:rsidP="000B390A">
      <w:pPr>
        <w:pStyle w:val="NoSpacing"/>
        <w:rPr>
          <w:b/>
          <w:u w:val="single"/>
        </w:rPr>
      </w:pPr>
    </w:p>
    <w:p w14:paraId="71C3D77E" w14:textId="77777777" w:rsidR="009A2734" w:rsidRDefault="009A2734" w:rsidP="000B390A">
      <w:pPr>
        <w:pStyle w:val="NoSpacing"/>
        <w:rPr>
          <w:b/>
          <w:u w:val="single"/>
        </w:rPr>
      </w:pPr>
    </w:p>
    <w:p w14:paraId="012EEA66" w14:textId="77777777" w:rsidR="009A2734" w:rsidRDefault="009A2734" w:rsidP="000B390A">
      <w:pPr>
        <w:pStyle w:val="NoSpacing"/>
        <w:rPr>
          <w:b/>
          <w:u w:val="single"/>
        </w:rPr>
      </w:pPr>
    </w:p>
    <w:p w14:paraId="6350E0FF" w14:textId="77777777" w:rsidR="003D13DB" w:rsidRDefault="003D13DB" w:rsidP="000B390A">
      <w:pPr>
        <w:pStyle w:val="NoSpacing"/>
        <w:rPr>
          <w:b/>
          <w:u w:val="single"/>
        </w:rPr>
      </w:pPr>
    </w:p>
    <w:p w14:paraId="7EE33A2D" w14:textId="716B855B" w:rsidR="009446EC" w:rsidRDefault="00472694" w:rsidP="0069421D">
      <w:pPr>
        <w:pStyle w:val="NoSpacing"/>
        <w:numPr>
          <w:ilvl w:val="0"/>
          <w:numId w:val="79"/>
        </w:numPr>
      </w:pPr>
      <w:r w:rsidRPr="00472694">
        <w:rPr>
          <w:b/>
          <w:i/>
          <w:u w:val="single"/>
        </w:rPr>
        <w:lastRenderedPageBreak/>
        <w:t xml:space="preserve">Candour in Presentation of </w:t>
      </w:r>
      <w:r>
        <w:rPr>
          <w:b/>
          <w:i/>
          <w:u w:val="single"/>
        </w:rPr>
        <w:t>Fact</w:t>
      </w:r>
      <w:r w:rsidR="00A33AF8">
        <w:rPr>
          <w:b/>
          <w:i/>
          <w:u w:val="single"/>
        </w:rPr>
        <w:t xml:space="preserve"> </w:t>
      </w:r>
      <w:r w:rsidR="00A33AF8">
        <w:t xml:space="preserve">– A lawyer must ensure that they are respect and candid in their presentation of Fact per </w:t>
      </w:r>
      <w:r w:rsidR="00A33AF8">
        <w:rPr>
          <w:i/>
        </w:rPr>
        <w:t>Re Davis</w:t>
      </w:r>
      <w:r w:rsidR="00A33AF8">
        <w:t>.</w:t>
      </w:r>
    </w:p>
    <w:p w14:paraId="44E7F6A9" w14:textId="77777777" w:rsidR="00A33AF8" w:rsidRDefault="00A33AF8" w:rsidP="00A33AF8">
      <w:pPr>
        <w:pStyle w:val="NoSpacing"/>
        <w:ind w:left="720"/>
      </w:pPr>
    </w:p>
    <w:p w14:paraId="44BA7C08" w14:textId="7FFAE934" w:rsidR="00E113BC" w:rsidRDefault="00A127A5" w:rsidP="0069421D">
      <w:pPr>
        <w:pStyle w:val="NoSpacing"/>
        <w:numPr>
          <w:ilvl w:val="1"/>
          <w:numId w:val="79"/>
        </w:numPr>
      </w:pPr>
      <w:r w:rsidRPr="001C306B">
        <w:rPr>
          <w:b/>
          <w:i/>
        </w:rPr>
        <w:t>Cannot mislead</w:t>
      </w:r>
      <w:r>
        <w:t xml:space="preserve"> – PCPR 14.1 – Lawyers cannot knowingly mislead the Court or provide any evidence meant to mislead. PCPR 14.2 requires them to immediately correct any misleading statements.</w:t>
      </w:r>
    </w:p>
    <w:p w14:paraId="228BAA94" w14:textId="7995357D" w:rsidR="009A2734" w:rsidRPr="005C249F" w:rsidRDefault="009A2734" w:rsidP="0069421D">
      <w:pPr>
        <w:pStyle w:val="NoSpacing"/>
        <w:numPr>
          <w:ilvl w:val="2"/>
          <w:numId w:val="79"/>
        </w:numPr>
      </w:pPr>
      <w:r>
        <w:rPr>
          <w:i/>
        </w:rPr>
        <w:t xml:space="preserve">Extends to all representations made in Court </w:t>
      </w:r>
      <w:r w:rsidR="00911491">
        <w:rPr>
          <w:i/>
        </w:rPr>
        <w:t xml:space="preserve">including evidence and submissions </w:t>
      </w:r>
      <w:r>
        <w:t xml:space="preserve">– </w:t>
      </w:r>
      <w:proofErr w:type="spellStart"/>
      <w:r>
        <w:rPr>
          <w:i/>
        </w:rPr>
        <w:t>Rondel</w:t>
      </w:r>
      <w:proofErr w:type="spellEnd"/>
      <w:r>
        <w:rPr>
          <w:i/>
        </w:rPr>
        <w:t xml:space="preserve"> v Worsley</w:t>
      </w:r>
      <w:r w:rsidR="00853803">
        <w:rPr>
          <w:i/>
        </w:rPr>
        <w:t xml:space="preserve">; Re </w:t>
      </w:r>
      <w:proofErr w:type="spellStart"/>
      <w:r w:rsidR="00853803">
        <w:rPr>
          <w:i/>
        </w:rPr>
        <w:t>Gurzman</w:t>
      </w:r>
      <w:proofErr w:type="spellEnd"/>
    </w:p>
    <w:p w14:paraId="0F82492D" w14:textId="77777777" w:rsidR="005C249F" w:rsidRDefault="005C249F" w:rsidP="005C249F">
      <w:pPr>
        <w:pStyle w:val="NoSpacing"/>
        <w:ind w:left="2160"/>
      </w:pPr>
    </w:p>
    <w:p w14:paraId="4B38C6C0" w14:textId="0373B390" w:rsidR="000B691F" w:rsidRDefault="00911491" w:rsidP="0069421D">
      <w:pPr>
        <w:pStyle w:val="NoSpacing"/>
        <w:numPr>
          <w:ilvl w:val="1"/>
          <w:numId w:val="79"/>
        </w:numPr>
      </w:pPr>
      <w:r w:rsidRPr="001C306B">
        <w:rPr>
          <w:b/>
          <w:i/>
        </w:rPr>
        <w:t>Barristers cannot mislead</w:t>
      </w:r>
      <w:r>
        <w:rPr>
          <w:i/>
        </w:rPr>
        <w:t xml:space="preserve"> </w:t>
      </w:r>
      <w:r>
        <w:t xml:space="preserve">– </w:t>
      </w:r>
      <w:r w:rsidR="000B691F" w:rsidRPr="000B691F">
        <w:t xml:space="preserve">Practitioners must not be party to the presentation of evidence, or making of allegations, that lack sufficient evidentiary foundation </w:t>
      </w:r>
      <w:r w:rsidR="00DF0AC6">
        <w:t>–</w:t>
      </w:r>
      <w:r w:rsidR="000B691F" w:rsidRPr="000B691F">
        <w:t xml:space="preserve"> Bar Rules 31 to 35, 38 and 42 </w:t>
      </w:r>
    </w:p>
    <w:p w14:paraId="557B0DFD" w14:textId="75FECE2F" w:rsidR="000B691F" w:rsidRDefault="000B691F" w:rsidP="0069421D">
      <w:pPr>
        <w:pStyle w:val="NoSpacing"/>
        <w:numPr>
          <w:ilvl w:val="2"/>
          <w:numId w:val="79"/>
        </w:numPr>
      </w:pPr>
      <w:r w:rsidRPr="000B691F">
        <w:t>If found out later that a witness lied must tell the court: Bar Rule 29</w:t>
      </w:r>
    </w:p>
    <w:p w14:paraId="01B7D814" w14:textId="77777777" w:rsidR="0018221A" w:rsidRPr="0018221A" w:rsidRDefault="0018221A" w:rsidP="0018221A">
      <w:pPr>
        <w:pStyle w:val="NoSpacing"/>
      </w:pPr>
    </w:p>
    <w:p w14:paraId="64DCB27A" w14:textId="1E156133" w:rsidR="0018221A" w:rsidRDefault="00853803" w:rsidP="0069421D">
      <w:pPr>
        <w:pStyle w:val="NoSpacing"/>
        <w:numPr>
          <w:ilvl w:val="1"/>
          <w:numId w:val="79"/>
        </w:numPr>
      </w:pPr>
      <w:r w:rsidRPr="001C306B">
        <w:rPr>
          <w:b/>
          <w:i/>
        </w:rPr>
        <w:t>Not</w:t>
      </w:r>
      <w:r>
        <w:rPr>
          <w:i/>
        </w:rPr>
        <w:t xml:space="preserve"> </w:t>
      </w:r>
      <w:r w:rsidRPr="001C306B">
        <w:rPr>
          <w:b/>
          <w:i/>
        </w:rPr>
        <w:t>mislead opponents</w:t>
      </w:r>
      <w:r>
        <w:rPr>
          <w:i/>
        </w:rPr>
        <w:t xml:space="preserve"> </w:t>
      </w:r>
      <w:r>
        <w:t xml:space="preserve">– </w:t>
      </w:r>
      <w:r w:rsidR="0015798B">
        <w:t xml:space="preserve">English case of </w:t>
      </w:r>
      <w:r w:rsidR="004924D4">
        <w:rPr>
          <w:i/>
        </w:rPr>
        <w:t xml:space="preserve">Vernon v </w:t>
      </w:r>
      <w:proofErr w:type="spellStart"/>
      <w:r w:rsidR="004924D4">
        <w:rPr>
          <w:i/>
        </w:rPr>
        <w:t>Bosley</w:t>
      </w:r>
      <w:proofErr w:type="spellEnd"/>
      <w:r w:rsidR="004924D4">
        <w:t xml:space="preserve"> clearly stated that:</w:t>
      </w:r>
    </w:p>
    <w:p w14:paraId="235582B1" w14:textId="5F2166B8" w:rsidR="004924D4" w:rsidRDefault="00F10D23" w:rsidP="0069421D">
      <w:pPr>
        <w:pStyle w:val="NoSpacing"/>
        <w:numPr>
          <w:ilvl w:val="2"/>
          <w:numId w:val="79"/>
        </w:numPr>
      </w:pPr>
      <w:r>
        <w:rPr>
          <w:i/>
        </w:rPr>
        <w:t xml:space="preserve">Not mislead Court or Opponent – </w:t>
      </w:r>
      <w:r w:rsidR="004924D4">
        <w:t>A litigant has a duty not to mislead the court or the opponent</w:t>
      </w:r>
    </w:p>
    <w:p w14:paraId="7DC10CEC" w14:textId="77777777" w:rsidR="00A600E2" w:rsidRPr="00A600E2" w:rsidRDefault="00A600E2" w:rsidP="00A600E2">
      <w:pPr>
        <w:pStyle w:val="NoSpacing"/>
        <w:ind w:left="2160"/>
      </w:pPr>
    </w:p>
    <w:p w14:paraId="22838F94" w14:textId="194CC1D2" w:rsidR="004924D4" w:rsidRDefault="000A153E" w:rsidP="0069421D">
      <w:pPr>
        <w:pStyle w:val="NoSpacing"/>
        <w:numPr>
          <w:ilvl w:val="2"/>
          <w:numId w:val="79"/>
        </w:numPr>
      </w:pPr>
      <w:r>
        <w:rPr>
          <w:i/>
        </w:rPr>
        <w:t xml:space="preserve">Candid Disclosure of Evidence – </w:t>
      </w:r>
      <w:r w:rsidR="004924D4">
        <w:t xml:space="preserve">Where the case has been conducted on the basis of certain material facts which are an essential part of the party’s case and then contradictory facts are discovered before judgment, there is a danger the court will be misled and thus counsel must advise the client that disclosure should be made. </w:t>
      </w:r>
    </w:p>
    <w:p w14:paraId="7219ADA6" w14:textId="77777777" w:rsidR="00A600E2" w:rsidRPr="00A600E2" w:rsidRDefault="00A600E2" w:rsidP="00A600E2">
      <w:pPr>
        <w:pStyle w:val="NoSpacing"/>
        <w:ind w:left="2160"/>
      </w:pPr>
    </w:p>
    <w:p w14:paraId="2C27DAFD" w14:textId="14B62EEE" w:rsidR="004924D4" w:rsidRDefault="00A4244D" w:rsidP="0069421D">
      <w:pPr>
        <w:pStyle w:val="NoSpacing"/>
        <w:numPr>
          <w:ilvl w:val="2"/>
          <w:numId w:val="79"/>
        </w:numPr>
      </w:pPr>
      <w:r>
        <w:rPr>
          <w:i/>
        </w:rPr>
        <w:t xml:space="preserve">Withdraw if client unacceptable – </w:t>
      </w:r>
      <w:r w:rsidR="004924D4">
        <w:t>If the client does not accept then withdraw from the case</w:t>
      </w:r>
    </w:p>
    <w:p w14:paraId="55D112A2" w14:textId="77777777" w:rsidR="00BA5798" w:rsidRDefault="00BA5798" w:rsidP="00BA5798">
      <w:pPr>
        <w:pStyle w:val="NoSpacing"/>
        <w:rPr>
          <w:i/>
        </w:rPr>
      </w:pPr>
    </w:p>
    <w:p w14:paraId="353EA5CA" w14:textId="2FAE892B" w:rsidR="0015798B" w:rsidRDefault="00BA5798" w:rsidP="00BA5798">
      <w:pPr>
        <w:pStyle w:val="NoSpacing"/>
      </w:pPr>
      <w:r>
        <w:rPr>
          <w:i/>
        </w:rPr>
        <w:t xml:space="preserve">Vernon v </w:t>
      </w:r>
      <w:proofErr w:type="spellStart"/>
      <w:r>
        <w:rPr>
          <w:i/>
        </w:rPr>
        <w:t>Bosley</w:t>
      </w:r>
      <w:proofErr w:type="spellEnd"/>
    </w:p>
    <w:p w14:paraId="1C883038" w14:textId="77777777" w:rsidR="00BA5798" w:rsidRDefault="00BA5798" w:rsidP="00BA5798">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t>Plaintiff brought an action for nervous shock, and failed to disclose to the Court before the final order that his condition was not as severe as it really was. Plaintiff was running twin actions for this claim and for a claim to seek custody of children. Psychiatrist in this later case adduced evidence which lead Court to believe condition was not bad.</w:t>
      </w:r>
    </w:p>
    <w:p w14:paraId="31C86E89" w14:textId="09F187DC" w:rsidR="00BA5798" w:rsidRPr="00BA5798" w:rsidRDefault="00BA5798" w:rsidP="00BA5798">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rPr>
          <w:b/>
        </w:rPr>
        <w:t>Held:</w:t>
      </w:r>
      <w:r>
        <w:t xml:space="preserve"> Lawyers mislead the Court by not advising of the real state of the condition.</w:t>
      </w:r>
    </w:p>
    <w:p w14:paraId="60C9106E" w14:textId="77777777" w:rsidR="00BA5798" w:rsidRDefault="00BA5798" w:rsidP="00BA5798">
      <w:pPr>
        <w:pStyle w:val="NoSpacing"/>
      </w:pPr>
    </w:p>
    <w:p w14:paraId="3260B3A4" w14:textId="65BC4C58" w:rsidR="004924D4" w:rsidRDefault="00E14CDD" w:rsidP="0069421D">
      <w:pPr>
        <w:pStyle w:val="NoSpacing"/>
        <w:numPr>
          <w:ilvl w:val="1"/>
          <w:numId w:val="79"/>
        </w:numPr>
      </w:pPr>
      <w:r w:rsidRPr="001C306B">
        <w:rPr>
          <w:b/>
          <w:i/>
        </w:rPr>
        <w:t>Limits on Dut</w:t>
      </w:r>
      <w:r w:rsidRPr="00AB264F">
        <w:rPr>
          <w:b/>
          <w:i/>
        </w:rPr>
        <w:t xml:space="preserve">y </w:t>
      </w:r>
      <w:r w:rsidR="00AB264F" w:rsidRPr="00AB264F">
        <w:rPr>
          <w:b/>
          <w:i/>
        </w:rPr>
        <w:t>&amp; Statements</w:t>
      </w:r>
      <w:r w:rsidR="00AB264F">
        <w:rPr>
          <w:i/>
        </w:rPr>
        <w:t xml:space="preserve"> </w:t>
      </w:r>
      <w:r>
        <w:t xml:space="preserve">– </w:t>
      </w:r>
      <w:r w:rsidR="00955DA8" w:rsidRPr="004C2289">
        <w:rPr>
          <w:i/>
        </w:rPr>
        <w:t>PCPR 14.10; Vic Bar 158</w:t>
      </w:r>
      <w:r w:rsidR="00955DA8">
        <w:t xml:space="preserve"> – </w:t>
      </w:r>
      <w:r w:rsidR="00A1277E">
        <w:t>A l</w:t>
      </w:r>
      <w:r w:rsidR="00955DA8">
        <w:t xml:space="preserve">awyer </w:t>
      </w:r>
      <w:r w:rsidR="007C3198">
        <w:t>can</w:t>
      </w:r>
      <w:r w:rsidR="00955DA8">
        <w:t>not make a misleading statement by failing to disclose facts concern</w:t>
      </w:r>
      <w:r w:rsidR="00B03ED8">
        <w:t>ing</w:t>
      </w:r>
      <w:r w:rsidR="00955DA8">
        <w:t xml:space="preserve"> </w:t>
      </w:r>
      <w:r w:rsidR="00955DA8">
        <w:rPr>
          <w:u w:val="single"/>
        </w:rPr>
        <w:t>character or past</w:t>
      </w:r>
      <w:r w:rsidR="00955DA8">
        <w:t xml:space="preserve"> when a lawyer makes other statements which are not misleading</w:t>
      </w:r>
      <w:r w:rsidR="00717EFA">
        <w:t>.</w:t>
      </w:r>
    </w:p>
    <w:p w14:paraId="18EBE9D1" w14:textId="77777777" w:rsidR="00717EFA" w:rsidRPr="00717EFA" w:rsidRDefault="00717EFA" w:rsidP="00717EFA">
      <w:pPr>
        <w:pStyle w:val="NoSpacing"/>
      </w:pPr>
    </w:p>
    <w:p w14:paraId="667D759C" w14:textId="51C6352E" w:rsidR="00717EFA" w:rsidRPr="00717EFA" w:rsidRDefault="00DC6D29" w:rsidP="0069421D">
      <w:pPr>
        <w:pStyle w:val="NoSpacing"/>
        <w:numPr>
          <w:ilvl w:val="2"/>
          <w:numId w:val="79"/>
        </w:numPr>
      </w:pPr>
      <w:r>
        <w:rPr>
          <w:i/>
        </w:rPr>
        <w:t xml:space="preserve">Honest in Positive Statements – </w:t>
      </w:r>
      <w:r w:rsidR="00717EFA" w:rsidRPr="00717EFA">
        <w:t>While practitioners are obliged to act honestly in all positive statements made to the court, they are not required to:</w:t>
      </w:r>
    </w:p>
    <w:p w14:paraId="69ECB698" w14:textId="77777777" w:rsidR="003A5757" w:rsidRPr="003A5757" w:rsidRDefault="003A5757" w:rsidP="003A5757">
      <w:pPr>
        <w:pStyle w:val="NoSpacing"/>
        <w:ind w:left="2160"/>
      </w:pPr>
    </w:p>
    <w:p w14:paraId="7615BE5B" w14:textId="153EB0E6" w:rsidR="00717EFA" w:rsidRPr="00717EFA" w:rsidRDefault="00740B43" w:rsidP="00A1277E">
      <w:pPr>
        <w:pStyle w:val="NoSpacing"/>
        <w:numPr>
          <w:ilvl w:val="3"/>
          <w:numId w:val="79"/>
        </w:numPr>
      </w:pPr>
      <w:r>
        <w:rPr>
          <w:i/>
        </w:rPr>
        <w:t xml:space="preserve">Identify of Witness’ – </w:t>
      </w:r>
      <w:r w:rsidR="00717EFA" w:rsidRPr="00717EFA">
        <w:t>disclose the identity of a witness they propose to call who will give evidence adverse to the other side</w:t>
      </w:r>
    </w:p>
    <w:p w14:paraId="3925DCCE" w14:textId="77777777" w:rsidR="003A5757" w:rsidRPr="003A5757" w:rsidRDefault="003A5757" w:rsidP="003A5757">
      <w:pPr>
        <w:pStyle w:val="NoSpacing"/>
        <w:ind w:left="2160"/>
      </w:pPr>
    </w:p>
    <w:p w14:paraId="3B349D59" w14:textId="4B727A97" w:rsidR="00717EFA" w:rsidRPr="00717EFA" w:rsidRDefault="009E5A5D" w:rsidP="00A1277E">
      <w:pPr>
        <w:pStyle w:val="NoSpacing"/>
        <w:numPr>
          <w:ilvl w:val="3"/>
          <w:numId w:val="79"/>
        </w:numPr>
      </w:pPr>
      <w:r>
        <w:rPr>
          <w:i/>
        </w:rPr>
        <w:t xml:space="preserve">Call all Witness’ – </w:t>
      </w:r>
      <w:r w:rsidR="00717EFA" w:rsidRPr="00717EFA">
        <w:t>call every witness able to give relevant testimony</w:t>
      </w:r>
    </w:p>
    <w:p w14:paraId="7C94A0C6" w14:textId="77777777" w:rsidR="003A5757" w:rsidRPr="003A5757" w:rsidRDefault="003A5757" w:rsidP="003A5757">
      <w:pPr>
        <w:pStyle w:val="NoSpacing"/>
        <w:ind w:left="2160"/>
      </w:pPr>
    </w:p>
    <w:p w14:paraId="7B608E17" w14:textId="2D2772E3" w:rsidR="003B2DCD" w:rsidRDefault="00FB189D" w:rsidP="00A1277E">
      <w:pPr>
        <w:pStyle w:val="NoSpacing"/>
        <w:numPr>
          <w:ilvl w:val="3"/>
          <w:numId w:val="79"/>
        </w:numPr>
      </w:pPr>
      <w:r>
        <w:rPr>
          <w:i/>
        </w:rPr>
        <w:t>Correct Errors</w:t>
      </w:r>
      <w:r w:rsidR="003A5757">
        <w:rPr>
          <w:i/>
        </w:rPr>
        <w:t xml:space="preserve"> – PCPR 14.3; Vic Bar 21</w:t>
      </w:r>
      <w:r>
        <w:rPr>
          <w:i/>
        </w:rPr>
        <w:t xml:space="preserve"> – </w:t>
      </w:r>
      <w:r>
        <w:t>C</w:t>
      </w:r>
      <w:r w:rsidR="00717EFA" w:rsidRPr="00717EFA">
        <w:t xml:space="preserve">orrect errors of fact made by another party </w:t>
      </w:r>
      <w:r w:rsidR="003B2DCD">
        <w:t>and draw judges attention to these errors.</w:t>
      </w:r>
    </w:p>
    <w:p w14:paraId="7767DC08" w14:textId="77777777" w:rsidR="006A632C" w:rsidRDefault="006A632C" w:rsidP="00145331">
      <w:pPr>
        <w:pStyle w:val="NoSpacing"/>
      </w:pPr>
    </w:p>
    <w:p w14:paraId="7C84C9AA" w14:textId="77777777" w:rsidR="00D62F96" w:rsidRDefault="003E2DBB" w:rsidP="0069421D">
      <w:pPr>
        <w:pStyle w:val="NoSpacing"/>
        <w:numPr>
          <w:ilvl w:val="0"/>
          <w:numId w:val="79"/>
        </w:numPr>
      </w:pPr>
      <w:r>
        <w:rPr>
          <w:b/>
          <w:i/>
          <w:u w:val="single"/>
        </w:rPr>
        <w:lastRenderedPageBreak/>
        <w:t>Duty not to Abuse Process</w:t>
      </w:r>
      <w:r w:rsidRPr="00BF0940">
        <w:rPr>
          <w:b/>
          <w:i/>
        </w:rPr>
        <w:t xml:space="preserve"> </w:t>
      </w:r>
      <w:r w:rsidR="00782946">
        <w:rPr>
          <w:b/>
        </w:rPr>
        <w:t xml:space="preserve">– </w:t>
      </w:r>
      <w:r w:rsidR="00BA358C" w:rsidRPr="00BA358C">
        <w:t>Lawyer must respect</w:t>
      </w:r>
      <w:r w:rsidR="00BA358C">
        <w:rPr>
          <w:b/>
        </w:rPr>
        <w:t xml:space="preserve"> </w:t>
      </w:r>
      <w:r w:rsidR="00BA358C">
        <w:t xml:space="preserve">the law and prevent any abuse of process or </w:t>
      </w:r>
      <w:r w:rsidR="00D62F96">
        <w:t>procedure.</w:t>
      </w:r>
    </w:p>
    <w:p w14:paraId="7DE0C3F3" w14:textId="5CD8997A" w:rsidR="003E2DBB" w:rsidRPr="00782946" w:rsidRDefault="00D62F96" w:rsidP="00D62F96">
      <w:pPr>
        <w:pStyle w:val="NoSpacing"/>
        <w:ind w:left="720"/>
      </w:pPr>
      <w:r>
        <w:t xml:space="preserve"> </w:t>
      </w:r>
    </w:p>
    <w:p w14:paraId="10F14734" w14:textId="17AD3034" w:rsidR="00E12487" w:rsidRDefault="00877684" w:rsidP="0069421D">
      <w:pPr>
        <w:pStyle w:val="NoSpacing"/>
        <w:numPr>
          <w:ilvl w:val="1"/>
          <w:numId w:val="79"/>
        </w:numPr>
      </w:pPr>
      <w:r w:rsidRPr="001C306B">
        <w:rPr>
          <w:b/>
          <w:i/>
        </w:rPr>
        <w:t>Insufficient</w:t>
      </w:r>
      <w:r w:rsidR="00E12487" w:rsidRPr="001C306B">
        <w:rPr>
          <w:b/>
          <w:i/>
        </w:rPr>
        <w:t xml:space="preserve"> Evidence</w:t>
      </w:r>
      <w:r w:rsidR="00E12487">
        <w:rPr>
          <w:i/>
        </w:rPr>
        <w:t xml:space="preserve"> </w:t>
      </w:r>
      <w:r w:rsidR="00E12487">
        <w:t xml:space="preserve">– </w:t>
      </w:r>
      <w:r w:rsidR="00E12487" w:rsidRPr="000C6321">
        <w:rPr>
          <w:i/>
        </w:rPr>
        <w:t>PCPR 16.3; Vic Bar 35</w:t>
      </w:r>
      <w:r w:rsidR="00E12487">
        <w:t xml:space="preserve"> – </w:t>
      </w:r>
      <w:r w:rsidR="000C6321">
        <w:t>A lawyer must not be a knowing party to the presentation of evidence or making of statements for which there is insufficient evidentiary foundation to submit such evidence.</w:t>
      </w:r>
    </w:p>
    <w:p w14:paraId="07ACB13F" w14:textId="1B580180" w:rsidR="00BB3EC7" w:rsidRPr="00E12487" w:rsidRDefault="00BB3EC7" w:rsidP="0069421D">
      <w:pPr>
        <w:pStyle w:val="NoSpacing"/>
        <w:numPr>
          <w:ilvl w:val="2"/>
          <w:numId w:val="79"/>
        </w:numPr>
      </w:pPr>
      <w:r>
        <w:rPr>
          <w:i/>
        </w:rPr>
        <w:t>3</w:t>
      </w:r>
      <w:r w:rsidRPr="00BB3EC7">
        <w:rPr>
          <w:i/>
          <w:vertAlign w:val="superscript"/>
        </w:rPr>
        <w:t>rd</w:t>
      </w:r>
      <w:r>
        <w:rPr>
          <w:i/>
        </w:rPr>
        <w:t xml:space="preserve"> Parties </w:t>
      </w:r>
      <w:r>
        <w:t xml:space="preserve">– This includes the submission of evidence relating to third parties for which there is no evidence per </w:t>
      </w:r>
      <w:proofErr w:type="spellStart"/>
      <w:r>
        <w:rPr>
          <w:i/>
        </w:rPr>
        <w:t>Rondel</w:t>
      </w:r>
      <w:proofErr w:type="spellEnd"/>
      <w:r>
        <w:rPr>
          <w:i/>
        </w:rPr>
        <w:t xml:space="preserve"> v </w:t>
      </w:r>
      <w:proofErr w:type="spellStart"/>
      <w:proofErr w:type="gramStart"/>
      <w:r>
        <w:rPr>
          <w:i/>
        </w:rPr>
        <w:t>Worsely</w:t>
      </w:r>
      <w:proofErr w:type="spellEnd"/>
      <w:proofErr w:type="gramEnd"/>
      <w:r>
        <w:t>.</w:t>
      </w:r>
    </w:p>
    <w:p w14:paraId="13455C07" w14:textId="77777777" w:rsidR="00E12487" w:rsidRPr="00E12487" w:rsidRDefault="00E12487" w:rsidP="00E12487">
      <w:pPr>
        <w:pStyle w:val="NoSpacing"/>
        <w:ind w:left="1440"/>
      </w:pPr>
    </w:p>
    <w:p w14:paraId="3CFF7977" w14:textId="0A114107" w:rsidR="00782946" w:rsidRDefault="00D62F96" w:rsidP="0069421D">
      <w:pPr>
        <w:pStyle w:val="NoSpacing"/>
        <w:numPr>
          <w:ilvl w:val="1"/>
          <w:numId w:val="79"/>
        </w:numPr>
      </w:pPr>
      <w:r w:rsidRPr="001C306B">
        <w:rPr>
          <w:b/>
          <w:i/>
        </w:rPr>
        <w:t>Baseless aspersions or allegations</w:t>
      </w:r>
      <w:r>
        <w:t xml:space="preserve"> – </w:t>
      </w:r>
      <w:r w:rsidR="005A7375" w:rsidRPr="005A7375">
        <w:rPr>
          <w:i/>
        </w:rPr>
        <w:t>PCPR 16.1; Vic Bar 35</w:t>
      </w:r>
      <w:r w:rsidR="005A7375">
        <w:t xml:space="preserve"> – </w:t>
      </w:r>
      <w:r w:rsidR="00877684">
        <w:t xml:space="preserve">A lawyer must not be party to the presentation of any statement or allegation for which there is insufficient evidence [per above] or which is not appropriate to the advancement of the </w:t>
      </w:r>
      <w:proofErr w:type="spellStart"/>
      <w:r w:rsidR="00877684">
        <w:t>clients</w:t>
      </w:r>
      <w:proofErr w:type="spellEnd"/>
      <w:r w:rsidR="00877684">
        <w:t xml:space="preserve"> case.</w:t>
      </w:r>
    </w:p>
    <w:p w14:paraId="52F87093" w14:textId="200398BD" w:rsidR="00877684" w:rsidRPr="00877684" w:rsidRDefault="00877684" w:rsidP="0069421D">
      <w:pPr>
        <w:pStyle w:val="NoSpacing"/>
        <w:numPr>
          <w:ilvl w:val="2"/>
          <w:numId w:val="79"/>
        </w:numPr>
      </w:pPr>
      <w:proofErr w:type="spellStart"/>
      <w:r>
        <w:rPr>
          <w:i/>
        </w:rPr>
        <w:t>Clyne</w:t>
      </w:r>
      <w:proofErr w:type="spellEnd"/>
      <w:r>
        <w:rPr>
          <w:i/>
        </w:rPr>
        <w:t xml:space="preserve"> v NSW Bar Association</w:t>
      </w:r>
    </w:p>
    <w:p w14:paraId="5D69160C" w14:textId="77777777" w:rsidR="00877684" w:rsidRDefault="00877684" w:rsidP="00877684">
      <w:pPr>
        <w:pStyle w:val="NoSpacing"/>
        <w:ind w:left="2160"/>
      </w:pPr>
    </w:p>
    <w:p w14:paraId="45073C43" w14:textId="285726B4" w:rsidR="00877684" w:rsidRDefault="00713BF2" w:rsidP="0069421D">
      <w:pPr>
        <w:pStyle w:val="NoSpacing"/>
        <w:numPr>
          <w:ilvl w:val="1"/>
          <w:numId w:val="79"/>
        </w:numPr>
      </w:pPr>
      <w:r w:rsidRPr="001C306B">
        <w:rPr>
          <w:b/>
          <w:i/>
        </w:rPr>
        <w:t>Allegations of Criminality</w:t>
      </w:r>
      <w:r w:rsidR="00FA08F0">
        <w:rPr>
          <w:i/>
        </w:rPr>
        <w:t xml:space="preserve"> </w:t>
      </w:r>
      <w:r>
        <w:t xml:space="preserve">– </w:t>
      </w:r>
      <w:r w:rsidR="00FA08F0">
        <w:t xml:space="preserve">Lawyers should not make any allegations of criminal activity – such as fraud – and should not make such claims lightly per </w:t>
      </w:r>
      <w:proofErr w:type="spellStart"/>
      <w:r w:rsidR="00FA08F0">
        <w:rPr>
          <w:i/>
        </w:rPr>
        <w:t>Saltoon</w:t>
      </w:r>
      <w:proofErr w:type="spellEnd"/>
      <w:r w:rsidR="00FA08F0">
        <w:rPr>
          <w:i/>
        </w:rPr>
        <w:t xml:space="preserve"> v Lake</w:t>
      </w:r>
      <w:r w:rsidR="00FA08F0">
        <w:t>.</w:t>
      </w:r>
    </w:p>
    <w:p w14:paraId="019E795F" w14:textId="06E181B5" w:rsidR="005E0086" w:rsidRDefault="005E0086" w:rsidP="0069421D">
      <w:pPr>
        <w:pStyle w:val="NoSpacing"/>
        <w:numPr>
          <w:ilvl w:val="2"/>
          <w:numId w:val="79"/>
        </w:numPr>
      </w:pPr>
      <w:r>
        <w:rPr>
          <w:i/>
        </w:rPr>
        <w:t xml:space="preserve">Large evidentiary burden </w:t>
      </w:r>
      <w:r>
        <w:t>– Lawyers must have appropriate evidentiary foundations prior to alleging or pleading fraud and be aware of disciplinary consequences if they are wrong.</w:t>
      </w:r>
    </w:p>
    <w:p w14:paraId="1439A5F8" w14:textId="02A0CAD4" w:rsidR="005E0086" w:rsidRDefault="005E0086" w:rsidP="0069421D">
      <w:pPr>
        <w:pStyle w:val="NoSpacing"/>
        <w:numPr>
          <w:ilvl w:val="3"/>
          <w:numId w:val="79"/>
        </w:numPr>
      </w:pPr>
      <w:proofErr w:type="spellStart"/>
      <w:r>
        <w:rPr>
          <w:i/>
        </w:rPr>
        <w:t>Holborow</w:t>
      </w:r>
      <w:proofErr w:type="spellEnd"/>
      <w:r>
        <w:rPr>
          <w:i/>
        </w:rPr>
        <w:t xml:space="preserve"> v McDonald</w:t>
      </w:r>
    </w:p>
    <w:p w14:paraId="6D91CF2D" w14:textId="77777777" w:rsidR="005E0086" w:rsidRDefault="005E0086" w:rsidP="005E0086">
      <w:pPr>
        <w:pStyle w:val="NoSpacing"/>
        <w:ind w:left="2880"/>
      </w:pPr>
    </w:p>
    <w:p w14:paraId="32749132" w14:textId="0BA2DA54" w:rsidR="00FA08F0" w:rsidRDefault="005E0086" w:rsidP="0069421D">
      <w:pPr>
        <w:pStyle w:val="NoSpacing"/>
        <w:numPr>
          <w:ilvl w:val="2"/>
          <w:numId w:val="79"/>
        </w:numPr>
      </w:pPr>
      <w:r>
        <w:rPr>
          <w:i/>
        </w:rPr>
        <w:t xml:space="preserve">Barristers cannot make allegations lightly – </w:t>
      </w:r>
      <w:r w:rsidR="00FA08F0">
        <w:rPr>
          <w:i/>
        </w:rPr>
        <w:t>Vic Bar 37</w:t>
      </w:r>
      <w:r w:rsidR="00FA08F0">
        <w:t xml:space="preserve"> – Cannot make allegations which are ‘scandalous or calculated to vilify insult or insure the commercial or personal reputation of any person or corporation’</w:t>
      </w:r>
    </w:p>
    <w:p w14:paraId="41C65C7F" w14:textId="77777777" w:rsidR="00FA08F0" w:rsidRDefault="00FA08F0" w:rsidP="00FA08F0">
      <w:pPr>
        <w:pStyle w:val="NoSpacing"/>
        <w:ind w:left="2160"/>
      </w:pPr>
    </w:p>
    <w:p w14:paraId="2E8F1286" w14:textId="6B75FB3E" w:rsidR="00FA08F0" w:rsidRDefault="00CF20B6" w:rsidP="0069421D">
      <w:pPr>
        <w:pStyle w:val="NoSpacing"/>
        <w:numPr>
          <w:ilvl w:val="1"/>
          <w:numId w:val="79"/>
        </w:numPr>
      </w:pPr>
      <w:r>
        <w:rPr>
          <w:b/>
          <w:i/>
        </w:rPr>
        <w:t>Frivolous</w:t>
      </w:r>
      <w:r w:rsidR="00CA7219">
        <w:rPr>
          <w:b/>
          <w:i/>
        </w:rPr>
        <w:t xml:space="preserve"> Cases </w:t>
      </w:r>
      <w:r w:rsidR="00CA7219">
        <w:rPr>
          <w:b/>
        </w:rPr>
        <w:t xml:space="preserve">– </w:t>
      </w:r>
      <w:r w:rsidRPr="00CF20B6">
        <w:t xml:space="preserve">Lawyers must acknowledge </w:t>
      </w:r>
      <w:r>
        <w:t>their duty to the administration of justice requires efficient and effective resolution of cases with economic efficiency.</w:t>
      </w:r>
    </w:p>
    <w:p w14:paraId="0F391228" w14:textId="77777777" w:rsidR="00CF20B6" w:rsidRDefault="00CF20B6" w:rsidP="00CF20B6">
      <w:pPr>
        <w:pStyle w:val="NoSpacing"/>
        <w:ind w:left="1440"/>
      </w:pPr>
    </w:p>
    <w:p w14:paraId="4F1E8950" w14:textId="6D68A73A" w:rsidR="00713D35" w:rsidRDefault="00713D35" w:rsidP="0069421D">
      <w:pPr>
        <w:pStyle w:val="NoSpacing"/>
        <w:numPr>
          <w:ilvl w:val="2"/>
          <w:numId w:val="79"/>
        </w:numPr>
      </w:pPr>
      <w:r>
        <w:rPr>
          <w:i/>
        </w:rPr>
        <w:t xml:space="preserve">Duty to Inform </w:t>
      </w:r>
      <w:r>
        <w:t>– Lawyers must realistically assess client cases and not pursue frivolous cases and if they pursue weak cases – inform the client the case is weak and the likely consequences.</w:t>
      </w:r>
    </w:p>
    <w:p w14:paraId="62E43BE7" w14:textId="68DAF30B" w:rsidR="00713D35" w:rsidRPr="00713D35" w:rsidRDefault="00713D35" w:rsidP="0069421D">
      <w:pPr>
        <w:pStyle w:val="NoSpacing"/>
        <w:numPr>
          <w:ilvl w:val="3"/>
          <w:numId w:val="79"/>
        </w:numPr>
      </w:pPr>
      <w:proofErr w:type="spellStart"/>
      <w:r>
        <w:rPr>
          <w:i/>
        </w:rPr>
        <w:t>Steindl</w:t>
      </w:r>
      <w:proofErr w:type="spellEnd"/>
      <w:r>
        <w:rPr>
          <w:i/>
        </w:rPr>
        <w:t xml:space="preserve"> Nominees v </w:t>
      </w:r>
      <w:proofErr w:type="spellStart"/>
      <w:r>
        <w:rPr>
          <w:i/>
        </w:rPr>
        <w:t>Laghaifar</w:t>
      </w:r>
      <w:proofErr w:type="spellEnd"/>
    </w:p>
    <w:p w14:paraId="6186AF62" w14:textId="77777777" w:rsidR="00713D35" w:rsidRPr="00713D35" w:rsidRDefault="00713D35" w:rsidP="00713D35">
      <w:pPr>
        <w:pStyle w:val="NoSpacing"/>
        <w:ind w:left="2160"/>
      </w:pPr>
    </w:p>
    <w:p w14:paraId="02F917FC" w14:textId="219FE7AB" w:rsidR="004050BC" w:rsidRDefault="00D02BEC" w:rsidP="0069421D">
      <w:pPr>
        <w:pStyle w:val="NoSpacing"/>
        <w:numPr>
          <w:ilvl w:val="2"/>
          <w:numId w:val="79"/>
        </w:numPr>
      </w:pPr>
      <w:r>
        <w:rPr>
          <w:i/>
        </w:rPr>
        <w:t>Speedy &amp; Efficiency</w:t>
      </w:r>
      <w:r w:rsidR="004050BC">
        <w:rPr>
          <w:i/>
        </w:rPr>
        <w:t xml:space="preserve"> </w:t>
      </w:r>
      <w:r w:rsidR="004050BC">
        <w:t>– Lawyers who squander Court time and resources face cost orders and disciplinary procedures for wastage.</w:t>
      </w:r>
    </w:p>
    <w:p w14:paraId="4B585EBB" w14:textId="28C5748B" w:rsidR="004050BC" w:rsidRPr="004050BC" w:rsidRDefault="00777C77" w:rsidP="0069421D">
      <w:pPr>
        <w:pStyle w:val="NoSpacing"/>
        <w:numPr>
          <w:ilvl w:val="3"/>
          <w:numId w:val="79"/>
        </w:numPr>
      </w:pPr>
      <w:proofErr w:type="spellStart"/>
      <w:r>
        <w:rPr>
          <w:i/>
        </w:rPr>
        <w:t>Giannarelli</w:t>
      </w:r>
      <w:proofErr w:type="spellEnd"/>
      <w:r>
        <w:rPr>
          <w:i/>
        </w:rPr>
        <w:t xml:space="preserve"> v Wraith; </w:t>
      </w:r>
      <w:r w:rsidR="004050BC">
        <w:rPr>
          <w:i/>
        </w:rPr>
        <w:t xml:space="preserve">CT Bowring &amp; Co v </w:t>
      </w:r>
      <w:proofErr w:type="spellStart"/>
      <w:r w:rsidR="004050BC">
        <w:rPr>
          <w:i/>
        </w:rPr>
        <w:t>Corsi</w:t>
      </w:r>
      <w:proofErr w:type="spellEnd"/>
      <w:r w:rsidR="004050BC">
        <w:rPr>
          <w:i/>
        </w:rPr>
        <w:t xml:space="preserve"> Partner</w:t>
      </w:r>
      <w:r w:rsidR="00AB72A8">
        <w:t>s</w:t>
      </w:r>
    </w:p>
    <w:p w14:paraId="2919C91C" w14:textId="77777777" w:rsidR="004050BC" w:rsidRPr="004050BC" w:rsidRDefault="004050BC" w:rsidP="004050BC">
      <w:pPr>
        <w:pStyle w:val="NoSpacing"/>
        <w:ind w:left="2160"/>
      </w:pPr>
    </w:p>
    <w:p w14:paraId="28346A24" w14:textId="0852BA8F" w:rsidR="00CF20B6" w:rsidRDefault="00CF20B6" w:rsidP="0069421D">
      <w:pPr>
        <w:pStyle w:val="NoSpacing"/>
        <w:numPr>
          <w:ilvl w:val="2"/>
          <w:numId w:val="79"/>
        </w:numPr>
      </w:pPr>
      <w:r w:rsidRPr="00CF20B6">
        <w:rPr>
          <w:i/>
        </w:rPr>
        <w:t>Lawyer imposed Costs Orders</w:t>
      </w:r>
      <w:r>
        <w:rPr>
          <w:b/>
          <w:i/>
        </w:rPr>
        <w:t xml:space="preserve"> –</w:t>
      </w:r>
      <w:r>
        <w:t xml:space="preserve"> Lawyers who instruct their clients to pursue frivolous cases or unduly delay litigation can have Court imposed cost orders.</w:t>
      </w:r>
    </w:p>
    <w:p w14:paraId="68CBA76F" w14:textId="67E342F6" w:rsidR="00CF20B6" w:rsidRPr="00CF20B6" w:rsidRDefault="00CF20B6" w:rsidP="0069421D">
      <w:pPr>
        <w:pStyle w:val="NoSpacing"/>
        <w:numPr>
          <w:ilvl w:val="3"/>
          <w:numId w:val="79"/>
        </w:numPr>
      </w:pPr>
      <w:r>
        <w:rPr>
          <w:i/>
        </w:rPr>
        <w:t xml:space="preserve">White Industries v Flower &amp; Hart </w:t>
      </w:r>
    </w:p>
    <w:p w14:paraId="102BE50D" w14:textId="77777777" w:rsidR="00CF20B6" w:rsidRDefault="00CF20B6" w:rsidP="00CF20B6">
      <w:pPr>
        <w:pStyle w:val="NoSpacing"/>
        <w:ind w:left="2880"/>
      </w:pPr>
    </w:p>
    <w:p w14:paraId="29230F62" w14:textId="69998E44" w:rsidR="00145331" w:rsidRDefault="00D3489D" w:rsidP="0069421D">
      <w:pPr>
        <w:pStyle w:val="NoSpacing"/>
        <w:numPr>
          <w:ilvl w:val="0"/>
          <w:numId w:val="79"/>
        </w:numPr>
      </w:pPr>
      <w:r>
        <w:rPr>
          <w:b/>
          <w:i/>
          <w:u w:val="single"/>
        </w:rPr>
        <w:t>***</w:t>
      </w:r>
      <w:r w:rsidR="00BE11DE" w:rsidRPr="00BE11DE">
        <w:rPr>
          <w:b/>
          <w:i/>
          <w:u w:val="single"/>
        </w:rPr>
        <w:t>Duty not to Co</w:t>
      </w:r>
      <w:r w:rsidR="00BE11DE">
        <w:rPr>
          <w:b/>
          <w:i/>
          <w:u w:val="single"/>
        </w:rPr>
        <w:t>rrupt Administration of Justice</w:t>
      </w:r>
      <w:r w:rsidR="00BE11DE" w:rsidRPr="00BE11DE">
        <w:rPr>
          <w:b/>
          <w:i/>
        </w:rPr>
        <w:t xml:space="preserve"> [next page]</w:t>
      </w:r>
    </w:p>
    <w:p w14:paraId="4111E9C9" w14:textId="77777777" w:rsidR="00145331" w:rsidRDefault="00145331" w:rsidP="00145331">
      <w:pPr>
        <w:pStyle w:val="NoSpacing"/>
      </w:pPr>
    </w:p>
    <w:p w14:paraId="67428CEC" w14:textId="77777777" w:rsidR="00145331" w:rsidRDefault="00145331" w:rsidP="00145331">
      <w:pPr>
        <w:pStyle w:val="NoSpacing"/>
      </w:pPr>
    </w:p>
    <w:p w14:paraId="7F252FD1" w14:textId="77777777" w:rsidR="00145331" w:rsidRDefault="00145331" w:rsidP="00145331">
      <w:pPr>
        <w:pStyle w:val="NoSpacing"/>
      </w:pPr>
    </w:p>
    <w:p w14:paraId="50A86F51" w14:textId="77777777" w:rsidR="00145331" w:rsidRDefault="00145331" w:rsidP="00145331">
      <w:pPr>
        <w:pStyle w:val="NoSpacing"/>
      </w:pPr>
    </w:p>
    <w:p w14:paraId="68C36325" w14:textId="77777777" w:rsidR="00145331" w:rsidRDefault="00145331" w:rsidP="00145331">
      <w:pPr>
        <w:pStyle w:val="NoSpacing"/>
      </w:pPr>
    </w:p>
    <w:p w14:paraId="2ABF71C9" w14:textId="77777777" w:rsidR="00145331" w:rsidRDefault="00145331" w:rsidP="00145331">
      <w:pPr>
        <w:pStyle w:val="NoSpacing"/>
      </w:pPr>
    </w:p>
    <w:p w14:paraId="136D8325" w14:textId="42F3ACAE" w:rsidR="00351699" w:rsidRDefault="00D3489D" w:rsidP="0069421D">
      <w:pPr>
        <w:pStyle w:val="NoSpacing"/>
        <w:numPr>
          <w:ilvl w:val="0"/>
          <w:numId w:val="79"/>
        </w:numPr>
      </w:pPr>
      <w:r>
        <w:rPr>
          <w:b/>
          <w:i/>
          <w:u w:val="single"/>
        </w:rPr>
        <w:lastRenderedPageBreak/>
        <w:t>***</w:t>
      </w:r>
      <w:r w:rsidR="00351699" w:rsidRPr="00BE11DE">
        <w:rPr>
          <w:b/>
          <w:i/>
          <w:u w:val="single"/>
        </w:rPr>
        <w:t>Duty not to Co</w:t>
      </w:r>
      <w:r w:rsidR="00351699">
        <w:rPr>
          <w:b/>
          <w:i/>
          <w:u w:val="single"/>
        </w:rPr>
        <w:t>rrupt Administration of Justice</w:t>
      </w:r>
      <w:r w:rsidR="00351699" w:rsidRPr="00BE11DE">
        <w:rPr>
          <w:b/>
          <w:i/>
        </w:rPr>
        <w:t xml:space="preserve"> </w:t>
      </w:r>
      <w:r w:rsidR="008C5202">
        <w:t>– In combination with the previous duty, a lawyer must not corrupt the course and administration of justice.</w:t>
      </w:r>
    </w:p>
    <w:p w14:paraId="5E86427D" w14:textId="67829D03" w:rsidR="00F75818" w:rsidRPr="00F75818" w:rsidRDefault="00F75818" w:rsidP="00F75818">
      <w:pPr>
        <w:pStyle w:val="NoSpacing"/>
        <w:ind w:left="1440"/>
      </w:pPr>
    </w:p>
    <w:p w14:paraId="2C9D39A3" w14:textId="3D9E036A" w:rsidR="00414194" w:rsidRDefault="00D02BEC" w:rsidP="0069421D">
      <w:pPr>
        <w:pStyle w:val="NoSpacing"/>
        <w:numPr>
          <w:ilvl w:val="1"/>
          <w:numId w:val="79"/>
        </w:numPr>
      </w:pPr>
      <w:r w:rsidRPr="00D90BFF">
        <w:rPr>
          <w:b/>
          <w:i/>
        </w:rPr>
        <w:t>Client perjury</w:t>
      </w:r>
      <w:r w:rsidR="00BC2467">
        <w:rPr>
          <w:b/>
          <w:i/>
        </w:rPr>
        <w:t xml:space="preserve"> &amp; false statements</w:t>
      </w:r>
      <w:r w:rsidR="00414194" w:rsidRPr="00414194">
        <w:rPr>
          <w:i/>
        </w:rPr>
        <w:t xml:space="preserve"> </w:t>
      </w:r>
      <w:r w:rsidR="00414194">
        <w:t xml:space="preserve">– </w:t>
      </w:r>
      <w:r w:rsidR="00414194" w:rsidRPr="00171499">
        <w:rPr>
          <w:i/>
        </w:rPr>
        <w:t>PCPR R15; Vic Bar 29</w:t>
      </w:r>
      <w:r w:rsidR="00414194">
        <w:t xml:space="preserve"> – </w:t>
      </w:r>
    </w:p>
    <w:p w14:paraId="17ABAFF0" w14:textId="5BDED11F" w:rsidR="00D02BEC" w:rsidRPr="00D02BEC" w:rsidRDefault="00D02BEC" w:rsidP="0069421D">
      <w:pPr>
        <w:pStyle w:val="NoSpacing"/>
        <w:numPr>
          <w:ilvl w:val="2"/>
          <w:numId w:val="79"/>
        </w:numPr>
      </w:pPr>
      <w:r w:rsidRPr="00D02BEC">
        <w:t>If</w:t>
      </w:r>
      <w:r w:rsidR="00E97444">
        <w:t xml:space="preserve"> </w:t>
      </w:r>
      <w:r w:rsidRPr="00D02BEC">
        <w:t xml:space="preserve">a practitioner is informed that the client or their witness has lied to the court in a material particular to the court, or falsified documentary evidence, the practitioner must not inform the court without the client’s consent, but must refuse to take any further part in the case unless the client authorises disclosure </w:t>
      </w:r>
    </w:p>
    <w:p w14:paraId="4037F523" w14:textId="77777777" w:rsidR="00D02BEC" w:rsidRDefault="00D02BEC" w:rsidP="00D02BEC">
      <w:pPr>
        <w:pStyle w:val="NoSpacing"/>
        <w:ind w:left="1440"/>
      </w:pPr>
    </w:p>
    <w:p w14:paraId="308947A1" w14:textId="6B23339F" w:rsidR="00D02BEC" w:rsidRPr="000B3607" w:rsidRDefault="00D02BEC" w:rsidP="0069421D">
      <w:pPr>
        <w:pStyle w:val="NoSpacing"/>
        <w:numPr>
          <w:ilvl w:val="1"/>
          <w:numId w:val="79"/>
        </w:numPr>
      </w:pPr>
      <w:r w:rsidRPr="00D90BFF">
        <w:rPr>
          <w:b/>
          <w:i/>
        </w:rPr>
        <w:t>Client intending to disobey court order</w:t>
      </w:r>
      <w:r w:rsidR="00171499">
        <w:rPr>
          <w:i/>
        </w:rPr>
        <w:t xml:space="preserve"> </w:t>
      </w:r>
      <w:r w:rsidR="00DF0AC6">
        <w:rPr>
          <w:i/>
        </w:rPr>
        <w:t>–</w:t>
      </w:r>
      <w:r w:rsidR="00171499">
        <w:rPr>
          <w:i/>
        </w:rPr>
        <w:t xml:space="preserve"> </w:t>
      </w:r>
      <w:r w:rsidR="00171499" w:rsidRPr="00DF0AC6">
        <w:rPr>
          <w:i/>
        </w:rPr>
        <w:t xml:space="preserve">PCPR 15.3; </w:t>
      </w:r>
      <w:r w:rsidR="002853FF" w:rsidRPr="00171499">
        <w:rPr>
          <w:i/>
        </w:rPr>
        <w:t xml:space="preserve">Vic </w:t>
      </w:r>
      <w:r w:rsidR="00171499" w:rsidRPr="00DF0AC6">
        <w:rPr>
          <w:i/>
        </w:rPr>
        <w:t>Bar 30 –</w:t>
      </w:r>
      <w:r w:rsidR="00171499">
        <w:t xml:space="preserve"> </w:t>
      </w:r>
    </w:p>
    <w:p w14:paraId="1D8DC33B" w14:textId="7D9D712B" w:rsidR="00D02BEC" w:rsidRPr="00D02BEC" w:rsidRDefault="00D02BEC" w:rsidP="0069421D">
      <w:pPr>
        <w:pStyle w:val="NoSpacing"/>
        <w:numPr>
          <w:ilvl w:val="2"/>
          <w:numId w:val="79"/>
        </w:numPr>
      </w:pPr>
      <w:r w:rsidRPr="00D02BEC">
        <w:t xml:space="preserve">If a practitioner learns that a client intends to disobey a court order, s/he must advise the client against that course, but must not inform the court without the client’s authority </w:t>
      </w:r>
      <w:r>
        <w:t>–</w:t>
      </w:r>
      <w:r w:rsidRPr="00D02BEC">
        <w:t xml:space="preserve"> </w:t>
      </w:r>
    </w:p>
    <w:p w14:paraId="07971B96" w14:textId="77777777" w:rsidR="00D02BEC" w:rsidRDefault="00D02BEC" w:rsidP="00D02BEC">
      <w:pPr>
        <w:pStyle w:val="NoSpacing"/>
        <w:ind w:left="1440"/>
      </w:pPr>
    </w:p>
    <w:p w14:paraId="62877CCF" w14:textId="15C73792" w:rsidR="00D02BEC" w:rsidRPr="000B3607" w:rsidRDefault="00D02BEC" w:rsidP="0069421D">
      <w:pPr>
        <w:pStyle w:val="NoSpacing"/>
        <w:numPr>
          <w:ilvl w:val="1"/>
          <w:numId w:val="79"/>
        </w:numPr>
      </w:pPr>
      <w:r w:rsidRPr="00D90BFF">
        <w:rPr>
          <w:b/>
          <w:i/>
        </w:rPr>
        <w:t>Contacting opposing party</w:t>
      </w:r>
      <w:r w:rsidR="00C95116">
        <w:rPr>
          <w:i/>
        </w:rPr>
        <w:t xml:space="preserve"> </w:t>
      </w:r>
      <w:r w:rsidR="00C95116">
        <w:t>–</w:t>
      </w:r>
      <w:r w:rsidR="00C95116" w:rsidRPr="00D02BEC">
        <w:t xml:space="preserve"> </w:t>
      </w:r>
      <w:r w:rsidR="00C95116" w:rsidRPr="004E6D28">
        <w:rPr>
          <w:i/>
        </w:rPr>
        <w:t xml:space="preserve">PCPR 25 and </w:t>
      </w:r>
      <w:r w:rsidR="002853FF" w:rsidRPr="00171499">
        <w:rPr>
          <w:i/>
        </w:rPr>
        <w:t xml:space="preserve">Vic </w:t>
      </w:r>
      <w:r w:rsidR="00C95116" w:rsidRPr="004E6D28">
        <w:rPr>
          <w:i/>
        </w:rPr>
        <w:t>Bar 53</w:t>
      </w:r>
      <w:r w:rsidR="00C95116">
        <w:t xml:space="preserve"> – </w:t>
      </w:r>
    </w:p>
    <w:p w14:paraId="02CBEAE4" w14:textId="4680DA7B" w:rsidR="00D02BEC" w:rsidRPr="00D02BEC" w:rsidRDefault="00D02BEC" w:rsidP="0069421D">
      <w:pPr>
        <w:pStyle w:val="NoSpacing"/>
        <w:numPr>
          <w:ilvl w:val="2"/>
          <w:numId w:val="79"/>
        </w:numPr>
      </w:pPr>
      <w:r w:rsidRPr="00D02BEC">
        <w:t xml:space="preserve">Practitioners must not confer or deal directly with the opposing party unless the party is unrepresented and consents to the contact </w:t>
      </w:r>
      <w:r w:rsidR="00DF0AC6">
        <w:t>–</w:t>
      </w:r>
      <w:r w:rsidRPr="00D02BEC">
        <w:t xml:space="preserve">  </w:t>
      </w:r>
    </w:p>
    <w:p w14:paraId="4B09F39A" w14:textId="77777777" w:rsidR="00D02BEC" w:rsidRDefault="00D02BEC" w:rsidP="00D02BEC">
      <w:pPr>
        <w:pStyle w:val="NoSpacing"/>
        <w:ind w:left="1440"/>
      </w:pPr>
    </w:p>
    <w:p w14:paraId="131014E3" w14:textId="77777777" w:rsidR="009E4DCE" w:rsidRDefault="009E4DCE" w:rsidP="0069421D">
      <w:pPr>
        <w:pStyle w:val="NoSpacing"/>
        <w:numPr>
          <w:ilvl w:val="1"/>
          <w:numId w:val="79"/>
        </w:numPr>
      </w:pPr>
      <w:r w:rsidRPr="00D90BFF">
        <w:rPr>
          <w:b/>
          <w:i/>
        </w:rPr>
        <w:t>No coaching of witnesses</w:t>
      </w:r>
      <w:r>
        <w:rPr>
          <w:i/>
        </w:rPr>
        <w:t xml:space="preserve"> –</w:t>
      </w:r>
      <w:r w:rsidRPr="00D02BEC">
        <w:t xml:space="preserve"> </w:t>
      </w:r>
      <w:r w:rsidRPr="007B7710">
        <w:rPr>
          <w:i/>
        </w:rPr>
        <w:t>PCPR 17.1 and Bar Rules 44(a)</w:t>
      </w:r>
      <w:r>
        <w:t xml:space="preserve"> – </w:t>
      </w:r>
    </w:p>
    <w:p w14:paraId="40D9F0DF" w14:textId="43811762" w:rsidR="009E4DCE" w:rsidRPr="00D02BEC" w:rsidRDefault="009E4DCE" w:rsidP="0069421D">
      <w:pPr>
        <w:pStyle w:val="NoSpacing"/>
        <w:numPr>
          <w:ilvl w:val="2"/>
          <w:numId w:val="79"/>
        </w:numPr>
      </w:pPr>
      <w:r>
        <w:rPr>
          <w:i/>
        </w:rPr>
        <w:t xml:space="preserve">Advise False Evidence – </w:t>
      </w:r>
      <w:r>
        <w:t>C</w:t>
      </w:r>
      <w:r w:rsidRPr="00D02BEC">
        <w:t>annot advise or suggest to a witness that false evidence should be given, or suborn a witness</w:t>
      </w:r>
      <w:r w:rsidR="00D90BFF">
        <w:t>.</w:t>
      </w:r>
    </w:p>
    <w:p w14:paraId="2926252A" w14:textId="77777777" w:rsidR="00F93D7A" w:rsidRDefault="00F93D7A" w:rsidP="00F93D7A">
      <w:pPr>
        <w:pStyle w:val="NoSpacing"/>
        <w:ind w:left="2160"/>
      </w:pPr>
    </w:p>
    <w:p w14:paraId="03FA687E" w14:textId="597F6BED" w:rsidR="009E4DCE" w:rsidRPr="00D02BEC" w:rsidRDefault="009E4DCE" w:rsidP="0069421D">
      <w:pPr>
        <w:pStyle w:val="NoSpacing"/>
        <w:numPr>
          <w:ilvl w:val="2"/>
          <w:numId w:val="79"/>
        </w:numPr>
      </w:pPr>
      <w:r w:rsidRPr="00F93D7A">
        <w:rPr>
          <w:i/>
        </w:rPr>
        <w:t>Cannot coach or encourage a witness</w:t>
      </w:r>
      <w:r w:rsidRPr="00D02BEC">
        <w:t xml:space="preserve"> </w:t>
      </w:r>
      <w:r w:rsidR="00F93D7A">
        <w:t xml:space="preserve">– </w:t>
      </w:r>
      <w:r w:rsidR="0087069F">
        <w:t xml:space="preserve">PCPR 17.2 – </w:t>
      </w:r>
      <w:r w:rsidRPr="00D02BEC">
        <w:t xml:space="preserve">to give evidence different from the evidence the witness believes to be true, advise the answers the witness should give to questions that might be asked </w:t>
      </w:r>
    </w:p>
    <w:p w14:paraId="5F043E61" w14:textId="77777777" w:rsidR="009E4DCE" w:rsidRPr="009E4DCE" w:rsidRDefault="009E4DCE" w:rsidP="009E4DCE">
      <w:pPr>
        <w:pStyle w:val="NoSpacing"/>
        <w:ind w:left="1440"/>
      </w:pPr>
    </w:p>
    <w:p w14:paraId="63FEF090" w14:textId="0B0A3735" w:rsidR="00D02BEC" w:rsidRPr="000B3607" w:rsidRDefault="00D90BFF" w:rsidP="0069421D">
      <w:pPr>
        <w:pStyle w:val="NoSpacing"/>
        <w:numPr>
          <w:ilvl w:val="1"/>
          <w:numId w:val="79"/>
        </w:numPr>
      </w:pPr>
      <w:r>
        <w:rPr>
          <w:b/>
          <w:i/>
        </w:rPr>
        <w:t>Cannot c</w:t>
      </w:r>
      <w:r w:rsidR="00665EEE" w:rsidRPr="00D90BFF">
        <w:rPr>
          <w:b/>
          <w:i/>
        </w:rPr>
        <w:t>ollude</w:t>
      </w:r>
      <w:r w:rsidR="00D02BEC" w:rsidRPr="00D90BFF">
        <w:rPr>
          <w:b/>
          <w:i/>
        </w:rPr>
        <w:t xml:space="preserve"> with </w:t>
      </w:r>
      <w:r w:rsidR="00665EEE" w:rsidRPr="00D90BFF">
        <w:rPr>
          <w:b/>
          <w:i/>
        </w:rPr>
        <w:t xml:space="preserve">multiple </w:t>
      </w:r>
      <w:r w:rsidR="00D02BEC" w:rsidRPr="00D90BFF">
        <w:rPr>
          <w:b/>
          <w:i/>
        </w:rPr>
        <w:t>witnesses</w:t>
      </w:r>
      <w:r w:rsidR="006E4BD7">
        <w:rPr>
          <w:i/>
        </w:rPr>
        <w:t xml:space="preserve"> – </w:t>
      </w:r>
      <w:r w:rsidR="006E4BD7" w:rsidRPr="00B437BF">
        <w:rPr>
          <w:i/>
        </w:rPr>
        <w:t>PCPR 17.3 and Bar Rules 46</w:t>
      </w:r>
      <w:r w:rsidR="006E4BD7">
        <w:t xml:space="preserve"> – </w:t>
      </w:r>
    </w:p>
    <w:p w14:paraId="719CB7C1" w14:textId="77777777" w:rsidR="004E0688" w:rsidRDefault="00D02BEC" w:rsidP="0069421D">
      <w:pPr>
        <w:pStyle w:val="NoSpacing"/>
        <w:numPr>
          <w:ilvl w:val="2"/>
          <w:numId w:val="79"/>
        </w:numPr>
      </w:pPr>
      <w:r w:rsidRPr="00D02BEC">
        <w:t>No conferring with witnesses together</w:t>
      </w:r>
      <w:r w:rsidR="00E41C26">
        <w:t xml:space="preserve"> –</w:t>
      </w:r>
      <w:r w:rsidRPr="00D02BEC">
        <w:t xml:space="preserve"> lawyers should take evidence from lay witnesses separately and to encourage witnesses not to discuss their evidence with others to reduce the risk of contaminatio</w:t>
      </w:r>
      <w:r w:rsidR="004E0688">
        <w:t xml:space="preserve">n and hence their credibility </w:t>
      </w:r>
    </w:p>
    <w:p w14:paraId="465FA5F2" w14:textId="1F8002D6" w:rsidR="00D02BEC" w:rsidRPr="004E0688" w:rsidRDefault="004E0688" w:rsidP="0069421D">
      <w:pPr>
        <w:pStyle w:val="NoSpacing"/>
        <w:numPr>
          <w:ilvl w:val="3"/>
          <w:numId w:val="79"/>
        </w:numPr>
      </w:pPr>
      <w:r w:rsidRPr="004E0688">
        <w:rPr>
          <w:i/>
        </w:rPr>
        <w:t>Day v Perisher</w:t>
      </w:r>
    </w:p>
    <w:p w14:paraId="57D337EE" w14:textId="77777777" w:rsidR="00D02BEC" w:rsidRDefault="00D02BEC" w:rsidP="00D02BEC">
      <w:pPr>
        <w:pStyle w:val="NoSpacing"/>
        <w:ind w:left="1440"/>
      </w:pPr>
    </w:p>
    <w:p w14:paraId="75EFF005" w14:textId="6839F34D" w:rsidR="00666EFC" w:rsidRPr="00666EFC" w:rsidRDefault="00D02BEC" w:rsidP="0069421D">
      <w:pPr>
        <w:pStyle w:val="NoSpacing"/>
        <w:numPr>
          <w:ilvl w:val="1"/>
          <w:numId w:val="79"/>
        </w:numPr>
      </w:pPr>
      <w:r w:rsidRPr="00D90BFF">
        <w:rPr>
          <w:b/>
          <w:i/>
        </w:rPr>
        <w:t>No communication during cross</w:t>
      </w:r>
      <w:r w:rsidR="00E42410">
        <w:rPr>
          <w:b/>
          <w:i/>
        </w:rPr>
        <w:t>–</w:t>
      </w:r>
      <w:r w:rsidRPr="00D90BFF">
        <w:rPr>
          <w:b/>
          <w:i/>
        </w:rPr>
        <w:t>examination</w:t>
      </w:r>
      <w:r w:rsidR="00C16CAE">
        <w:rPr>
          <w:i/>
        </w:rPr>
        <w:t xml:space="preserve"> </w:t>
      </w:r>
      <w:r w:rsidR="004E0688">
        <w:rPr>
          <w:i/>
        </w:rPr>
        <w:t xml:space="preserve">– </w:t>
      </w:r>
      <w:r w:rsidR="004E0688" w:rsidRPr="00666EFC">
        <w:rPr>
          <w:i/>
        </w:rPr>
        <w:t xml:space="preserve">PCPR 17.4 </w:t>
      </w:r>
      <w:r w:rsidR="00D90BFF">
        <w:rPr>
          <w:i/>
        </w:rPr>
        <w:t>&amp;</w:t>
      </w:r>
      <w:r w:rsidR="004E0688" w:rsidRPr="00666EFC">
        <w:rPr>
          <w:i/>
        </w:rPr>
        <w:t xml:space="preserve"> </w:t>
      </w:r>
      <w:r w:rsidR="00D90BFF">
        <w:rPr>
          <w:i/>
        </w:rPr>
        <w:t>Vic Bar</w:t>
      </w:r>
      <w:r w:rsidR="004E0688" w:rsidRPr="00666EFC">
        <w:rPr>
          <w:i/>
        </w:rPr>
        <w:t xml:space="preserve"> 46</w:t>
      </w:r>
      <w:r w:rsidR="00C16CAE">
        <w:rPr>
          <w:i/>
        </w:rPr>
        <w:t xml:space="preserve">– </w:t>
      </w:r>
    </w:p>
    <w:p w14:paraId="2D305BE2" w14:textId="253BEFB4" w:rsidR="00D02BEC" w:rsidRPr="00D02BEC" w:rsidRDefault="00974B21" w:rsidP="0069421D">
      <w:pPr>
        <w:pStyle w:val="NoSpacing"/>
        <w:numPr>
          <w:ilvl w:val="2"/>
          <w:numId w:val="79"/>
        </w:numPr>
      </w:pPr>
      <w:r w:rsidRPr="00EF2863">
        <w:t>A lawyer is</w:t>
      </w:r>
      <w:r>
        <w:rPr>
          <w:i/>
        </w:rPr>
        <w:t xml:space="preserve"> </w:t>
      </w:r>
      <w:r w:rsidR="00D02BEC" w:rsidRPr="00D02BEC">
        <w:t>prohibited to confer with any witness (including a client) the lawyer has called on any matter related to the proceedings while that witness remains under cross</w:t>
      </w:r>
      <w:r w:rsidR="00DF0AC6">
        <w:t>–</w:t>
      </w:r>
      <w:r w:rsidR="00D02BEC" w:rsidRPr="00D02BEC">
        <w:t>examination, unless cross</w:t>
      </w:r>
      <w:r w:rsidR="00DF0AC6">
        <w:t>–</w:t>
      </w:r>
      <w:r>
        <w:t>examiner consents.</w:t>
      </w:r>
    </w:p>
    <w:p w14:paraId="5D158F42" w14:textId="77777777" w:rsidR="00D02BEC" w:rsidRDefault="00D02BEC" w:rsidP="00D02BEC">
      <w:pPr>
        <w:pStyle w:val="NoSpacing"/>
        <w:ind w:left="1440"/>
      </w:pPr>
    </w:p>
    <w:p w14:paraId="3341CA2A" w14:textId="2A520B19" w:rsidR="00D02BEC" w:rsidRPr="00D02BEC" w:rsidRDefault="00D02BEC" w:rsidP="0069421D">
      <w:pPr>
        <w:pStyle w:val="NoSpacing"/>
        <w:numPr>
          <w:ilvl w:val="1"/>
          <w:numId w:val="79"/>
        </w:numPr>
      </w:pPr>
      <w:r w:rsidRPr="00FB2177">
        <w:rPr>
          <w:b/>
          <w:i/>
        </w:rPr>
        <w:t>No witnesses</w:t>
      </w:r>
      <w:r w:rsidR="009C65F3" w:rsidRPr="00FB2177">
        <w:rPr>
          <w:b/>
          <w:i/>
        </w:rPr>
        <w:t xml:space="preserve"> ‘ownership’</w:t>
      </w:r>
      <w:r w:rsidR="00617433">
        <w:rPr>
          <w:i/>
        </w:rPr>
        <w:t xml:space="preserve"> </w:t>
      </w:r>
      <w:r w:rsidR="00617433">
        <w:t>–</w:t>
      </w:r>
      <w:r w:rsidR="00617433" w:rsidRPr="00D02BEC">
        <w:t xml:space="preserve"> </w:t>
      </w:r>
      <w:r w:rsidR="00617433" w:rsidRPr="0015243A">
        <w:rPr>
          <w:i/>
        </w:rPr>
        <w:t>PCPR 17.5; Vic Bar 47</w:t>
      </w:r>
      <w:r w:rsidR="00CE616E">
        <w:t xml:space="preserve"> –</w:t>
      </w:r>
      <w:r w:rsidRPr="00D02BEC">
        <w:t xml:space="preserve"> No practitioner engaged in a civil or criminal proceeding has the sole right to call or </w:t>
      </w:r>
      <w:r w:rsidR="00EA393E">
        <w:t xml:space="preserve">discuss evidence with a witness. </w:t>
      </w:r>
    </w:p>
    <w:p w14:paraId="5FD3BF46" w14:textId="77777777" w:rsidR="00273C8B" w:rsidRPr="00D02BEC" w:rsidRDefault="00273C8B" w:rsidP="0069421D">
      <w:pPr>
        <w:pStyle w:val="NoSpacing"/>
        <w:numPr>
          <w:ilvl w:val="2"/>
          <w:numId w:val="79"/>
        </w:numPr>
      </w:pPr>
      <w:r w:rsidRPr="00273C8B">
        <w:rPr>
          <w:i/>
        </w:rPr>
        <w:t>Can Confer with anyone is willing</w:t>
      </w:r>
      <w:r>
        <w:t xml:space="preserve"> – </w:t>
      </w:r>
      <w:r w:rsidRPr="00D02BEC">
        <w:t xml:space="preserve">a practitioner may confer with any witness who is willing to do so.  </w:t>
      </w:r>
    </w:p>
    <w:p w14:paraId="7DF577A8" w14:textId="1466DA6F" w:rsidR="00D02BEC" w:rsidRDefault="00EA393E" w:rsidP="0069421D">
      <w:pPr>
        <w:pStyle w:val="NoSpacing"/>
        <w:numPr>
          <w:ilvl w:val="2"/>
          <w:numId w:val="79"/>
        </w:numPr>
      </w:pPr>
      <w:r w:rsidRPr="00273C8B">
        <w:rPr>
          <w:i/>
        </w:rPr>
        <w:t>Cannot prevent or discourage</w:t>
      </w:r>
      <w:r>
        <w:t xml:space="preserve"> – lawyer</w:t>
      </w:r>
      <w:r w:rsidR="00D02BEC" w:rsidRPr="00D02BEC">
        <w:t xml:space="preserve"> must not prevent or discourage a prospective witness from confer</w:t>
      </w:r>
      <w:r w:rsidR="009C65F3">
        <w:t>ring with the opposition</w:t>
      </w:r>
    </w:p>
    <w:p w14:paraId="1F25C31A" w14:textId="77777777" w:rsidR="00D02BEC" w:rsidRDefault="00D02BEC" w:rsidP="00D02BEC">
      <w:pPr>
        <w:pStyle w:val="NoSpacing"/>
        <w:ind w:left="1440"/>
      </w:pPr>
    </w:p>
    <w:p w14:paraId="0C56DF08" w14:textId="7CE5BC21" w:rsidR="00D02BEC" w:rsidRPr="00D02BEC" w:rsidRDefault="00D02BEC" w:rsidP="0069421D">
      <w:pPr>
        <w:pStyle w:val="NoSpacing"/>
        <w:numPr>
          <w:ilvl w:val="1"/>
          <w:numId w:val="79"/>
        </w:numPr>
      </w:pPr>
      <w:r w:rsidRPr="00FB2177">
        <w:rPr>
          <w:b/>
          <w:i/>
        </w:rPr>
        <w:t>Communications with judges</w:t>
      </w:r>
      <w:r w:rsidR="00C16175" w:rsidRPr="00414194">
        <w:rPr>
          <w:i/>
        </w:rPr>
        <w:t xml:space="preserve"> –</w:t>
      </w:r>
      <w:r w:rsidR="00273C8B">
        <w:rPr>
          <w:i/>
        </w:rPr>
        <w:t xml:space="preserve"> PCPR 19; Vic Bar 54</w:t>
      </w:r>
      <w:r w:rsidR="00E42410">
        <w:rPr>
          <w:i/>
        </w:rPr>
        <w:t>–</w:t>
      </w:r>
      <w:r w:rsidR="00273C8B">
        <w:rPr>
          <w:i/>
        </w:rPr>
        <w:t xml:space="preserve">56 – </w:t>
      </w:r>
      <w:r w:rsidRPr="00D02BEC">
        <w:t xml:space="preserve">Practitioners must not without consent communicate to the judge a matter of substance in the absence of their opponent </w:t>
      </w:r>
      <w:r w:rsidR="00F8049D">
        <w:t>to preserve the integrity of the Court.</w:t>
      </w:r>
    </w:p>
    <w:p w14:paraId="06BA740C" w14:textId="77777777" w:rsidR="00D02BEC" w:rsidRDefault="00D02BEC" w:rsidP="00D02BEC">
      <w:pPr>
        <w:pStyle w:val="NoSpacing"/>
        <w:ind w:left="1440"/>
      </w:pPr>
    </w:p>
    <w:p w14:paraId="31555B19" w14:textId="457F0B67" w:rsidR="00D02BEC" w:rsidRDefault="00D02BEC" w:rsidP="0069421D">
      <w:pPr>
        <w:pStyle w:val="NoSpacing"/>
        <w:numPr>
          <w:ilvl w:val="1"/>
          <w:numId w:val="79"/>
        </w:numPr>
      </w:pPr>
      <w:r w:rsidRPr="00FB2177">
        <w:rPr>
          <w:b/>
          <w:i/>
        </w:rPr>
        <w:lastRenderedPageBreak/>
        <w:t>Contacting opposing party</w:t>
      </w:r>
      <w:r w:rsidR="00414194" w:rsidRPr="00414194">
        <w:rPr>
          <w:i/>
        </w:rPr>
        <w:t xml:space="preserve"> – </w:t>
      </w:r>
      <w:r w:rsidR="006B1FA7">
        <w:rPr>
          <w:i/>
        </w:rPr>
        <w:t>P</w:t>
      </w:r>
      <w:r w:rsidR="006B1FA7" w:rsidRPr="008A2CAC">
        <w:rPr>
          <w:i/>
        </w:rPr>
        <w:t>CPR 18;</w:t>
      </w:r>
      <w:r w:rsidR="00204471" w:rsidRPr="008A2CAC">
        <w:rPr>
          <w:i/>
        </w:rPr>
        <w:t xml:space="preserve"> Vic Bar 53</w:t>
      </w:r>
      <w:r w:rsidR="006B1FA7" w:rsidRPr="008A2CAC">
        <w:rPr>
          <w:i/>
        </w:rPr>
        <w:t xml:space="preserve"> </w:t>
      </w:r>
      <w:r w:rsidR="00204471">
        <w:rPr>
          <w:i/>
        </w:rPr>
        <w:t xml:space="preserve">– </w:t>
      </w:r>
    </w:p>
    <w:p w14:paraId="35E551C6" w14:textId="6B820A4E" w:rsidR="00995E4C" w:rsidRDefault="00995E4C" w:rsidP="0069421D">
      <w:pPr>
        <w:pStyle w:val="NoSpacing"/>
        <w:numPr>
          <w:ilvl w:val="2"/>
          <w:numId w:val="79"/>
        </w:numPr>
      </w:pPr>
      <w:r>
        <w:rPr>
          <w:i/>
        </w:rPr>
        <w:t xml:space="preserve">Cannot make false statements to opponent </w:t>
      </w:r>
      <w:r>
        <w:t>– PCPR 18.1</w:t>
      </w:r>
    </w:p>
    <w:p w14:paraId="76D2420D" w14:textId="2375F2AD" w:rsidR="00995E4C" w:rsidRDefault="001D7804" w:rsidP="0069421D">
      <w:pPr>
        <w:pStyle w:val="NoSpacing"/>
        <w:numPr>
          <w:ilvl w:val="2"/>
          <w:numId w:val="79"/>
        </w:numPr>
      </w:pPr>
      <w:r>
        <w:rPr>
          <w:i/>
        </w:rPr>
        <w:t xml:space="preserve">Cannot Communicate in Court if opponent absent </w:t>
      </w:r>
      <w:r w:rsidR="00C84213">
        <w:rPr>
          <w:i/>
        </w:rPr>
        <w:t xml:space="preserve">[excluding ex parte] </w:t>
      </w:r>
      <w:r>
        <w:t>– PCPR 18.5</w:t>
      </w:r>
    </w:p>
    <w:p w14:paraId="22CFA8B1" w14:textId="77777777" w:rsidR="00240E03" w:rsidRDefault="00240E03" w:rsidP="00240E03">
      <w:pPr>
        <w:pStyle w:val="NoSpacing"/>
      </w:pPr>
    </w:p>
    <w:p w14:paraId="60F4699A" w14:textId="77777777" w:rsidR="003D13DB" w:rsidRDefault="003D13DB" w:rsidP="00240E03">
      <w:pPr>
        <w:pStyle w:val="NoSpacing"/>
      </w:pPr>
    </w:p>
    <w:p w14:paraId="5B5EA8AA" w14:textId="7F6B8D53" w:rsidR="00AE4312" w:rsidRPr="00DB089E" w:rsidRDefault="00240E03" w:rsidP="00DB089E">
      <w:pPr>
        <w:pStyle w:val="NoSpacing"/>
        <w:rPr>
          <w:b/>
          <w:sz w:val="28"/>
          <w:szCs w:val="28"/>
          <w:u w:val="single"/>
        </w:rPr>
      </w:pPr>
      <w:r w:rsidRPr="00DB089E">
        <w:rPr>
          <w:b/>
          <w:sz w:val="28"/>
          <w:szCs w:val="28"/>
          <w:u w:val="single"/>
        </w:rPr>
        <w:t>Duty to Others</w:t>
      </w:r>
    </w:p>
    <w:p w14:paraId="47E8A919" w14:textId="77777777" w:rsidR="00872324" w:rsidRDefault="00872324" w:rsidP="000A6C17">
      <w:pPr>
        <w:pStyle w:val="NoSpacing"/>
        <w:rPr>
          <w:b/>
          <w:i/>
          <w:iCs/>
        </w:rPr>
      </w:pPr>
    </w:p>
    <w:p w14:paraId="752850C3" w14:textId="12EE0620" w:rsidR="00240E03" w:rsidRDefault="007B6AAC" w:rsidP="000A6C17">
      <w:pPr>
        <w:pStyle w:val="NoSpacing"/>
      </w:pPr>
      <w:proofErr w:type="gramStart"/>
      <w:r w:rsidRPr="00175623">
        <w:rPr>
          <w:b/>
          <w:i/>
          <w:iCs/>
        </w:rPr>
        <w:t>Purpose</w:t>
      </w:r>
      <w:r>
        <w:rPr>
          <w:i/>
          <w:iCs/>
        </w:rPr>
        <w:t xml:space="preserve"> – </w:t>
      </w:r>
      <w:r w:rsidR="00240E03" w:rsidRPr="008B1396">
        <w:rPr>
          <w:i/>
          <w:iCs/>
        </w:rPr>
        <w:t>LPA</w:t>
      </w:r>
      <w:r w:rsidR="00240E03" w:rsidRPr="008B1396">
        <w:t xml:space="preserve"> s</w:t>
      </w:r>
      <w:r w:rsidR="00055D9F" w:rsidRPr="008B1396">
        <w:t>2.2.1</w:t>
      </w:r>
      <w:r w:rsidR="00240E03" w:rsidRPr="008B1396">
        <w:t xml:space="preserve"> </w:t>
      </w:r>
      <w:r w:rsidR="00AA279E">
        <w:t xml:space="preserve">– Provides that </w:t>
      </w:r>
      <w:r w:rsidR="00965CDB">
        <w:t>the</w:t>
      </w:r>
      <w:r w:rsidR="00240E03" w:rsidRPr="008B1396">
        <w:t xml:space="preserve"> expectation </w:t>
      </w:r>
      <w:r w:rsidR="00A4531C">
        <w:t>that practitioners will protect the public interest and protect consumers.</w:t>
      </w:r>
      <w:proofErr w:type="gramEnd"/>
    </w:p>
    <w:p w14:paraId="288E880A" w14:textId="07BD0AF2" w:rsidR="0076338C" w:rsidRPr="0076338C" w:rsidRDefault="009C1719" w:rsidP="0069421D">
      <w:pPr>
        <w:pStyle w:val="NoSpacing"/>
        <w:numPr>
          <w:ilvl w:val="0"/>
          <w:numId w:val="80"/>
        </w:numPr>
      </w:pPr>
      <w:r>
        <w:rPr>
          <w:i/>
          <w:iCs/>
        </w:rPr>
        <w:t xml:space="preserve">Protect Public Interest – </w:t>
      </w:r>
      <w:r w:rsidR="0076338C">
        <w:rPr>
          <w:i/>
          <w:iCs/>
        </w:rPr>
        <w:t xml:space="preserve">2.2.1(a) </w:t>
      </w:r>
      <w:r w:rsidR="0076338C">
        <w:rPr>
          <w:iCs/>
        </w:rPr>
        <w:t>– protect the public interest in the proper administration of justice by ensuring legal work is carried out by those qualified to do so</w:t>
      </w:r>
      <w:r w:rsidR="000A6C17">
        <w:rPr>
          <w:iCs/>
        </w:rPr>
        <w:tab/>
      </w:r>
    </w:p>
    <w:p w14:paraId="6AE829D1" w14:textId="77777777" w:rsidR="00175623" w:rsidRDefault="00C36BA8" w:rsidP="0069421D">
      <w:pPr>
        <w:pStyle w:val="NoSpacing"/>
        <w:numPr>
          <w:ilvl w:val="0"/>
          <w:numId w:val="80"/>
        </w:numPr>
      </w:pPr>
      <w:r>
        <w:rPr>
          <w:i/>
          <w:iCs/>
        </w:rPr>
        <w:t xml:space="preserve">Protect Consumers – </w:t>
      </w:r>
      <w:r w:rsidR="0076338C" w:rsidRPr="0076338C">
        <w:rPr>
          <w:i/>
          <w:iCs/>
        </w:rPr>
        <w:t>2</w:t>
      </w:r>
      <w:r w:rsidR="0076338C" w:rsidRPr="0076338C">
        <w:rPr>
          <w:i/>
        </w:rPr>
        <w:t>.2.1(b)</w:t>
      </w:r>
      <w:r w:rsidR="0076338C">
        <w:rPr>
          <w:i/>
        </w:rPr>
        <w:t xml:space="preserve"> – </w:t>
      </w:r>
      <w:r w:rsidR="005E52ED">
        <w:t>to protect consumers by ensuring persons carrying out legal work are entitled to do so.</w:t>
      </w:r>
    </w:p>
    <w:p w14:paraId="7F39EA63" w14:textId="77777777" w:rsidR="00175623" w:rsidRDefault="00175623" w:rsidP="00175623">
      <w:pPr>
        <w:pStyle w:val="NoSpacing"/>
        <w:ind w:left="2160"/>
      </w:pPr>
    </w:p>
    <w:p w14:paraId="4DA725C4" w14:textId="3D928736" w:rsidR="00240E03" w:rsidRPr="00751F77" w:rsidRDefault="00240E03" w:rsidP="000A6C17">
      <w:pPr>
        <w:pStyle w:val="NoSpacing"/>
      </w:pPr>
      <w:r w:rsidRPr="000A6C17">
        <w:rPr>
          <w:rFonts w:cs="Times New Roman"/>
          <w:b/>
          <w:i/>
          <w:szCs w:val="24"/>
          <w:u w:val="single"/>
        </w:rPr>
        <w:t>Duties to other practitioners</w:t>
      </w:r>
      <w:r w:rsidR="005A5454">
        <w:rPr>
          <w:rFonts w:cs="Times New Roman"/>
          <w:b/>
          <w:i/>
          <w:szCs w:val="24"/>
        </w:rPr>
        <w:t xml:space="preserve"> – </w:t>
      </w:r>
      <w:r w:rsidR="005A5454" w:rsidRPr="00872324">
        <w:rPr>
          <w:rFonts w:cs="Times New Roman"/>
          <w:i/>
          <w:szCs w:val="24"/>
        </w:rPr>
        <w:t>PCPR 18; 21</w:t>
      </w:r>
      <w:r w:rsidR="00E42410">
        <w:rPr>
          <w:rFonts w:cs="Times New Roman"/>
          <w:i/>
          <w:szCs w:val="24"/>
        </w:rPr>
        <w:t>–</w:t>
      </w:r>
      <w:r w:rsidR="00AB7B5E" w:rsidRPr="00872324">
        <w:rPr>
          <w:rFonts w:cs="Times New Roman"/>
          <w:i/>
          <w:szCs w:val="24"/>
        </w:rPr>
        <w:t>25; Vic Bar 50</w:t>
      </w:r>
      <w:r w:rsidR="00E42410">
        <w:rPr>
          <w:rFonts w:cs="Times New Roman"/>
          <w:i/>
          <w:szCs w:val="24"/>
        </w:rPr>
        <w:t>–</w:t>
      </w:r>
      <w:r w:rsidR="00AB7B5E" w:rsidRPr="00872324">
        <w:rPr>
          <w:rFonts w:cs="Times New Roman"/>
          <w:i/>
          <w:szCs w:val="24"/>
        </w:rPr>
        <w:t>57</w:t>
      </w:r>
      <w:r w:rsidR="00751F77">
        <w:rPr>
          <w:rFonts w:cs="Times New Roman"/>
          <w:szCs w:val="24"/>
        </w:rPr>
        <w:t xml:space="preserve"> – A lawyer must act with honest, fairness and courtesy and adhere to undertakings to promote the efficient administration of justice when dealing with opponents.</w:t>
      </w:r>
    </w:p>
    <w:p w14:paraId="40857B80" w14:textId="77777777" w:rsidR="002874D7" w:rsidRDefault="002874D7" w:rsidP="002874D7">
      <w:pPr>
        <w:pStyle w:val="NoSpacing"/>
        <w:ind w:left="1440"/>
      </w:pPr>
    </w:p>
    <w:p w14:paraId="468ACBC2" w14:textId="65DA968B" w:rsidR="002874D7" w:rsidRPr="002874D7" w:rsidRDefault="00240E03" w:rsidP="0069421D">
      <w:pPr>
        <w:pStyle w:val="NoSpacing"/>
        <w:numPr>
          <w:ilvl w:val="0"/>
          <w:numId w:val="81"/>
        </w:numPr>
        <w:rPr>
          <w:rFonts w:cs="Times New Roman"/>
          <w:iCs/>
          <w:szCs w:val="24"/>
          <w:lang w:val="en-US"/>
        </w:rPr>
      </w:pPr>
      <w:r w:rsidRPr="000A6C17">
        <w:rPr>
          <w:rFonts w:cs="Times New Roman"/>
          <w:b/>
          <w:i/>
          <w:szCs w:val="24"/>
        </w:rPr>
        <w:t>Honesty and accuracy in representations</w:t>
      </w:r>
      <w:r w:rsidR="002874D7" w:rsidRPr="002874D7">
        <w:rPr>
          <w:rFonts w:cs="Times New Roman"/>
          <w:i/>
          <w:szCs w:val="24"/>
        </w:rPr>
        <w:t xml:space="preserve"> – </w:t>
      </w:r>
      <w:r w:rsidR="002874D7" w:rsidRPr="00973FCB">
        <w:rPr>
          <w:rFonts w:cs="Times New Roman"/>
          <w:i/>
          <w:iCs/>
          <w:szCs w:val="24"/>
        </w:rPr>
        <w:t>PCPR 18.1, 18.2; Bar Rules 50, 51</w:t>
      </w:r>
      <w:r w:rsidR="002874D7">
        <w:rPr>
          <w:rFonts w:cs="Times New Roman"/>
          <w:b/>
          <w:iCs/>
          <w:szCs w:val="24"/>
        </w:rPr>
        <w:t xml:space="preserve"> –</w:t>
      </w:r>
      <w:r w:rsidR="00572C42">
        <w:rPr>
          <w:rFonts w:cs="Times New Roman"/>
          <w:szCs w:val="24"/>
        </w:rPr>
        <w:t>l</w:t>
      </w:r>
      <w:r w:rsidRPr="002874D7">
        <w:rPr>
          <w:rFonts w:cs="Times New Roman"/>
          <w:szCs w:val="24"/>
        </w:rPr>
        <w:t>awyers must be able to rely on the representations and assurances of other lawyers</w:t>
      </w:r>
      <w:r w:rsidR="009E31F8">
        <w:rPr>
          <w:rFonts w:cs="Times New Roman"/>
          <w:szCs w:val="24"/>
        </w:rPr>
        <w:t>.</w:t>
      </w:r>
    </w:p>
    <w:p w14:paraId="60EA0B88" w14:textId="77777777" w:rsidR="00EF75CC" w:rsidRPr="00EF75CC" w:rsidRDefault="00EF75CC" w:rsidP="00EF75CC">
      <w:pPr>
        <w:pStyle w:val="NoSpacing"/>
        <w:ind w:left="1440"/>
        <w:rPr>
          <w:rFonts w:cs="Times New Roman"/>
          <w:iCs/>
          <w:szCs w:val="24"/>
          <w:lang w:val="en-US"/>
        </w:rPr>
      </w:pPr>
    </w:p>
    <w:p w14:paraId="2C3E3478" w14:textId="00A1FA2B" w:rsidR="00AF2AAB" w:rsidRPr="00AF2AAB" w:rsidRDefault="004B0DB8" w:rsidP="0069421D">
      <w:pPr>
        <w:pStyle w:val="NoSpacing"/>
        <w:numPr>
          <w:ilvl w:val="1"/>
          <w:numId w:val="81"/>
        </w:numPr>
        <w:rPr>
          <w:rFonts w:cs="Times New Roman"/>
          <w:iCs/>
          <w:szCs w:val="24"/>
          <w:lang w:val="en-US"/>
        </w:rPr>
      </w:pPr>
      <w:r>
        <w:rPr>
          <w:rFonts w:cs="Times New Roman"/>
          <w:i/>
          <w:szCs w:val="24"/>
        </w:rPr>
        <w:t xml:space="preserve">Don’t make false statements – </w:t>
      </w:r>
      <w:r w:rsidR="00F51C11">
        <w:rPr>
          <w:rFonts w:cs="Times New Roman"/>
          <w:i/>
          <w:szCs w:val="24"/>
        </w:rPr>
        <w:t>PCPR 18</w:t>
      </w:r>
      <w:r w:rsidR="00AF2AAB">
        <w:rPr>
          <w:rFonts w:cs="Times New Roman"/>
          <w:i/>
          <w:szCs w:val="24"/>
        </w:rPr>
        <w:t>.</w:t>
      </w:r>
      <w:r w:rsidR="00F51C11">
        <w:rPr>
          <w:rFonts w:cs="Times New Roman"/>
          <w:i/>
          <w:szCs w:val="24"/>
        </w:rPr>
        <w:t xml:space="preserve">1 – </w:t>
      </w:r>
      <w:r w:rsidR="00240E03" w:rsidRPr="002874D7">
        <w:rPr>
          <w:rFonts w:cs="Times New Roman"/>
          <w:szCs w:val="24"/>
        </w:rPr>
        <w:t xml:space="preserve">They must not knowingly make a false statement to </w:t>
      </w:r>
      <w:r w:rsidR="00AF2AAB">
        <w:rPr>
          <w:rFonts w:cs="Times New Roman"/>
          <w:szCs w:val="24"/>
        </w:rPr>
        <w:t>an</w:t>
      </w:r>
      <w:r w:rsidR="00240E03" w:rsidRPr="002874D7">
        <w:rPr>
          <w:rFonts w:cs="Times New Roman"/>
          <w:szCs w:val="24"/>
        </w:rPr>
        <w:t xml:space="preserve"> op</w:t>
      </w:r>
      <w:r w:rsidR="00AF2AAB">
        <w:rPr>
          <w:rFonts w:cs="Times New Roman"/>
          <w:szCs w:val="24"/>
        </w:rPr>
        <w:t>ponent in relation to the case</w:t>
      </w:r>
    </w:p>
    <w:p w14:paraId="52D9F0C8" w14:textId="77777777" w:rsidR="00FB7D47" w:rsidRPr="00FB7D47" w:rsidRDefault="00FB7D47" w:rsidP="00FB7D47">
      <w:pPr>
        <w:pStyle w:val="NoSpacing"/>
        <w:ind w:left="1440"/>
        <w:rPr>
          <w:rFonts w:cs="Times New Roman"/>
          <w:iCs/>
          <w:szCs w:val="24"/>
          <w:lang w:val="en-US"/>
        </w:rPr>
      </w:pPr>
    </w:p>
    <w:p w14:paraId="1778577D" w14:textId="7C4BF681" w:rsidR="00C61986" w:rsidRPr="00283161" w:rsidRDefault="00AF2AAB" w:rsidP="0069421D">
      <w:pPr>
        <w:pStyle w:val="NoSpacing"/>
        <w:numPr>
          <w:ilvl w:val="1"/>
          <w:numId w:val="81"/>
        </w:numPr>
        <w:rPr>
          <w:rFonts w:cs="Times New Roman"/>
          <w:iCs/>
          <w:szCs w:val="24"/>
          <w:lang w:val="en-US"/>
        </w:rPr>
      </w:pPr>
      <w:r>
        <w:rPr>
          <w:rFonts w:cs="Times New Roman"/>
          <w:i/>
          <w:szCs w:val="24"/>
        </w:rPr>
        <w:t>Correct False Mistakes –</w:t>
      </w:r>
      <w:r>
        <w:rPr>
          <w:rFonts w:cs="Times New Roman"/>
          <w:szCs w:val="24"/>
        </w:rPr>
        <w:t xml:space="preserve"> </w:t>
      </w:r>
      <w:r w:rsidRPr="00283161">
        <w:rPr>
          <w:rFonts w:cs="Times New Roman"/>
          <w:i/>
          <w:szCs w:val="24"/>
        </w:rPr>
        <w:t>PCPR 18.2</w:t>
      </w:r>
      <w:r>
        <w:rPr>
          <w:rFonts w:cs="Times New Roman"/>
          <w:szCs w:val="24"/>
        </w:rPr>
        <w:t xml:space="preserve"> – </w:t>
      </w:r>
      <w:r w:rsidR="00240E03" w:rsidRPr="002874D7">
        <w:rPr>
          <w:rFonts w:cs="Times New Roman"/>
          <w:szCs w:val="24"/>
        </w:rPr>
        <w:t>must take all necessary steps to correct any false statement unknowingly made by the practitioner to the opponent as soon as possible after becoming aware that the statement was fa</w:t>
      </w:r>
      <w:r w:rsidR="00A60B09">
        <w:rPr>
          <w:rFonts w:cs="Times New Roman"/>
          <w:szCs w:val="24"/>
        </w:rPr>
        <w:t>lse.</w:t>
      </w:r>
    </w:p>
    <w:p w14:paraId="093CBAF0" w14:textId="79DC3744" w:rsidR="00283161" w:rsidRDefault="00283161" w:rsidP="0069421D">
      <w:pPr>
        <w:pStyle w:val="NoSpacing"/>
        <w:numPr>
          <w:ilvl w:val="2"/>
          <w:numId w:val="81"/>
        </w:numPr>
        <w:rPr>
          <w:rFonts w:cs="Times New Roman"/>
          <w:iCs/>
          <w:szCs w:val="24"/>
          <w:lang w:val="en-US"/>
        </w:rPr>
      </w:pPr>
      <w:r>
        <w:rPr>
          <w:rFonts w:cs="Times New Roman"/>
          <w:i/>
          <w:szCs w:val="24"/>
        </w:rPr>
        <w:t>Legal Services Commissioner v Mullins</w:t>
      </w:r>
    </w:p>
    <w:p w14:paraId="7EC10DA1" w14:textId="77777777" w:rsidR="00C61986" w:rsidRDefault="00C61986" w:rsidP="00C61986">
      <w:pPr>
        <w:pStyle w:val="NoSpacing"/>
        <w:ind w:left="2880"/>
        <w:rPr>
          <w:rFonts w:cs="Times New Roman"/>
          <w:iCs/>
          <w:szCs w:val="24"/>
          <w:lang w:val="en-US"/>
        </w:rPr>
      </w:pPr>
    </w:p>
    <w:p w14:paraId="13887399" w14:textId="782E73CC" w:rsidR="00C61986" w:rsidRPr="000A6C17" w:rsidRDefault="00240E03" w:rsidP="0069421D">
      <w:pPr>
        <w:pStyle w:val="NoSpacing"/>
        <w:numPr>
          <w:ilvl w:val="0"/>
          <w:numId w:val="81"/>
        </w:numPr>
        <w:rPr>
          <w:rFonts w:cs="Times New Roman"/>
          <w:i/>
          <w:iCs/>
          <w:szCs w:val="24"/>
          <w:lang w:val="en-US"/>
        </w:rPr>
      </w:pPr>
      <w:r w:rsidRPr="000A6C17">
        <w:rPr>
          <w:rFonts w:cs="Times New Roman"/>
          <w:b/>
          <w:i/>
          <w:iCs/>
          <w:szCs w:val="24"/>
        </w:rPr>
        <w:t>Animosity b</w:t>
      </w:r>
      <w:r w:rsidR="00C61986" w:rsidRPr="000A6C17">
        <w:rPr>
          <w:rFonts w:cs="Times New Roman"/>
          <w:b/>
          <w:i/>
          <w:iCs/>
          <w:szCs w:val="24"/>
        </w:rPr>
        <w:t>etween</w:t>
      </w:r>
      <w:r w:rsidRPr="000A6C17">
        <w:rPr>
          <w:rFonts w:cs="Times New Roman"/>
          <w:b/>
          <w:i/>
          <w:iCs/>
          <w:szCs w:val="24"/>
        </w:rPr>
        <w:t xml:space="preserve"> clients not to be reflected in professional relations</w:t>
      </w:r>
    </w:p>
    <w:p w14:paraId="35A3E492" w14:textId="1CCCC3B3" w:rsidR="00C366B0" w:rsidRPr="00C366B0" w:rsidRDefault="00C366B0" w:rsidP="0069421D">
      <w:pPr>
        <w:pStyle w:val="NoSpacing"/>
        <w:numPr>
          <w:ilvl w:val="1"/>
          <w:numId w:val="81"/>
        </w:numPr>
        <w:rPr>
          <w:rFonts w:cs="Times New Roman"/>
          <w:iCs/>
          <w:szCs w:val="24"/>
          <w:lang w:val="en-US"/>
        </w:rPr>
      </w:pPr>
      <w:r>
        <w:rPr>
          <w:rFonts w:cs="Times New Roman"/>
          <w:i/>
          <w:iCs/>
          <w:szCs w:val="24"/>
        </w:rPr>
        <w:t>Abstraction of Animosity</w:t>
      </w:r>
      <w:r w:rsidR="005433A3">
        <w:rPr>
          <w:rFonts w:cs="Times New Roman"/>
          <w:i/>
          <w:iCs/>
          <w:szCs w:val="24"/>
        </w:rPr>
        <w:t xml:space="preserve"> </w:t>
      </w:r>
      <w:r>
        <w:rPr>
          <w:rFonts w:cs="Times New Roman"/>
          <w:i/>
          <w:iCs/>
          <w:szCs w:val="24"/>
        </w:rPr>
        <w:t xml:space="preserve"> – PCPR 21 – </w:t>
      </w:r>
      <w:r w:rsidR="00240E03" w:rsidRPr="00C61986">
        <w:rPr>
          <w:rFonts w:cs="Times New Roman"/>
          <w:iCs/>
          <w:szCs w:val="24"/>
        </w:rPr>
        <w:t>Lawyers must not permit any discourtesy that may exist b</w:t>
      </w:r>
      <w:r w:rsidR="001D4BDC">
        <w:rPr>
          <w:rFonts w:cs="Times New Roman"/>
          <w:iCs/>
          <w:szCs w:val="24"/>
        </w:rPr>
        <w:t>etween</w:t>
      </w:r>
      <w:r w:rsidR="00240E03" w:rsidRPr="00C61986">
        <w:rPr>
          <w:rFonts w:cs="Times New Roman"/>
          <w:iCs/>
          <w:szCs w:val="24"/>
        </w:rPr>
        <w:t xml:space="preserve"> the parties to seep into their professional relations with one another, even though the client may expect the lawyer to share in their personal acrimony even towards the opposing party’s lawyer;</w:t>
      </w:r>
    </w:p>
    <w:p w14:paraId="0DF701E6" w14:textId="77777777" w:rsidR="00FB7D47" w:rsidRPr="00FB7D47" w:rsidRDefault="00FB7D47" w:rsidP="00FB7D47">
      <w:pPr>
        <w:pStyle w:val="NoSpacing"/>
        <w:ind w:left="1440"/>
        <w:rPr>
          <w:rFonts w:cs="Times New Roman"/>
          <w:iCs/>
          <w:szCs w:val="24"/>
          <w:lang w:val="en-US"/>
        </w:rPr>
      </w:pPr>
    </w:p>
    <w:p w14:paraId="289C4A4B" w14:textId="046DFB38" w:rsidR="00C61986" w:rsidRDefault="000A080E" w:rsidP="0069421D">
      <w:pPr>
        <w:pStyle w:val="NoSpacing"/>
        <w:numPr>
          <w:ilvl w:val="1"/>
          <w:numId w:val="81"/>
        </w:numPr>
        <w:rPr>
          <w:rFonts w:cs="Times New Roman"/>
          <w:iCs/>
          <w:szCs w:val="24"/>
          <w:lang w:val="en-US"/>
        </w:rPr>
      </w:pPr>
      <w:r w:rsidRPr="000A080E">
        <w:rPr>
          <w:rFonts w:cs="Times New Roman"/>
          <w:i/>
          <w:iCs/>
          <w:szCs w:val="24"/>
        </w:rPr>
        <w:t>A</w:t>
      </w:r>
      <w:r w:rsidR="00240E03" w:rsidRPr="000A080E">
        <w:rPr>
          <w:rFonts w:cs="Times New Roman"/>
          <w:i/>
          <w:iCs/>
          <w:szCs w:val="24"/>
        </w:rPr>
        <w:t>void provocative or offensive language toward one another</w:t>
      </w:r>
      <w:r>
        <w:rPr>
          <w:rFonts w:cs="Times New Roman"/>
          <w:i/>
          <w:iCs/>
          <w:szCs w:val="24"/>
        </w:rPr>
        <w:t xml:space="preserve"> – </w:t>
      </w:r>
      <w:r w:rsidR="00240E03" w:rsidRPr="00C61986">
        <w:rPr>
          <w:rFonts w:cs="Times New Roman"/>
          <w:b/>
          <w:iCs/>
          <w:szCs w:val="24"/>
        </w:rPr>
        <w:t xml:space="preserve"> </w:t>
      </w:r>
      <w:r w:rsidR="00240E03" w:rsidRPr="00A87CBF">
        <w:rPr>
          <w:rFonts w:cs="Times New Roman"/>
          <w:i/>
          <w:iCs/>
          <w:szCs w:val="24"/>
        </w:rPr>
        <w:t xml:space="preserve">PCPR </w:t>
      </w:r>
      <w:r w:rsidR="00240E03" w:rsidRPr="00A87CBF">
        <w:rPr>
          <w:rFonts w:cs="Times New Roman"/>
          <w:i/>
          <w:szCs w:val="24"/>
        </w:rPr>
        <w:t xml:space="preserve"> 21</w:t>
      </w:r>
    </w:p>
    <w:p w14:paraId="2BCE06A7" w14:textId="77777777" w:rsidR="005421A6" w:rsidRPr="005421A6" w:rsidRDefault="005421A6" w:rsidP="005421A6">
      <w:pPr>
        <w:pStyle w:val="NoSpacing"/>
        <w:ind w:left="720"/>
        <w:rPr>
          <w:rFonts w:cs="Times New Roman"/>
          <w:iCs/>
          <w:szCs w:val="24"/>
        </w:rPr>
      </w:pPr>
    </w:p>
    <w:p w14:paraId="64E203D3" w14:textId="29D4E949" w:rsidR="005421A6" w:rsidRDefault="00014008" w:rsidP="0069421D">
      <w:pPr>
        <w:pStyle w:val="NoSpacing"/>
        <w:numPr>
          <w:ilvl w:val="0"/>
          <w:numId w:val="81"/>
        </w:numPr>
        <w:rPr>
          <w:rFonts w:cs="Times New Roman"/>
          <w:iCs/>
          <w:szCs w:val="24"/>
        </w:rPr>
      </w:pPr>
      <w:r w:rsidRPr="00B9371A">
        <w:rPr>
          <w:rFonts w:cs="Times New Roman"/>
          <w:b/>
          <w:i/>
          <w:iCs/>
          <w:szCs w:val="24"/>
        </w:rPr>
        <w:t>Cannot t</w:t>
      </w:r>
      <w:r w:rsidR="005421A6" w:rsidRPr="00B9371A">
        <w:rPr>
          <w:rFonts w:cs="Times New Roman"/>
          <w:b/>
          <w:i/>
          <w:iCs/>
          <w:szCs w:val="24"/>
        </w:rPr>
        <w:t>ak</w:t>
      </w:r>
      <w:r w:rsidRPr="00B9371A">
        <w:rPr>
          <w:rFonts w:cs="Times New Roman"/>
          <w:b/>
          <w:i/>
          <w:iCs/>
          <w:szCs w:val="24"/>
        </w:rPr>
        <w:t>e</w:t>
      </w:r>
      <w:r w:rsidR="005421A6" w:rsidRPr="00B9371A">
        <w:rPr>
          <w:rFonts w:cs="Times New Roman"/>
          <w:b/>
          <w:i/>
          <w:iCs/>
          <w:szCs w:val="24"/>
        </w:rPr>
        <w:t xml:space="preserve"> advantage of an opponent’s mistake</w:t>
      </w:r>
      <w:r w:rsidR="00F45A1D">
        <w:rPr>
          <w:rFonts w:cs="Times New Roman"/>
          <w:b/>
          <w:iCs/>
          <w:szCs w:val="24"/>
        </w:rPr>
        <w:t xml:space="preserve"> – </w:t>
      </w:r>
      <w:r w:rsidR="00F45A1D" w:rsidRPr="00F45A1D">
        <w:rPr>
          <w:rFonts w:cs="Times New Roman"/>
          <w:i/>
          <w:iCs/>
          <w:szCs w:val="24"/>
        </w:rPr>
        <w:t>PCPR 21</w:t>
      </w:r>
    </w:p>
    <w:p w14:paraId="647792C9" w14:textId="576CFFE1" w:rsidR="005421A6" w:rsidRDefault="005421A6" w:rsidP="0069421D">
      <w:pPr>
        <w:pStyle w:val="NoSpacing"/>
        <w:numPr>
          <w:ilvl w:val="1"/>
          <w:numId w:val="81"/>
        </w:numPr>
        <w:rPr>
          <w:rFonts w:cs="Times New Roman"/>
          <w:iCs/>
          <w:szCs w:val="24"/>
        </w:rPr>
      </w:pPr>
      <w:r>
        <w:rPr>
          <w:rFonts w:cs="Times New Roman"/>
          <w:i/>
          <w:iCs/>
          <w:szCs w:val="24"/>
        </w:rPr>
        <w:t xml:space="preserve">No positive obligation to correct opponents mistake – </w:t>
      </w:r>
      <w:r w:rsidRPr="0024582A">
        <w:rPr>
          <w:rFonts w:cs="Times New Roman"/>
          <w:iCs/>
          <w:szCs w:val="24"/>
        </w:rPr>
        <w:t>A lawyer is not obliged to assist an opponent, nor correct their apparent mistakes however they must no</w:t>
      </w:r>
      <w:r>
        <w:rPr>
          <w:rFonts w:cs="Times New Roman"/>
          <w:iCs/>
          <w:szCs w:val="24"/>
        </w:rPr>
        <w:t xml:space="preserve">t take advantage of the mistake per </w:t>
      </w:r>
      <w:r>
        <w:rPr>
          <w:rFonts w:cs="Times New Roman"/>
          <w:i/>
          <w:iCs/>
          <w:szCs w:val="24"/>
        </w:rPr>
        <w:t>Cham</w:t>
      </w:r>
      <w:r w:rsidR="000F0BE1">
        <w:rPr>
          <w:rFonts w:cs="Times New Roman"/>
          <w:i/>
          <w:iCs/>
          <w:szCs w:val="24"/>
        </w:rPr>
        <w:t>b</w:t>
      </w:r>
      <w:r>
        <w:rPr>
          <w:rFonts w:cs="Times New Roman"/>
          <w:i/>
          <w:iCs/>
          <w:szCs w:val="24"/>
        </w:rPr>
        <w:t>erlain v Law Society of ACT</w:t>
      </w:r>
    </w:p>
    <w:p w14:paraId="5A471C2F" w14:textId="77777777" w:rsidR="005421A6" w:rsidRDefault="005421A6" w:rsidP="005421A6">
      <w:pPr>
        <w:pStyle w:val="NoSpacing"/>
        <w:ind w:left="1440"/>
        <w:rPr>
          <w:rFonts w:cs="Times New Roman"/>
          <w:iCs/>
          <w:szCs w:val="24"/>
        </w:rPr>
      </w:pPr>
    </w:p>
    <w:p w14:paraId="751117E1" w14:textId="61567A94" w:rsidR="005421A6" w:rsidRPr="0024582A" w:rsidRDefault="00605A19" w:rsidP="0069421D">
      <w:pPr>
        <w:pStyle w:val="NoSpacing"/>
        <w:numPr>
          <w:ilvl w:val="1"/>
          <w:numId w:val="81"/>
        </w:numPr>
        <w:rPr>
          <w:rFonts w:cs="Times New Roman"/>
          <w:iCs/>
          <w:szCs w:val="24"/>
        </w:rPr>
      </w:pPr>
      <w:r>
        <w:rPr>
          <w:rFonts w:cs="Times New Roman"/>
          <w:i/>
          <w:iCs/>
          <w:szCs w:val="24"/>
        </w:rPr>
        <w:t>Cannot take advantage –</w:t>
      </w:r>
      <w:r w:rsidR="00B14959">
        <w:rPr>
          <w:rFonts w:cs="Times New Roman"/>
          <w:i/>
          <w:iCs/>
          <w:szCs w:val="24"/>
        </w:rPr>
        <w:t xml:space="preserve"> PCPR 21 –</w:t>
      </w:r>
      <w:r>
        <w:rPr>
          <w:rFonts w:cs="Times New Roman"/>
          <w:i/>
          <w:iCs/>
          <w:szCs w:val="24"/>
        </w:rPr>
        <w:t xml:space="preserve"> </w:t>
      </w:r>
      <w:r w:rsidR="00F45A1D">
        <w:rPr>
          <w:rFonts w:cs="Times New Roman"/>
          <w:iCs/>
          <w:szCs w:val="24"/>
        </w:rPr>
        <w:t xml:space="preserve">Taking an advantage of a </w:t>
      </w:r>
      <w:r w:rsidR="00B14959">
        <w:rPr>
          <w:rFonts w:cs="Times New Roman"/>
          <w:iCs/>
          <w:szCs w:val="24"/>
        </w:rPr>
        <w:t>client’s</w:t>
      </w:r>
      <w:r w:rsidR="00F45A1D">
        <w:rPr>
          <w:rFonts w:cs="Times New Roman"/>
          <w:iCs/>
          <w:szCs w:val="24"/>
        </w:rPr>
        <w:t xml:space="preserve"> mistake </w:t>
      </w:r>
      <w:r w:rsidR="001B65B6">
        <w:rPr>
          <w:rFonts w:cs="Times New Roman"/>
          <w:iCs/>
          <w:szCs w:val="24"/>
        </w:rPr>
        <w:t xml:space="preserve">can </w:t>
      </w:r>
      <w:r w:rsidR="00634E25">
        <w:rPr>
          <w:rFonts w:cs="Times New Roman"/>
          <w:iCs/>
          <w:szCs w:val="24"/>
        </w:rPr>
        <w:t xml:space="preserve">lead to professional misconduct regardless of how ‘well resource, </w:t>
      </w:r>
      <w:proofErr w:type="spellStart"/>
      <w:r w:rsidR="00634E25">
        <w:rPr>
          <w:rFonts w:cs="Times New Roman"/>
          <w:iCs/>
          <w:szCs w:val="24"/>
        </w:rPr>
        <w:t>knowledgable</w:t>
      </w:r>
      <w:proofErr w:type="spellEnd"/>
      <w:r w:rsidR="00634E25">
        <w:rPr>
          <w:rFonts w:cs="Times New Roman"/>
          <w:iCs/>
          <w:szCs w:val="24"/>
        </w:rPr>
        <w:t xml:space="preserve"> or frequently litigated the opponent is’ per </w:t>
      </w:r>
      <w:r w:rsidR="00B87528">
        <w:rPr>
          <w:rFonts w:cs="Times New Roman"/>
          <w:i/>
          <w:iCs/>
          <w:szCs w:val="24"/>
        </w:rPr>
        <w:t>Chamberlain v Law Society of ACT</w:t>
      </w:r>
      <w:r w:rsidR="00B87528">
        <w:rPr>
          <w:rFonts w:cs="Times New Roman"/>
          <w:iCs/>
          <w:szCs w:val="24"/>
        </w:rPr>
        <w:t>.</w:t>
      </w:r>
    </w:p>
    <w:p w14:paraId="265E46F6" w14:textId="77777777" w:rsidR="00C61986" w:rsidRDefault="00C61986" w:rsidP="00C61986">
      <w:pPr>
        <w:pStyle w:val="NoSpacing"/>
        <w:ind w:left="3600"/>
        <w:rPr>
          <w:rFonts w:cs="Times New Roman"/>
          <w:iCs/>
          <w:szCs w:val="24"/>
          <w:lang w:val="en-US"/>
        </w:rPr>
      </w:pPr>
    </w:p>
    <w:p w14:paraId="28A4C909" w14:textId="77777777" w:rsidR="007B621E" w:rsidRDefault="007B621E" w:rsidP="00C61986">
      <w:pPr>
        <w:pStyle w:val="NoSpacing"/>
        <w:ind w:left="3600"/>
        <w:rPr>
          <w:rFonts w:cs="Times New Roman"/>
          <w:iCs/>
          <w:szCs w:val="24"/>
          <w:lang w:val="en-US"/>
        </w:rPr>
      </w:pPr>
    </w:p>
    <w:p w14:paraId="54C11D35" w14:textId="77777777" w:rsidR="007B621E" w:rsidRDefault="007B621E" w:rsidP="00C61986">
      <w:pPr>
        <w:pStyle w:val="NoSpacing"/>
        <w:ind w:left="3600"/>
        <w:rPr>
          <w:rFonts w:cs="Times New Roman"/>
          <w:iCs/>
          <w:szCs w:val="24"/>
          <w:lang w:val="en-US"/>
        </w:rPr>
      </w:pPr>
    </w:p>
    <w:p w14:paraId="0F8A6A46" w14:textId="77777777" w:rsidR="007B621E" w:rsidRDefault="007B621E" w:rsidP="00C61986">
      <w:pPr>
        <w:pStyle w:val="NoSpacing"/>
        <w:ind w:left="3600"/>
        <w:rPr>
          <w:rFonts w:cs="Times New Roman"/>
          <w:iCs/>
          <w:szCs w:val="24"/>
          <w:lang w:val="en-US"/>
        </w:rPr>
      </w:pPr>
    </w:p>
    <w:p w14:paraId="3AA59A0C" w14:textId="77777777" w:rsidR="00883E16" w:rsidRPr="00B9371A" w:rsidRDefault="00240E03" w:rsidP="0069421D">
      <w:pPr>
        <w:pStyle w:val="NoSpacing"/>
        <w:numPr>
          <w:ilvl w:val="0"/>
          <w:numId w:val="81"/>
        </w:numPr>
        <w:rPr>
          <w:rFonts w:cs="Times New Roman"/>
          <w:szCs w:val="24"/>
        </w:rPr>
      </w:pPr>
      <w:r w:rsidRPr="007257DB">
        <w:rPr>
          <w:rFonts w:cs="Times New Roman"/>
          <w:b/>
          <w:i/>
          <w:iCs/>
          <w:szCs w:val="24"/>
        </w:rPr>
        <w:lastRenderedPageBreak/>
        <w:t>Confidential communications</w:t>
      </w:r>
    </w:p>
    <w:p w14:paraId="79C84CE2" w14:textId="36C46114" w:rsidR="00883E16" w:rsidRDefault="00FB7D47" w:rsidP="0069421D">
      <w:pPr>
        <w:pStyle w:val="NoSpacing"/>
        <w:numPr>
          <w:ilvl w:val="1"/>
          <w:numId w:val="81"/>
        </w:numPr>
        <w:rPr>
          <w:rFonts w:cs="Times New Roman"/>
          <w:szCs w:val="24"/>
        </w:rPr>
      </w:pPr>
      <w:r>
        <w:rPr>
          <w:rFonts w:cs="Times New Roman"/>
          <w:i/>
          <w:szCs w:val="24"/>
        </w:rPr>
        <w:t xml:space="preserve">Duty of Confidence – </w:t>
      </w:r>
      <w:r w:rsidR="007F5C36" w:rsidRPr="001B13A7">
        <w:rPr>
          <w:rFonts w:cs="Times New Roman"/>
          <w:b/>
          <w:i/>
          <w:szCs w:val="24"/>
          <w:u w:val="single"/>
        </w:rPr>
        <w:t>[refer duty of confidence]</w:t>
      </w:r>
      <w:r w:rsidR="007F5C36">
        <w:rPr>
          <w:rFonts w:cs="Times New Roman"/>
          <w:i/>
          <w:szCs w:val="24"/>
        </w:rPr>
        <w:t xml:space="preserve"> – </w:t>
      </w:r>
      <w:r w:rsidR="00240E03" w:rsidRPr="00883E16">
        <w:rPr>
          <w:rFonts w:cs="Times New Roman"/>
          <w:szCs w:val="24"/>
        </w:rPr>
        <w:t>Practitioners should not disclose communications with other practitioners or parties that are expressed to be “without prejudice</w:t>
      </w:r>
      <w:r w:rsidR="000A24FC">
        <w:rPr>
          <w:rFonts w:cs="Times New Roman"/>
          <w:szCs w:val="24"/>
        </w:rPr>
        <w:t>” or are otherwise privileged</w:t>
      </w:r>
    </w:p>
    <w:p w14:paraId="2E8D6EE4" w14:textId="77777777" w:rsidR="00181C19" w:rsidRPr="00181C19" w:rsidRDefault="00181C19" w:rsidP="00181C19">
      <w:pPr>
        <w:pStyle w:val="NoSpacing"/>
        <w:ind w:left="2160"/>
        <w:rPr>
          <w:rFonts w:cs="Times New Roman"/>
          <w:szCs w:val="24"/>
        </w:rPr>
      </w:pPr>
    </w:p>
    <w:p w14:paraId="3DBF4DF4" w14:textId="7EC2A319" w:rsidR="00883E16" w:rsidRDefault="00137E9C" w:rsidP="0069421D">
      <w:pPr>
        <w:pStyle w:val="NoSpacing"/>
        <w:numPr>
          <w:ilvl w:val="2"/>
          <w:numId w:val="81"/>
        </w:numPr>
        <w:rPr>
          <w:rFonts w:cs="Times New Roman"/>
          <w:szCs w:val="24"/>
        </w:rPr>
      </w:pPr>
      <w:r>
        <w:rPr>
          <w:rFonts w:cs="Times New Roman"/>
          <w:i/>
          <w:szCs w:val="24"/>
        </w:rPr>
        <w:t>Not read documents –</w:t>
      </w:r>
      <w:r w:rsidR="000A24FC">
        <w:rPr>
          <w:rFonts w:cs="Times New Roman"/>
          <w:i/>
          <w:szCs w:val="24"/>
        </w:rPr>
        <w:t xml:space="preserve"> </w:t>
      </w:r>
      <w:r w:rsidR="000A24FC" w:rsidRPr="000A24FC">
        <w:rPr>
          <w:rFonts w:cs="Times New Roman"/>
          <w:i/>
          <w:szCs w:val="24"/>
        </w:rPr>
        <w:t>Vic Bar 57</w:t>
      </w:r>
      <w:r w:rsidR="000A24FC">
        <w:rPr>
          <w:rFonts w:cs="Times New Roman"/>
          <w:b/>
          <w:szCs w:val="24"/>
        </w:rPr>
        <w:t xml:space="preserve"> –</w:t>
      </w:r>
      <w:r>
        <w:rPr>
          <w:rFonts w:cs="Times New Roman"/>
          <w:i/>
          <w:szCs w:val="24"/>
        </w:rPr>
        <w:t xml:space="preserve"> </w:t>
      </w:r>
      <w:r w:rsidR="00240E03" w:rsidRPr="00883E16">
        <w:rPr>
          <w:rFonts w:cs="Times New Roman"/>
          <w:szCs w:val="24"/>
        </w:rPr>
        <w:t>Lawyers who receive a document (by post, fax, or electronically) sent to them by opposing lawyers by mistake, should avoid reading the document and immediately return it to the sender.</w:t>
      </w:r>
    </w:p>
    <w:p w14:paraId="02E3DDE6" w14:textId="77777777" w:rsidR="00181C19" w:rsidRPr="00181C19" w:rsidRDefault="00181C19" w:rsidP="00181C19">
      <w:pPr>
        <w:pStyle w:val="NoSpacing"/>
        <w:ind w:left="2160"/>
        <w:rPr>
          <w:rFonts w:cs="Times New Roman"/>
          <w:szCs w:val="24"/>
        </w:rPr>
      </w:pPr>
    </w:p>
    <w:p w14:paraId="7FB8FFBB" w14:textId="77777777" w:rsidR="00EF476C" w:rsidRDefault="00204334" w:rsidP="0069421D">
      <w:pPr>
        <w:pStyle w:val="NoSpacing"/>
        <w:numPr>
          <w:ilvl w:val="2"/>
          <w:numId w:val="81"/>
        </w:numPr>
        <w:rPr>
          <w:rFonts w:cs="Times New Roman"/>
          <w:szCs w:val="24"/>
        </w:rPr>
      </w:pPr>
      <w:r>
        <w:rPr>
          <w:rFonts w:cs="Times New Roman"/>
          <w:i/>
          <w:szCs w:val="24"/>
        </w:rPr>
        <w:t xml:space="preserve">Cannot argue waiver of privilege – </w:t>
      </w:r>
      <w:r w:rsidR="00240E03" w:rsidRPr="00883E16">
        <w:rPr>
          <w:rFonts w:cs="Times New Roman"/>
          <w:szCs w:val="24"/>
        </w:rPr>
        <w:t>It will not be useful to argue that privilege has been waived.</w:t>
      </w:r>
    </w:p>
    <w:p w14:paraId="7737AF6D" w14:textId="77777777" w:rsidR="00EF476C" w:rsidRDefault="00EF476C" w:rsidP="00EF476C">
      <w:pPr>
        <w:pStyle w:val="NoSpacing"/>
        <w:ind w:left="2160"/>
        <w:rPr>
          <w:rFonts w:cs="Times New Roman"/>
          <w:szCs w:val="24"/>
        </w:rPr>
      </w:pPr>
    </w:p>
    <w:p w14:paraId="12B4CAB3" w14:textId="77777777" w:rsidR="00B14959" w:rsidRDefault="00B14959" w:rsidP="00EF476C">
      <w:pPr>
        <w:pStyle w:val="NoSpacing"/>
        <w:ind w:left="2160"/>
        <w:rPr>
          <w:rFonts w:cs="Times New Roman"/>
          <w:szCs w:val="24"/>
        </w:rPr>
      </w:pPr>
    </w:p>
    <w:p w14:paraId="5CC3461D" w14:textId="3BE0F4D4" w:rsidR="00240E03" w:rsidRPr="000A6C17" w:rsidRDefault="00240E03" w:rsidP="0069421D">
      <w:pPr>
        <w:pStyle w:val="NoSpacing"/>
        <w:numPr>
          <w:ilvl w:val="0"/>
          <w:numId w:val="81"/>
        </w:numPr>
        <w:rPr>
          <w:rFonts w:cs="Times New Roman"/>
          <w:szCs w:val="24"/>
        </w:rPr>
      </w:pPr>
      <w:r w:rsidRPr="007257DB">
        <w:rPr>
          <w:rFonts w:cs="Times New Roman"/>
          <w:b/>
          <w:i/>
          <w:iCs/>
          <w:szCs w:val="24"/>
        </w:rPr>
        <w:t>Undertakings</w:t>
      </w:r>
      <w:r w:rsidRPr="000A6C17">
        <w:rPr>
          <w:rFonts w:cs="Times New Roman"/>
          <w:b/>
          <w:iCs/>
          <w:szCs w:val="24"/>
        </w:rPr>
        <w:t xml:space="preserve"> </w:t>
      </w:r>
      <w:r w:rsidR="007257DB">
        <w:rPr>
          <w:rFonts w:cs="Times New Roman"/>
          <w:b/>
          <w:iCs/>
          <w:szCs w:val="24"/>
        </w:rPr>
        <w:t xml:space="preserve">– </w:t>
      </w:r>
      <w:r w:rsidR="008F3107" w:rsidRPr="006C2C5D">
        <w:rPr>
          <w:rFonts w:cs="Times New Roman"/>
          <w:b/>
          <w:i/>
          <w:iCs/>
          <w:szCs w:val="24"/>
        </w:rPr>
        <w:t>PCPR 22.1</w:t>
      </w:r>
      <w:r w:rsidR="008F3107">
        <w:rPr>
          <w:rFonts w:cs="Times New Roman"/>
          <w:b/>
          <w:iCs/>
          <w:szCs w:val="24"/>
        </w:rPr>
        <w:t xml:space="preserve"> – </w:t>
      </w:r>
      <w:r w:rsidRPr="000A6C17">
        <w:rPr>
          <w:rFonts w:cs="Times New Roman"/>
          <w:szCs w:val="24"/>
        </w:rPr>
        <w:t>includes undertakings g</w:t>
      </w:r>
      <w:r w:rsidR="005911C0">
        <w:rPr>
          <w:rFonts w:cs="Times New Roman"/>
          <w:szCs w:val="24"/>
        </w:rPr>
        <w:t>iven by an employee of a lawyer</w:t>
      </w:r>
    </w:p>
    <w:p w14:paraId="4A65BE1F" w14:textId="6020E710" w:rsidR="00240E03" w:rsidRPr="007B6AAC" w:rsidRDefault="005911C0" w:rsidP="0069421D">
      <w:pPr>
        <w:pStyle w:val="NoSpacing"/>
        <w:numPr>
          <w:ilvl w:val="1"/>
          <w:numId w:val="81"/>
        </w:numPr>
        <w:rPr>
          <w:rFonts w:cs="Times New Roman"/>
          <w:iCs/>
          <w:szCs w:val="24"/>
        </w:rPr>
      </w:pPr>
      <w:r>
        <w:rPr>
          <w:rFonts w:cs="Times New Roman"/>
          <w:i/>
          <w:iCs/>
          <w:szCs w:val="24"/>
        </w:rPr>
        <w:t>Honourabl</w:t>
      </w:r>
      <w:r w:rsidR="00DB05C4">
        <w:rPr>
          <w:rFonts w:cs="Times New Roman"/>
          <w:i/>
          <w:iCs/>
          <w:szCs w:val="24"/>
        </w:rPr>
        <w:t>e</w:t>
      </w:r>
      <w:r>
        <w:rPr>
          <w:rFonts w:cs="Times New Roman"/>
          <w:i/>
          <w:iCs/>
          <w:szCs w:val="24"/>
        </w:rPr>
        <w:t xml:space="preserve"> in Undertakings – </w:t>
      </w:r>
      <w:r w:rsidR="00240E03" w:rsidRPr="007B6AAC">
        <w:rPr>
          <w:rFonts w:cs="Times New Roman"/>
          <w:iCs/>
          <w:szCs w:val="24"/>
        </w:rPr>
        <w:t>This duty has an objective element, in that every person who deals with a lawyer must be able to expect that the lawyer will act honourably, and a subjective element, in that any person who accepts an undertaking from a lawyer must be entitled to expect that it will be honoured.</w:t>
      </w:r>
    </w:p>
    <w:p w14:paraId="453A2D1D" w14:textId="77777777" w:rsidR="00281D6A" w:rsidRPr="00281D6A" w:rsidRDefault="00281D6A" w:rsidP="00281D6A">
      <w:pPr>
        <w:pStyle w:val="NoSpacing"/>
        <w:ind w:left="1440"/>
        <w:rPr>
          <w:rFonts w:cs="Times New Roman"/>
          <w:iCs/>
          <w:szCs w:val="24"/>
        </w:rPr>
      </w:pPr>
    </w:p>
    <w:p w14:paraId="528468EA" w14:textId="7C4FAB25" w:rsidR="006B624E" w:rsidRDefault="006B624E" w:rsidP="0069421D">
      <w:pPr>
        <w:pStyle w:val="NoSpacing"/>
        <w:numPr>
          <w:ilvl w:val="1"/>
          <w:numId w:val="81"/>
        </w:numPr>
        <w:rPr>
          <w:rFonts w:cs="Times New Roman"/>
          <w:iCs/>
          <w:szCs w:val="24"/>
        </w:rPr>
      </w:pPr>
      <w:r>
        <w:rPr>
          <w:rFonts w:cs="Times New Roman"/>
          <w:i/>
          <w:iCs/>
          <w:szCs w:val="24"/>
        </w:rPr>
        <w:t xml:space="preserve">Wary of undertakings – </w:t>
      </w:r>
      <w:r w:rsidR="00806591">
        <w:rPr>
          <w:rFonts w:cs="Times New Roman"/>
          <w:i/>
          <w:iCs/>
          <w:szCs w:val="24"/>
        </w:rPr>
        <w:t xml:space="preserve">PCPR 22.2 – </w:t>
      </w:r>
      <w:r w:rsidRPr="007B6AAC">
        <w:rPr>
          <w:rFonts w:cs="Times New Roman"/>
          <w:iCs/>
          <w:szCs w:val="24"/>
        </w:rPr>
        <w:t xml:space="preserve">As a general rule, an undertaking should not be given or accepted. There is a great danger that it will become impossible to comply with the undertaking causing the lawyer to be guilty </w:t>
      </w:r>
      <w:proofErr w:type="spellStart"/>
      <w:r w:rsidRPr="007B6AAC">
        <w:rPr>
          <w:rFonts w:cs="Times New Roman"/>
          <w:iCs/>
          <w:szCs w:val="24"/>
        </w:rPr>
        <w:t>if</w:t>
      </w:r>
      <w:proofErr w:type="spellEnd"/>
      <w:r w:rsidRPr="007B6AAC">
        <w:rPr>
          <w:rFonts w:cs="Times New Roman"/>
          <w:iCs/>
          <w:szCs w:val="24"/>
        </w:rPr>
        <w:t xml:space="preserve"> misconduct and a ruined reputation   </w:t>
      </w:r>
    </w:p>
    <w:p w14:paraId="33D17C5C" w14:textId="77777777" w:rsidR="00281D6A" w:rsidRDefault="00281D6A" w:rsidP="00281D6A">
      <w:pPr>
        <w:pStyle w:val="ListParagraph"/>
        <w:rPr>
          <w:iCs/>
        </w:rPr>
      </w:pPr>
    </w:p>
    <w:p w14:paraId="51D88ED7" w14:textId="3510F6C5" w:rsidR="00240E03" w:rsidRDefault="00DB05C4" w:rsidP="0069421D">
      <w:pPr>
        <w:pStyle w:val="NoSpacing"/>
        <w:numPr>
          <w:ilvl w:val="1"/>
          <w:numId w:val="81"/>
        </w:numPr>
        <w:rPr>
          <w:rFonts w:cs="Times New Roman"/>
          <w:iCs/>
          <w:szCs w:val="24"/>
        </w:rPr>
      </w:pPr>
      <w:r w:rsidRPr="009E3532">
        <w:rPr>
          <w:rFonts w:cs="Times New Roman"/>
          <w:i/>
          <w:iCs/>
          <w:szCs w:val="24"/>
        </w:rPr>
        <w:t>To the Court</w:t>
      </w:r>
      <w:r>
        <w:rPr>
          <w:rFonts w:cs="Times New Roman"/>
          <w:iCs/>
          <w:szCs w:val="24"/>
        </w:rPr>
        <w:t xml:space="preserve"> – </w:t>
      </w:r>
      <w:r w:rsidR="00240E03" w:rsidRPr="007B6AAC">
        <w:rPr>
          <w:rFonts w:cs="Times New Roman"/>
          <w:iCs/>
          <w:szCs w:val="24"/>
        </w:rPr>
        <w:t>A breach of undertaking to the court may be punishable as contempt.</w:t>
      </w:r>
    </w:p>
    <w:p w14:paraId="1BFBDE32" w14:textId="77777777" w:rsidR="00281D6A" w:rsidRPr="007B6AAC" w:rsidRDefault="00281D6A" w:rsidP="00281D6A">
      <w:pPr>
        <w:pStyle w:val="NoSpacing"/>
        <w:ind w:left="1440"/>
        <w:rPr>
          <w:rFonts w:cs="Times New Roman"/>
          <w:iCs/>
          <w:szCs w:val="24"/>
        </w:rPr>
      </w:pPr>
    </w:p>
    <w:p w14:paraId="7BECBDF8" w14:textId="349D582B" w:rsidR="00240E03" w:rsidRPr="007B6AAC" w:rsidRDefault="00240E03" w:rsidP="0069421D">
      <w:pPr>
        <w:pStyle w:val="NoSpacing"/>
        <w:numPr>
          <w:ilvl w:val="1"/>
          <w:numId w:val="81"/>
        </w:numPr>
        <w:rPr>
          <w:rFonts w:cs="Times New Roman"/>
          <w:iCs/>
          <w:szCs w:val="24"/>
        </w:rPr>
      </w:pPr>
      <w:r w:rsidRPr="00294207">
        <w:rPr>
          <w:rFonts w:cs="Times New Roman"/>
          <w:i/>
          <w:iCs/>
          <w:szCs w:val="24"/>
        </w:rPr>
        <w:t>To another practitioner</w:t>
      </w:r>
      <w:r w:rsidR="00282FEE">
        <w:rPr>
          <w:rFonts w:cs="Times New Roman"/>
          <w:iCs/>
          <w:szCs w:val="24"/>
        </w:rPr>
        <w:t xml:space="preserve"> – </w:t>
      </w:r>
      <w:r w:rsidR="00282FEE" w:rsidRPr="00DE1486">
        <w:rPr>
          <w:rFonts w:cs="Times New Roman"/>
          <w:i/>
          <w:iCs/>
          <w:szCs w:val="24"/>
        </w:rPr>
        <w:t>PCPR 22.2</w:t>
      </w:r>
      <w:r w:rsidRPr="007B6AAC">
        <w:rPr>
          <w:rFonts w:cs="Times New Roman"/>
          <w:iCs/>
          <w:szCs w:val="24"/>
        </w:rPr>
        <w:t xml:space="preserve"> </w:t>
      </w:r>
      <w:r w:rsidR="00DE1486">
        <w:rPr>
          <w:rFonts w:cs="Times New Roman"/>
          <w:iCs/>
          <w:szCs w:val="24"/>
        </w:rPr>
        <w:t xml:space="preserve">– </w:t>
      </w:r>
      <w:r w:rsidRPr="007B6AAC">
        <w:rPr>
          <w:rFonts w:cs="Times New Roman"/>
          <w:iCs/>
          <w:szCs w:val="24"/>
        </w:rPr>
        <w:t xml:space="preserve">the most common; an undertaking may be personal or on behalf of a client; </w:t>
      </w:r>
    </w:p>
    <w:p w14:paraId="4440DA90" w14:textId="77777777" w:rsidR="00240E03" w:rsidRPr="007B6AAC" w:rsidRDefault="00240E03" w:rsidP="0069421D">
      <w:pPr>
        <w:pStyle w:val="NoSpacing"/>
        <w:numPr>
          <w:ilvl w:val="2"/>
          <w:numId w:val="81"/>
        </w:numPr>
        <w:rPr>
          <w:rFonts w:cs="Times New Roman"/>
          <w:iCs/>
          <w:szCs w:val="24"/>
        </w:rPr>
      </w:pPr>
      <w:r w:rsidRPr="007B6AAC">
        <w:rPr>
          <w:rFonts w:cs="Times New Roman"/>
          <w:iCs/>
          <w:szCs w:val="24"/>
        </w:rPr>
        <w:t xml:space="preserve">If </w:t>
      </w:r>
      <w:r w:rsidRPr="007B6AAC">
        <w:rPr>
          <w:rFonts w:cs="Times New Roman"/>
          <w:i/>
          <w:iCs/>
          <w:szCs w:val="24"/>
        </w:rPr>
        <w:t>given personally</w:t>
      </w:r>
      <w:r w:rsidRPr="007B6AAC">
        <w:rPr>
          <w:rFonts w:cs="Times New Roman"/>
          <w:iCs/>
          <w:szCs w:val="24"/>
        </w:rPr>
        <w:t xml:space="preserve"> it will be enforceable against the giver.</w:t>
      </w:r>
    </w:p>
    <w:p w14:paraId="070DAFBE" w14:textId="77777777" w:rsidR="00240E03" w:rsidRPr="007B6AAC" w:rsidRDefault="00240E03" w:rsidP="0069421D">
      <w:pPr>
        <w:pStyle w:val="NoSpacing"/>
        <w:numPr>
          <w:ilvl w:val="2"/>
          <w:numId w:val="81"/>
        </w:numPr>
        <w:rPr>
          <w:rFonts w:cs="Times New Roman"/>
          <w:iCs/>
          <w:szCs w:val="24"/>
        </w:rPr>
      </w:pPr>
      <w:r w:rsidRPr="007B6AAC">
        <w:rPr>
          <w:rFonts w:cs="Times New Roman"/>
          <w:iCs/>
          <w:szCs w:val="24"/>
        </w:rPr>
        <w:t xml:space="preserve">If given </w:t>
      </w:r>
      <w:r w:rsidRPr="007B6AAC">
        <w:rPr>
          <w:rFonts w:cs="Times New Roman"/>
          <w:i/>
          <w:iCs/>
          <w:szCs w:val="24"/>
        </w:rPr>
        <w:t>on behalf of the client</w:t>
      </w:r>
      <w:r w:rsidRPr="007B6AAC">
        <w:rPr>
          <w:rFonts w:cs="Times New Roman"/>
          <w:iCs/>
          <w:szCs w:val="24"/>
        </w:rPr>
        <w:t>, it will be only enforceable against the client. The lawyer must ensure that he/she has explicit instructions to give the undertaking on behalf of the client or else it may be construed as a personal undertaking.</w:t>
      </w:r>
    </w:p>
    <w:p w14:paraId="1B3CCE50" w14:textId="77777777" w:rsidR="0024582A" w:rsidRDefault="0024582A" w:rsidP="0024582A">
      <w:pPr>
        <w:pStyle w:val="NoSpacing"/>
        <w:ind w:left="1440"/>
        <w:rPr>
          <w:rFonts w:cs="Times New Roman"/>
          <w:iCs/>
          <w:szCs w:val="24"/>
        </w:rPr>
      </w:pPr>
    </w:p>
    <w:p w14:paraId="0A72D9CE" w14:textId="77777777" w:rsidR="0024582A" w:rsidRPr="00B9371A" w:rsidRDefault="00240E03" w:rsidP="0069421D">
      <w:pPr>
        <w:pStyle w:val="NoSpacing"/>
        <w:numPr>
          <w:ilvl w:val="0"/>
          <w:numId w:val="81"/>
        </w:numPr>
        <w:rPr>
          <w:rFonts w:cs="Times New Roman"/>
          <w:iCs/>
          <w:szCs w:val="24"/>
        </w:rPr>
      </w:pPr>
      <w:r w:rsidRPr="00B9371A">
        <w:rPr>
          <w:rFonts w:cs="Times New Roman"/>
          <w:b/>
          <w:i/>
          <w:iCs/>
          <w:szCs w:val="24"/>
        </w:rPr>
        <w:t>Second opinions</w:t>
      </w:r>
    </w:p>
    <w:p w14:paraId="5446DCBB" w14:textId="1C2FC8A9" w:rsidR="0024582A" w:rsidRDefault="00EF75CC" w:rsidP="0069421D">
      <w:pPr>
        <w:pStyle w:val="NoSpacing"/>
        <w:numPr>
          <w:ilvl w:val="1"/>
          <w:numId w:val="81"/>
        </w:numPr>
        <w:rPr>
          <w:rFonts w:cs="Times New Roman"/>
          <w:iCs/>
          <w:szCs w:val="24"/>
        </w:rPr>
      </w:pPr>
      <w:r>
        <w:rPr>
          <w:rFonts w:cs="Times New Roman"/>
          <w:i/>
          <w:iCs/>
          <w:szCs w:val="24"/>
        </w:rPr>
        <w:t xml:space="preserve">Notification of second opinions – </w:t>
      </w:r>
      <w:r w:rsidR="00240E03" w:rsidRPr="0024582A">
        <w:rPr>
          <w:rFonts w:cs="Times New Roman"/>
          <w:iCs/>
          <w:szCs w:val="24"/>
        </w:rPr>
        <w:t>A lawyer may give a 2</w:t>
      </w:r>
      <w:r w:rsidR="00240E03" w:rsidRPr="0024582A">
        <w:rPr>
          <w:rFonts w:cs="Times New Roman"/>
          <w:iCs/>
          <w:szCs w:val="24"/>
          <w:vertAlign w:val="superscript"/>
        </w:rPr>
        <w:t>nd</w:t>
      </w:r>
      <w:r w:rsidR="00240E03" w:rsidRPr="0024582A">
        <w:rPr>
          <w:rFonts w:cs="Times New Roman"/>
          <w:iCs/>
          <w:szCs w:val="24"/>
        </w:rPr>
        <w:t xml:space="preserve"> opinion to a client of another </w:t>
      </w:r>
      <w:proofErr w:type="gramStart"/>
      <w:r w:rsidR="00240E03" w:rsidRPr="0024582A">
        <w:rPr>
          <w:rFonts w:cs="Times New Roman"/>
          <w:iCs/>
          <w:szCs w:val="24"/>
        </w:rPr>
        <w:t>lawyer,</w:t>
      </w:r>
      <w:proofErr w:type="gramEnd"/>
      <w:r w:rsidR="00240E03" w:rsidRPr="0024582A">
        <w:rPr>
          <w:rFonts w:cs="Times New Roman"/>
          <w:iCs/>
          <w:szCs w:val="24"/>
        </w:rPr>
        <w:t xml:space="preserve"> however, it is professional courtesy to notify the 1</w:t>
      </w:r>
      <w:r w:rsidR="00240E03" w:rsidRPr="0024582A">
        <w:rPr>
          <w:rFonts w:cs="Times New Roman"/>
          <w:iCs/>
          <w:szCs w:val="24"/>
          <w:vertAlign w:val="superscript"/>
        </w:rPr>
        <w:t>st</w:t>
      </w:r>
      <w:r w:rsidR="00240E03" w:rsidRPr="0024582A">
        <w:rPr>
          <w:rFonts w:cs="Times New Roman"/>
          <w:iCs/>
          <w:szCs w:val="24"/>
        </w:rPr>
        <w:t xml:space="preserve"> lawyer beforehand.</w:t>
      </w:r>
    </w:p>
    <w:p w14:paraId="497FC0CE" w14:textId="77777777" w:rsidR="005E792D" w:rsidRDefault="005E792D" w:rsidP="007B6AAC">
      <w:pPr>
        <w:pStyle w:val="NoSpacing"/>
        <w:rPr>
          <w:rFonts w:cs="Times New Roman"/>
          <w:b/>
          <w:szCs w:val="24"/>
        </w:rPr>
      </w:pPr>
    </w:p>
    <w:p w14:paraId="6F751BDF" w14:textId="020632F7" w:rsidR="00240E03" w:rsidRDefault="00240E03" w:rsidP="007B6AAC">
      <w:pPr>
        <w:pStyle w:val="NoSpacing"/>
        <w:rPr>
          <w:rFonts w:cs="Times New Roman"/>
          <w:iCs/>
          <w:szCs w:val="24"/>
        </w:rPr>
      </w:pPr>
      <w:r w:rsidRPr="003730D6">
        <w:rPr>
          <w:rFonts w:cs="Times New Roman"/>
          <w:b/>
          <w:i/>
          <w:szCs w:val="24"/>
          <w:u w:val="single"/>
        </w:rPr>
        <w:t>Duties to third parties</w:t>
      </w:r>
      <w:r w:rsidRPr="00D22FC3">
        <w:rPr>
          <w:rFonts w:cs="Times New Roman"/>
          <w:iCs/>
          <w:szCs w:val="24"/>
        </w:rPr>
        <w:t xml:space="preserve"> </w:t>
      </w:r>
      <w:r w:rsidR="005E792D">
        <w:rPr>
          <w:rFonts w:cs="Times New Roman"/>
          <w:iCs/>
          <w:szCs w:val="24"/>
        </w:rPr>
        <w:t xml:space="preserve">– </w:t>
      </w:r>
    </w:p>
    <w:p w14:paraId="59F5DB3D" w14:textId="77777777" w:rsidR="00872324" w:rsidRPr="005E792D" w:rsidRDefault="00872324" w:rsidP="007B6AAC">
      <w:pPr>
        <w:pStyle w:val="NoSpacing"/>
        <w:rPr>
          <w:rFonts w:cs="Times New Roman"/>
          <w:iCs/>
          <w:szCs w:val="24"/>
        </w:rPr>
      </w:pPr>
    </w:p>
    <w:p w14:paraId="7ABB4021" w14:textId="71C38B0E" w:rsidR="00240E03" w:rsidRPr="007B6AAC" w:rsidRDefault="00240E03" w:rsidP="0069421D">
      <w:pPr>
        <w:pStyle w:val="NoSpacing"/>
        <w:numPr>
          <w:ilvl w:val="0"/>
          <w:numId w:val="82"/>
        </w:numPr>
        <w:rPr>
          <w:rFonts w:cs="Times New Roman"/>
          <w:b/>
          <w:iCs/>
          <w:szCs w:val="24"/>
        </w:rPr>
      </w:pPr>
      <w:r w:rsidRPr="007B6AAC">
        <w:rPr>
          <w:rFonts w:cs="Times New Roman"/>
          <w:b/>
          <w:iCs/>
          <w:szCs w:val="24"/>
        </w:rPr>
        <w:t xml:space="preserve">Communication with a client of another lawyer </w:t>
      </w:r>
      <w:r w:rsidR="00B9371A">
        <w:rPr>
          <w:rFonts w:cs="Times New Roman"/>
          <w:b/>
          <w:iCs/>
          <w:szCs w:val="24"/>
        </w:rPr>
        <w:t xml:space="preserve">– PCPR </w:t>
      </w:r>
      <w:r w:rsidR="006115A7">
        <w:rPr>
          <w:rFonts w:cs="Times New Roman"/>
          <w:b/>
          <w:iCs/>
          <w:szCs w:val="24"/>
        </w:rPr>
        <w:t>26</w:t>
      </w:r>
      <w:r w:rsidR="00E568FD">
        <w:rPr>
          <w:rFonts w:cs="Times New Roman"/>
          <w:b/>
          <w:iCs/>
          <w:szCs w:val="24"/>
        </w:rPr>
        <w:t>; 28</w:t>
      </w:r>
      <w:r w:rsidR="00B9371A">
        <w:rPr>
          <w:rFonts w:cs="Times New Roman"/>
          <w:b/>
          <w:iCs/>
          <w:szCs w:val="24"/>
        </w:rPr>
        <w:t xml:space="preserve"> </w:t>
      </w:r>
    </w:p>
    <w:p w14:paraId="7C98376F" w14:textId="2AACB03F" w:rsidR="00240E03" w:rsidRDefault="00240E03" w:rsidP="0069421D">
      <w:pPr>
        <w:pStyle w:val="NoSpacing"/>
        <w:numPr>
          <w:ilvl w:val="1"/>
          <w:numId w:val="82"/>
        </w:numPr>
        <w:rPr>
          <w:rFonts w:cs="Times New Roman"/>
          <w:iCs/>
          <w:szCs w:val="24"/>
        </w:rPr>
      </w:pPr>
      <w:r w:rsidRPr="007B6AAC">
        <w:rPr>
          <w:rFonts w:cs="Times New Roman"/>
          <w:iCs/>
          <w:szCs w:val="24"/>
        </w:rPr>
        <w:t>Lawyers are prohibited from communicating, orally or in writing, with a person whom they know is represented by another lawyer</w:t>
      </w:r>
      <w:r w:rsidR="0094316C">
        <w:rPr>
          <w:rFonts w:cs="Times New Roman"/>
          <w:iCs/>
          <w:szCs w:val="24"/>
        </w:rPr>
        <w:t xml:space="preserve"> </w:t>
      </w:r>
      <w:proofErr w:type="gramStart"/>
      <w:r w:rsidR="0094316C">
        <w:rPr>
          <w:rFonts w:cs="Times New Roman"/>
          <w:iCs/>
          <w:szCs w:val="24"/>
        </w:rPr>
        <w:t>which</w:t>
      </w:r>
      <w:proofErr w:type="gramEnd"/>
      <w:r w:rsidR="0094316C">
        <w:rPr>
          <w:rFonts w:cs="Times New Roman"/>
          <w:iCs/>
          <w:szCs w:val="24"/>
        </w:rPr>
        <w:t xml:space="preserve"> may mislead or intimidate.</w:t>
      </w:r>
    </w:p>
    <w:p w14:paraId="0F401C4B" w14:textId="77777777" w:rsidR="00634BDB" w:rsidRDefault="00634BDB" w:rsidP="00634BDB">
      <w:pPr>
        <w:pStyle w:val="NoSpacing"/>
        <w:ind w:left="1440"/>
        <w:rPr>
          <w:rFonts w:cs="Times New Roman"/>
          <w:iCs/>
          <w:szCs w:val="24"/>
        </w:rPr>
      </w:pPr>
    </w:p>
    <w:p w14:paraId="2320B2DC" w14:textId="77777777" w:rsidR="00634BDB" w:rsidRDefault="00634BDB" w:rsidP="0069421D">
      <w:pPr>
        <w:pStyle w:val="NoSpacing"/>
        <w:numPr>
          <w:ilvl w:val="0"/>
          <w:numId w:val="82"/>
        </w:numPr>
        <w:rPr>
          <w:rFonts w:cs="Times New Roman"/>
          <w:szCs w:val="24"/>
        </w:rPr>
      </w:pPr>
      <w:r w:rsidRPr="002239B3">
        <w:rPr>
          <w:rFonts w:cs="Times New Roman"/>
          <w:b/>
          <w:i/>
          <w:szCs w:val="24"/>
        </w:rPr>
        <w:lastRenderedPageBreak/>
        <w:t xml:space="preserve">False Statements with Third Parties </w:t>
      </w:r>
      <w:r>
        <w:rPr>
          <w:rFonts w:cs="Times New Roman"/>
          <w:i/>
          <w:szCs w:val="24"/>
        </w:rPr>
        <w:t xml:space="preserve">– PCPR 28 – </w:t>
      </w:r>
      <w:r w:rsidRPr="007B6AAC">
        <w:rPr>
          <w:rFonts w:cs="Times New Roman"/>
          <w:szCs w:val="24"/>
        </w:rPr>
        <w:t>It also means a practitioner must not state as true something they believe to be untrue, make statements calculated to mislead the other party or threaten criminal action if a civil matter is not settled.</w:t>
      </w:r>
    </w:p>
    <w:p w14:paraId="298A1575" w14:textId="77777777" w:rsidR="00634BDB" w:rsidRPr="00BB73A9" w:rsidRDefault="00634BDB" w:rsidP="00634BDB">
      <w:pPr>
        <w:pStyle w:val="NoSpacing"/>
        <w:ind w:left="720"/>
        <w:rPr>
          <w:rFonts w:cs="Times New Roman"/>
          <w:szCs w:val="24"/>
        </w:rPr>
      </w:pPr>
    </w:p>
    <w:p w14:paraId="113E6E78" w14:textId="45EA2410" w:rsidR="00634BDB" w:rsidRDefault="00634BDB" w:rsidP="0069421D">
      <w:pPr>
        <w:pStyle w:val="NoSpacing"/>
        <w:numPr>
          <w:ilvl w:val="0"/>
          <w:numId w:val="82"/>
        </w:numPr>
        <w:rPr>
          <w:rFonts w:cs="Times New Roman"/>
          <w:iCs/>
          <w:szCs w:val="24"/>
        </w:rPr>
      </w:pPr>
      <w:r w:rsidRPr="003208C1">
        <w:rPr>
          <w:rFonts w:cs="Times New Roman"/>
          <w:b/>
          <w:i/>
          <w:iCs/>
          <w:szCs w:val="24"/>
        </w:rPr>
        <w:t>Threaten criminal proceedings or media exposure</w:t>
      </w:r>
      <w:r>
        <w:rPr>
          <w:rFonts w:cs="Times New Roman"/>
          <w:i/>
          <w:iCs/>
          <w:szCs w:val="24"/>
        </w:rPr>
        <w:t xml:space="preserve"> – </w:t>
      </w:r>
      <w:r w:rsidR="003208C1" w:rsidRPr="003208C1">
        <w:rPr>
          <w:rFonts w:cs="Times New Roman"/>
          <w:i/>
          <w:iCs/>
          <w:szCs w:val="24"/>
        </w:rPr>
        <w:t>PCPR 28.3</w:t>
      </w:r>
      <w:r w:rsidR="003208C1">
        <w:rPr>
          <w:rFonts w:cs="Times New Roman"/>
          <w:iCs/>
          <w:szCs w:val="24"/>
        </w:rPr>
        <w:t xml:space="preserve"> – Prohibits lawyers from threatening an institution of criminal proceedings in default of satisfying a civil liability to a client.</w:t>
      </w:r>
    </w:p>
    <w:p w14:paraId="5117D7F8" w14:textId="77777777" w:rsidR="003208C1" w:rsidRDefault="003208C1" w:rsidP="003208C1">
      <w:pPr>
        <w:pStyle w:val="ListParagraph"/>
        <w:rPr>
          <w:iCs/>
        </w:rPr>
      </w:pPr>
    </w:p>
    <w:p w14:paraId="427657EC" w14:textId="063AB8B3" w:rsidR="003208C1" w:rsidRPr="007B6AAC" w:rsidRDefault="003208C1" w:rsidP="0069421D">
      <w:pPr>
        <w:pStyle w:val="NoSpacing"/>
        <w:numPr>
          <w:ilvl w:val="1"/>
          <w:numId w:val="82"/>
        </w:numPr>
        <w:rPr>
          <w:rFonts w:cs="Times New Roman"/>
          <w:iCs/>
          <w:szCs w:val="24"/>
        </w:rPr>
      </w:pPr>
      <w:r>
        <w:rPr>
          <w:rFonts w:cs="Times New Roman"/>
          <w:i/>
          <w:iCs/>
          <w:szCs w:val="24"/>
        </w:rPr>
        <w:t xml:space="preserve">Referring of Crimes to Authorities </w:t>
      </w:r>
      <w:r>
        <w:rPr>
          <w:rFonts w:cs="Times New Roman"/>
          <w:iCs/>
          <w:szCs w:val="24"/>
        </w:rPr>
        <w:t xml:space="preserve">– There is no permissible restriction on lawyers ‘referring crimes to the appropriate authorities’ instead of threating legal proceedings per </w:t>
      </w:r>
      <w:r>
        <w:rPr>
          <w:rFonts w:cs="Times New Roman"/>
          <w:i/>
          <w:iCs/>
          <w:szCs w:val="24"/>
        </w:rPr>
        <w:t xml:space="preserve">Legal Service Commissioner </w:t>
      </w:r>
      <w:proofErr w:type="gramStart"/>
      <w:r>
        <w:rPr>
          <w:rFonts w:cs="Times New Roman"/>
          <w:i/>
          <w:iCs/>
          <w:szCs w:val="24"/>
        </w:rPr>
        <w:t>v</w:t>
      </w:r>
      <w:proofErr w:type="gramEnd"/>
      <w:r>
        <w:rPr>
          <w:rFonts w:cs="Times New Roman"/>
          <w:i/>
          <w:iCs/>
          <w:szCs w:val="24"/>
        </w:rPr>
        <w:t xml:space="preserve"> Sing</w:t>
      </w:r>
      <w:r>
        <w:rPr>
          <w:rFonts w:cs="Times New Roman"/>
          <w:iCs/>
          <w:szCs w:val="24"/>
        </w:rPr>
        <w:t>.</w:t>
      </w:r>
    </w:p>
    <w:p w14:paraId="7DA14588" w14:textId="77777777" w:rsidR="00BB73A9" w:rsidRDefault="00BB73A9" w:rsidP="007B6AAC">
      <w:pPr>
        <w:pStyle w:val="NoSpacing"/>
        <w:rPr>
          <w:rFonts w:cs="Times New Roman"/>
          <w:b/>
          <w:szCs w:val="24"/>
        </w:rPr>
      </w:pPr>
    </w:p>
    <w:p w14:paraId="24E0EF8C" w14:textId="77777777" w:rsidR="00634BDB" w:rsidRDefault="00634BDB" w:rsidP="007B6AAC">
      <w:pPr>
        <w:pStyle w:val="NoSpacing"/>
        <w:rPr>
          <w:rFonts w:cs="Times New Roman"/>
          <w:b/>
          <w:szCs w:val="24"/>
        </w:rPr>
      </w:pPr>
    </w:p>
    <w:p w14:paraId="1238DB0C" w14:textId="4652BA3F" w:rsidR="00AA0832" w:rsidRDefault="00240E03" w:rsidP="00AE53D6">
      <w:pPr>
        <w:pStyle w:val="NoSpacing"/>
        <w:rPr>
          <w:rFonts w:cs="Times New Roman"/>
          <w:iCs/>
          <w:szCs w:val="24"/>
        </w:rPr>
      </w:pPr>
      <w:r w:rsidRPr="00230CC5">
        <w:rPr>
          <w:rFonts w:cs="Times New Roman"/>
          <w:b/>
          <w:szCs w:val="24"/>
          <w:u w:val="single"/>
        </w:rPr>
        <w:t>Duties to community</w:t>
      </w:r>
      <w:r w:rsidR="00230CC5">
        <w:rPr>
          <w:rFonts w:cs="Times New Roman"/>
          <w:iCs/>
          <w:szCs w:val="24"/>
        </w:rPr>
        <w:t xml:space="preserve"> </w:t>
      </w:r>
    </w:p>
    <w:p w14:paraId="2A3820E5" w14:textId="77777777" w:rsidR="00AA0832" w:rsidRDefault="00AA0832" w:rsidP="00AE53D6">
      <w:pPr>
        <w:pStyle w:val="NoSpacing"/>
        <w:rPr>
          <w:rFonts w:cs="Times New Roman"/>
          <w:iCs/>
          <w:szCs w:val="24"/>
        </w:rPr>
      </w:pPr>
    </w:p>
    <w:p w14:paraId="1534F6A4" w14:textId="504BD5A8" w:rsidR="00240E03" w:rsidRPr="00230CC5" w:rsidRDefault="00AA0832" w:rsidP="00AA0832">
      <w:pPr>
        <w:pStyle w:val="NoSpacing"/>
        <w:numPr>
          <w:ilvl w:val="0"/>
          <w:numId w:val="83"/>
        </w:numPr>
        <w:rPr>
          <w:rFonts w:cs="Times New Roman"/>
          <w:iCs/>
          <w:szCs w:val="24"/>
        </w:rPr>
      </w:pPr>
      <w:r w:rsidRPr="0052046D">
        <w:rPr>
          <w:rFonts w:cs="Times New Roman"/>
          <w:b/>
          <w:i/>
          <w:szCs w:val="24"/>
        </w:rPr>
        <w:t>General</w:t>
      </w:r>
      <w:r>
        <w:rPr>
          <w:rFonts w:cs="Times New Roman"/>
          <w:i/>
          <w:szCs w:val="24"/>
        </w:rPr>
        <w:t xml:space="preserve"> – </w:t>
      </w:r>
      <w:r w:rsidR="00240E03" w:rsidRPr="00230CC5">
        <w:rPr>
          <w:rFonts w:cs="Times New Roman"/>
          <w:szCs w:val="24"/>
        </w:rPr>
        <w:t>This means avoiding insulting, acrimonious or offensive correspondence or correspondence designed to intimidate the other party</w:t>
      </w:r>
      <w:r w:rsidR="00940595">
        <w:rPr>
          <w:rFonts w:cs="Times New Roman"/>
          <w:szCs w:val="24"/>
        </w:rPr>
        <w:t xml:space="preserve"> per PCPR 21.</w:t>
      </w:r>
    </w:p>
    <w:p w14:paraId="1601A177" w14:textId="77777777" w:rsidR="00BB73A9" w:rsidRDefault="00BB73A9" w:rsidP="007B6AAC">
      <w:pPr>
        <w:pStyle w:val="NoSpacing"/>
        <w:rPr>
          <w:rFonts w:cs="Times New Roman"/>
          <w:szCs w:val="24"/>
        </w:rPr>
      </w:pPr>
    </w:p>
    <w:p w14:paraId="2BE6B697" w14:textId="4E506DFE" w:rsidR="00240E03" w:rsidRPr="007B6AAC" w:rsidRDefault="00C50261" w:rsidP="0069421D">
      <w:pPr>
        <w:pStyle w:val="NoSpacing"/>
        <w:numPr>
          <w:ilvl w:val="0"/>
          <w:numId w:val="83"/>
        </w:numPr>
        <w:rPr>
          <w:rFonts w:cs="Times New Roman"/>
          <w:szCs w:val="24"/>
        </w:rPr>
      </w:pPr>
      <w:r w:rsidRPr="002239B3">
        <w:rPr>
          <w:rFonts w:cs="Times New Roman"/>
          <w:b/>
          <w:i/>
          <w:iCs/>
          <w:szCs w:val="24"/>
        </w:rPr>
        <w:t xml:space="preserve">Abstraction of </w:t>
      </w:r>
      <w:proofErr w:type="gramStart"/>
      <w:r w:rsidRPr="002239B3">
        <w:rPr>
          <w:rFonts w:cs="Times New Roman"/>
          <w:b/>
          <w:i/>
          <w:iCs/>
          <w:szCs w:val="24"/>
        </w:rPr>
        <w:t>Animosity</w:t>
      </w:r>
      <w:r>
        <w:rPr>
          <w:rFonts w:cs="Times New Roman"/>
          <w:i/>
          <w:iCs/>
          <w:szCs w:val="24"/>
        </w:rPr>
        <w:t xml:space="preserve">  </w:t>
      </w:r>
      <w:r w:rsidR="000653EF">
        <w:rPr>
          <w:rFonts w:cs="Times New Roman"/>
          <w:szCs w:val="24"/>
        </w:rPr>
        <w:t>–</w:t>
      </w:r>
      <w:proofErr w:type="gramEnd"/>
      <w:r w:rsidR="000653EF">
        <w:rPr>
          <w:rFonts w:cs="Times New Roman"/>
          <w:szCs w:val="24"/>
        </w:rPr>
        <w:t xml:space="preserve"> PCPR 21 – </w:t>
      </w:r>
      <w:r w:rsidR="00240E03" w:rsidRPr="007B6AAC">
        <w:rPr>
          <w:rFonts w:cs="Times New Roman"/>
          <w:szCs w:val="24"/>
        </w:rPr>
        <w:t xml:space="preserve">Resist pressure from clients to put the other side down </w:t>
      </w:r>
      <w:r w:rsidR="00E42410">
        <w:rPr>
          <w:rFonts w:cs="Times New Roman"/>
          <w:szCs w:val="24"/>
        </w:rPr>
        <w:t>–</w:t>
      </w:r>
      <w:r w:rsidR="00240E03" w:rsidRPr="007B6AAC">
        <w:rPr>
          <w:rFonts w:cs="Times New Roman"/>
          <w:szCs w:val="24"/>
        </w:rPr>
        <w:t xml:space="preserve"> clients must know that you act first in the public interest, and that that requires some distance on your part from their animosity</w:t>
      </w:r>
      <w:r w:rsidR="002239B3">
        <w:rPr>
          <w:rFonts w:cs="Times New Roman"/>
          <w:szCs w:val="24"/>
        </w:rPr>
        <w:t>.</w:t>
      </w:r>
      <w:r w:rsidR="00240E03" w:rsidRPr="007B6AAC">
        <w:rPr>
          <w:rFonts w:cs="Times New Roman"/>
          <w:szCs w:val="24"/>
        </w:rPr>
        <w:t xml:space="preserve"> </w:t>
      </w:r>
    </w:p>
    <w:p w14:paraId="2EF55D1B" w14:textId="77777777" w:rsidR="00BB73A9" w:rsidRDefault="00BB73A9" w:rsidP="007B6AAC">
      <w:pPr>
        <w:pStyle w:val="NoSpacing"/>
        <w:rPr>
          <w:rFonts w:cs="Times New Roman"/>
          <w:szCs w:val="24"/>
        </w:rPr>
      </w:pPr>
    </w:p>
    <w:p w14:paraId="4D964548" w14:textId="2753343F" w:rsidR="00240E03" w:rsidRPr="007B6AAC" w:rsidRDefault="00BF1C83" w:rsidP="0069421D">
      <w:pPr>
        <w:pStyle w:val="NoSpacing"/>
        <w:numPr>
          <w:ilvl w:val="0"/>
          <w:numId w:val="83"/>
        </w:numPr>
        <w:rPr>
          <w:rFonts w:cs="Times New Roman"/>
          <w:szCs w:val="24"/>
        </w:rPr>
      </w:pPr>
      <w:r w:rsidRPr="002239B3">
        <w:rPr>
          <w:rFonts w:cs="Times New Roman"/>
          <w:b/>
          <w:i/>
          <w:szCs w:val="24"/>
        </w:rPr>
        <w:t>Communicate with represented clients</w:t>
      </w:r>
      <w:r>
        <w:rPr>
          <w:rFonts w:cs="Times New Roman"/>
          <w:i/>
          <w:szCs w:val="24"/>
        </w:rPr>
        <w:t xml:space="preserve"> – </w:t>
      </w:r>
      <w:proofErr w:type="gramStart"/>
      <w:r w:rsidR="003D4C0F" w:rsidRPr="00123936">
        <w:rPr>
          <w:rFonts w:cs="Times New Roman"/>
          <w:i/>
          <w:iCs/>
          <w:szCs w:val="24"/>
        </w:rPr>
        <w:t xml:space="preserve">PCPR  </w:t>
      </w:r>
      <w:r w:rsidR="003D4C0F" w:rsidRPr="00123936">
        <w:rPr>
          <w:rFonts w:cs="Times New Roman"/>
          <w:i/>
          <w:szCs w:val="24"/>
        </w:rPr>
        <w:t>R25.1.1</w:t>
      </w:r>
      <w:proofErr w:type="gramEnd"/>
      <w:r w:rsidR="003D4C0F">
        <w:rPr>
          <w:rFonts w:cs="Times New Roman"/>
          <w:b/>
          <w:szCs w:val="24"/>
        </w:rPr>
        <w:t xml:space="preserve"> – </w:t>
      </w:r>
      <w:r w:rsidR="00240E03" w:rsidRPr="007B6AAC">
        <w:rPr>
          <w:rFonts w:cs="Times New Roman"/>
          <w:szCs w:val="24"/>
        </w:rPr>
        <w:t>A practitioner should not communicate directly with a person known to be represented by another practitioner in the matter without the</w:t>
      </w:r>
      <w:r w:rsidR="002239B3">
        <w:rPr>
          <w:rFonts w:cs="Times New Roman"/>
          <w:szCs w:val="24"/>
        </w:rPr>
        <w:t xml:space="preserve"> other practitioner’s consent.</w:t>
      </w:r>
    </w:p>
    <w:p w14:paraId="170B5809" w14:textId="77777777" w:rsidR="00841451" w:rsidRPr="00841451" w:rsidRDefault="00841451" w:rsidP="00841451">
      <w:pPr>
        <w:pStyle w:val="NoSpacing"/>
        <w:ind w:left="2160"/>
        <w:rPr>
          <w:rFonts w:cs="Times New Roman"/>
          <w:szCs w:val="24"/>
          <w:lang w:val="en-US"/>
        </w:rPr>
      </w:pPr>
    </w:p>
    <w:p w14:paraId="18ECB453" w14:textId="3B5827CE" w:rsidR="00240E03" w:rsidRPr="00BB73A9" w:rsidRDefault="00841451" w:rsidP="0069421D">
      <w:pPr>
        <w:pStyle w:val="NoSpacing"/>
        <w:numPr>
          <w:ilvl w:val="1"/>
          <w:numId w:val="83"/>
        </w:numPr>
        <w:rPr>
          <w:rFonts w:cs="Times New Roman"/>
          <w:szCs w:val="24"/>
          <w:lang w:val="en-US"/>
        </w:rPr>
      </w:pPr>
      <w:r>
        <w:rPr>
          <w:rFonts w:cs="Times New Roman"/>
          <w:i/>
          <w:szCs w:val="24"/>
        </w:rPr>
        <w:t>Permissible if solicitor non</w:t>
      </w:r>
      <w:r w:rsidR="00E42410">
        <w:rPr>
          <w:rFonts w:cs="Times New Roman"/>
          <w:i/>
          <w:szCs w:val="24"/>
        </w:rPr>
        <w:t>–</w:t>
      </w:r>
      <w:r>
        <w:rPr>
          <w:rFonts w:cs="Times New Roman"/>
          <w:i/>
          <w:szCs w:val="24"/>
        </w:rPr>
        <w:t xml:space="preserve">responsive – </w:t>
      </w:r>
      <w:proofErr w:type="gramStart"/>
      <w:r w:rsidRPr="00841451">
        <w:rPr>
          <w:rFonts w:cs="Times New Roman"/>
          <w:i/>
          <w:iCs/>
          <w:szCs w:val="24"/>
        </w:rPr>
        <w:t xml:space="preserve">PCPR </w:t>
      </w:r>
      <w:r w:rsidRPr="00841451">
        <w:rPr>
          <w:rFonts w:cs="Times New Roman"/>
          <w:i/>
          <w:szCs w:val="24"/>
        </w:rPr>
        <w:t xml:space="preserve"> R25.1.2</w:t>
      </w:r>
      <w:proofErr w:type="gramEnd"/>
      <w:r>
        <w:rPr>
          <w:rFonts w:cs="Times New Roman"/>
          <w:b/>
          <w:szCs w:val="24"/>
        </w:rPr>
        <w:t xml:space="preserve"> – </w:t>
      </w:r>
      <w:r w:rsidR="00240E03" w:rsidRPr="007B6AAC">
        <w:rPr>
          <w:rFonts w:cs="Times New Roman"/>
          <w:szCs w:val="24"/>
        </w:rPr>
        <w:t>The prohibition does not apply in exceptional circumstances, such as where the practitioner has been trying to get a response from the other party’s practitioner and there has been no response after repeated attempts</w:t>
      </w:r>
      <w:r w:rsidR="002239B3">
        <w:rPr>
          <w:rFonts w:cs="Times New Roman"/>
          <w:szCs w:val="24"/>
        </w:rPr>
        <w:t xml:space="preserve">. </w:t>
      </w:r>
    </w:p>
    <w:p w14:paraId="14DB6047" w14:textId="77777777" w:rsidR="00145331" w:rsidRPr="007B6AAC" w:rsidRDefault="00145331" w:rsidP="007B6AAC">
      <w:pPr>
        <w:pStyle w:val="NoSpacing"/>
        <w:rPr>
          <w:rFonts w:cs="Times New Roman"/>
          <w:szCs w:val="24"/>
        </w:rPr>
      </w:pPr>
    </w:p>
    <w:p w14:paraId="3F094521" w14:textId="77777777" w:rsidR="00145331" w:rsidRPr="007B6AAC" w:rsidRDefault="00145331" w:rsidP="007B6AAC">
      <w:pPr>
        <w:pStyle w:val="NoSpacing"/>
        <w:rPr>
          <w:rFonts w:cs="Times New Roman"/>
          <w:szCs w:val="24"/>
        </w:rPr>
      </w:pPr>
    </w:p>
    <w:p w14:paraId="61ADEBD0" w14:textId="77777777" w:rsidR="00145331" w:rsidRPr="007B6AAC" w:rsidRDefault="00145331" w:rsidP="007B6AAC">
      <w:pPr>
        <w:pStyle w:val="NoSpacing"/>
        <w:rPr>
          <w:rFonts w:cs="Times New Roman"/>
          <w:szCs w:val="24"/>
        </w:rPr>
      </w:pPr>
    </w:p>
    <w:p w14:paraId="683C68D2" w14:textId="77777777" w:rsidR="00145331" w:rsidRPr="007B6AAC" w:rsidRDefault="00145331" w:rsidP="007B6AAC">
      <w:pPr>
        <w:pStyle w:val="NoSpacing"/>
        <w:rPr>
          <w:rFonts w:cs="Times New Roman"/>
          <w:szCs w:val="24"/>
        </w:rPr>
      </w:pPr>
    </w:p>
    <w:p w14:paraId="708E2D75" w14:textId="77777777" w:rsidR="00145331" w:rsidRPr="007B6AAC" w:rsidRDefault="00145331" w:rsidP="007B6AAC">
      <w:pPr>
        <w:pStyle w:val="NoSpacing"/>
        <w:rPr>
          <w:rFonts w:cs="Times New Roman"/>
          <w:szCs w:val="24"/>
        </w:rPr>
      </w:pPr>
    </w:p>
    <w:p w14:paraId="1972D44C" w14:textId="77777777" w:rsidR="00145331" w:rsidRPr="007B6AAC" w:rsidRDefault="00145331" w:rsidP="007B6AAC">
      <w:pPr>
        <w:pStyle w:val="NoSpacing"/>
        <w:rPr>
          <w:rFonts w:cs="Times New Roman"/>
          <w:szCs w:val="24"/>
        </w:rPr>
      </w:pPr>
    </w:p>
    <w:p w14:paraId="65472593" w14:textId="77777777" w:rsidR="00145331" w:rsidRPr="007B6AAC" w:rsidRDefault="00145331" w:rsidP="007B6AAC">
      <w:pPr>
        <w:pStyle w:val="NoSpacing"/>
        <w:rPr>
          <w:rFonts w:cs="Times New Roman"/>
          <w:szCs w:val="24"/>
        </w:rPr>
      </w:pPr>
    </w:p>
    <w:p w14:paraId="75795A8E" w14:textId="77777777" w:rsidR="00145331" w:rsidRPr="007B6AAC" w:rsidRDefault="00145331" w:rsidP="007B6AAC">
      <w:pPr>
        <w:pStyle w:val="NoSpacing"/>
        <w:rPr>
          <w:rFonts w:cs="Times New Roman"/>
          <w:szCs w:val="24"/>
        </w:rPr>
      </w:pPr>
    </w:p>
    <w:p w14:paraId="4B93F7D7" w14:textId="77777777" w:rsidR="00145331" w:rsidRPr="007B6AAC" w:rsidRDefault="00145331" w:rsidP="007B6AAC">
      <w:pPr>
        <w:pStyle w:val="NoSpacing"/>
        <w:rPr>
          <w:rFonts w:cs="Times New Roman"/>
          <w:szCs w:val="24"/>
        </w:rPr>
      </w:pPr>
    </w:p>
    <w:p w14:paraId="0697CF7F" w14:textId="77777777" w:rsidR="00145331" w:rsidRPr="007B6AAC" w:rsidRDefault="00145331" w:rsidP="007B6AAC">
      <w:pPr>
        <w:pStyle w:val="NoSpacing"/>
        <w:rPr>
          <w:rFonts w:cs="Times New Roman"/>
          <w:szCs w:val="24"/>
        </w:rPr>
      </w:pPr>
    </w:p>
    <w:p w14:paraId="08FFED31" w14:textId="77777777" w:rsidR="00145331" w:rsidRPr="007B6AAC" w:rsidRDefault="00145331" w:rsidP="007B6AAC">
      <w:pPr>
        <w:pStyle w:val="NoSpacing"/>
        <w:rPr>
          <w:rFonts w:cs="Times New Roman"/>
          <w:szCs w:val="24"/>
        </w:rPr>
      </w:pPr>
    </w:p>
    <w:p w14:paraId="5D3B312A" w14:textId="77777777" w:rsidR="00145331" w:rsidRPr="007B6AAC" w:rsidRDefault="00145331" w:rsidP="007B6AAC">
      <w:pPr>
        <w:pStyle w:val="NoSpacing"/>
        <w:rPr>
          <w:rFonts w:cs="Times New Roman"/>
          <w:szCs w:val="24"/>
        </w:rPr>
      </w:pPr>
    </w:p>
    <w:p w14:paraId="42D9F339" w14:textId="77777777" w:rsidR="00145331" w:rsidRPr="007B6AAC" w:rsidRDefault="00145331" w:rsidP="007B6AAC">
      <w:pPr>
        <w:pStyle w:val="NoSpacing"/>
        <w:rPr>
          <w:rFonts w:cs="Times New Roman"/>
          <w:szCs w:val="24"/>
        </w:rPr>
      </w:pPr>
    </w:p>
    <w:p w14:paraId="3E5498D0" w14:textId="77777777" w:rsidR="00145331" w:rsidRPr="007B6AAC" w:rsidRDefault="00145331" w:rsidP="007B6AAC">
      <w:pPr>
        <w:pStyle w:val="NoSpacing"/>
        <w:rPr>
          <w:rFonts w:cs="Times New Roman"/>
          <w:szCs w:val="24"/>
        </w:rPr>
      </w:pPr>
    </w:p>
    <w:p w14:paraId="4E774BDD" w14:textId="77777777" w:rsidR="00145331" w:rsidRPr="007B6AAC" w:rsidRDefault="00145331" w:rsidP="007B6AAC">
      <w:pPr>
        <w:pStyle w:val="NoSpacing"/>
        <w:rPr>
          <w:rFonts w:cs="Times New Roman"/>
          <w:szCs w:val="24"/>
        </w:rPr>
      </w:pPr>
    </w:p>
    <w:p w14:paraId="51A63121" w14:textId="77777777" w:rsidR="00145331" w:rsidRPr="007B6AAC" w:rsidRDefault="00145331" w:rsidP="007B6AAC">
      <w:pPr>
        <w:pStyle w:val="NoSpacing"/>
        <w:rPr>
          <w:rFonts w:cs="Times New Roman"/>
          <w:szCs w:val="24"/>
        </w:rPr>
      </w:pPr>
    </w:p>
    <w:p w14:paraId="6FB7A2A4" w14:textId="77777777" w:rsidR="00145331" w:rsidRDefault="00145331" w:rsidP="00145331">
      <w:pPr>
        <w:pStyle w:val="NoSpacing"/>
      </w:pPr>
    </w:p>
    <w:p w14:paraId="72E75DBE" w14:textId="77777777" w:rsidR="00145331" w:rsidRDefault="00145331" w:rsidP="00145331">
      <w:pPr>
        <w:pStyle w:val="NoSpacing"/>
      </w:pPr>
    </w:p>
    <w:p w14:paraId="31043F14" w14:textId="77777777" w:rsidR="00145331" w:rsidRDefault="00145331" w:rsidP="00145331">
      <w:pPr>
        <w:pStyle w:val="NoSpacing"/>
      </w:pPr>
    </w:p>
    <w:p w14:paraId="0AF4C241" w14:textId="77777777" w:rsidR="00145331" w:rsidRDefault="00145331" w:rsidP="00145331">
      <w:pPr>
        <w:pStyle w:val="NoSpacing"/>
      </w:pPr>
    </w:p>
    <w:p w14:paraId="6ACCDEE0" w14:textId="77777777" w:rsidR="00145331" w:rsidRDefault="00145331" w:rsidP="00145331">
      <w:pPr>
        <w:pStyle w:val="NoSpacing"/>
      </w:pPr>
    </w:p>
    <w:p w14:paraId="508F181B" w14:textId="77777777" w:rsidR="00145331" w:rsidRDefault="00145331" w:rsidP="00145331">
      <w:pPr>
        <w:pStyle w:val="NoSpacing"/>
      </w:pPr>
    </w:p>
    <w:p w14:paraId="1C9CB0D5" w14:textId="77777777" w:rsidR="00145331" w:rsidRDefault="00145331" w:rsidP="00145331">
      <w:pPr>
        <w:pStyle w:val="NoSpacing"/>
      </w:pPr>
    </w:p>
    <w:p w14:paraId="42511607" w14:textId="79FB8CB6" w:rsidR="00D13116" w:rsidRPr="00D13116" w:rsidRDefault="00D13116" w:rsidP="00D13116">
      <w:pPr>
        <w:pStyle w:val="NoSpacing"/>
        <w:rPr>
          <w:rFonts w:cs="Times New Roman"/>
          <w:sz w:val="36"/>
          <w:szCs w:val="36"/>
        </w:rPr>
      </w:pPr>
      <w:r w:rsidRPr="00D13116">
        <w:rPr>
          <w:rFonts w:cs="Times New Roman"/>
          <w:b/>
          <w:sz w:val="36"/>
          <w:szCs w:val="36"/>
          <w:u w:val="single"/>
        </w:rPr>
        <w:t>Disciplinary Procedures</w:t>
      </w:r>
    </w:p>
    <w:p w14:paraId="2BE834AC" w14:textId="77777777" w:rsidR="00D13116" w:rsidRPr="00D13116" w:rsidRDefault="00D13116" w:rsidP="00D13116">
      <w:pPr>
        <w:pStyle w:val="NoSpacing"/>
        <w:rPr>
          <w:rFonts w:cs="Times New Roman"/>
          <w:szCs w:val="24"/>
        </w:rPr>
      </w:pPr>
    </w:p>
    <w:p w14:paraId="423899DF" w14:textId="61E828CC" w:rsidR="00145331" w:rsidRPr="00866E7B" w:rsidRDefault="00866E7B" w:rsidP="00866E7B">
      <w:pPr>
        <w:pStyle w:val="NoSpacing"/>
        <w:rPr>
          <w:rFonts w:cs="Times New Roman"/>
          <w:szCs w:val="24"/>
        </w:rPr>
      </w:pPr>
      <w:r>
        <w:rPr>
          <w:rFonts w:cs="Times New Roman"/>
          <w:b/>
          <w:szCs w:val="24"/>
          <w:u w:val="single"/>
        </w:rPr>
        <w:t xml:space="preserve">Complaints and Discipline </w:t>
      </w:r>
      <w:r>
        <w:rPr>
          <w:rFonts w:cs="Times New Roman"/>
          <w:szCs w:val="24"/>
        </w:rPr>
        <w:t>–</w:t>
      </w:r>
      <w:r w:rsidR="00293E77">
        <w:rPr>
          <w:rFonts w:cs="Times New Roman"/>
          <w:szCs w:val="24"/>
        </w:rPr>
        <w:t xml:space="preserve"> </w:t>
      </w:r>
      <w:r w:rsidRPr="00440E99">
        <w:rPr>
          <w:rFonts w:cs="Times New Roman"/>
          <w:i/>
          <w:szCs w:val="24"/>
        </w:rPr>
        <w:t>4.2 &amp; 4.4</w:t>
      </w:r>
      <w:r w:rsidR="00293E77" w:rsidRPr="00440E99">
        <w:rPr>
          <w:rFonts w:cs="Times New Roman"/>
          <w:i/>
          <w:szCs w:val="24"/>
        </w:rPr>
        <w:t xml:space="preserve"> LPA 2004</w:t>
      </w:r>
    </w:p>
    <w:p w14:paraId="0F0F774C" w14:textId="2DAE8472" w:rsidR="00CC49CB" w:rsidRDefault="00CC49CB" w:rsidP="00DE72A1">
      <w:pPr>
        <w:pStyle w:val="NoSpacing"/>
        <w:numPr>
          <w:ilvl w:val="0"/>
          <w:numId w:val="112"/>
        </w:numPr>
      </w:pPr>
      <w:r w:rsidRPr="00010511">
        <w:rPr>
          <w:b/>
          <w:i/>
        </w:rPr>
        <w:t>General</w:t>
      </w:r>
      <w:r>
        <w:t xml:space="preserve"> – A complaint can involve </w:t>
      </w:r>
    </w:p>
    <w:p w14:paraId="2F9802A2" w14:textId="4B0185D4" w:rsidR="00CC49CB" w:rsidRDefault="00CC49CB" w:rsidP="0069421D">
      <w:pPr>
        <w:pStyle w:val="NoSpacing"/>
        <w:numPr>
          <w:ilvl w:val="1"/>
          <w:numId w:val="84"/>
        </w:numPr>
      </w:pPr>
      <w:r>
        <w:rPr>
          <w:i/>
        </w:rPr>
        <w:t xml:space="preserve">Civil Complaint – </w:t>
      </w:r>
      <w:r w:rsidR="00873B30" w:rsidRPr="00500291">
        <w:rPr>
          <w:i/>
        </w:rPr>
        <w:t>s4.2.1(1)</w:t>
      </w:r>
      <w:r w:rsidR="00873B30" w:rsidRPr="00873B30">
        <w:t xml:space="preserve"> </w:t>
      </w:r>
      <w:r w:rsidR="00DE0FFB" w:rsidRPr="00F05F40">
        <w:rPr>
          <w:i/>
        </w:rPr>
        <w:t>LPA</w:t>
      </w:r>
    </w:p>
    <w:p w14:paraId="75A9D2F8" w14:textId="1477F0D5" w:rsidR="00CC49CB" w:rsidRDefault="00543E83" w:rsidP="0069421D">
      <w:pPr>
        <w:pStyle w:val="NoSpacing"/>
        <w:numPr>
          <w:ilvl w:val="1"/>
          <w:numId w:val="84"/>
        </w:numPr>
      </w:pPr>
      <w:r>
        <w:rPr>
          <w:i/>
        </w:rPr>
        <w:t xml:space="preserve">Disciplinary </w:t>
      </w:r>
      <w:r w:rsidRPr="00500291">
        <w:rPr>
          <w:i/>
        </w:rPr>
        <w:t xml:space="preserve">Complaint – </w:t>
      </w:r>
      <w:r w:rsidR="00873B30" w:rsidRPr="00500291">
        <w:rPr>
          <w:i/>
        </w:rPr>
        <w:t>s4.2.2</w:t>
      </w:r>
      <w:r w:rsidR="00873B30" w:rsidRPr="00873B30">
        <w:t xml:space="preserve"> </w:t>
      </w:r>
      <w:r w:rsidR="00DE0FFB" w:rsidRPr="00F05F40">
        <w:rPr>
          <w:i/>
        </w:rPr>
        <w:t>LPA</w:t>
      </w:r>
    </w:p>
    <w:p w14:paraId="4DC730C5" w14:textId="490CEF67" w:rsidR="00873B30" w:rsidRPr="00500291" w:rsidRDefault="00782DE8" w:rsidP="0069421D">
      <w:pPr>
        <w:pStyle w:val="NoSpacing"/>
        <w:numPr>
          <w:ilvl w:val="1"/>
          <w:numId w:val="84"/>
        </w:numPr>
      </w:pPr>
      <w:r w:rsidRPr="00500291">
        <w:rPr>
          <w:i/>
        </w:rPr>
        <w:t xml:space="preserve">Civil &amp; Disciplinary Complaints – </w:t>
      </w:r>
      <w:r w:rsidR="00873B30" w:rsidRPr="00500291">
        <w:rPr>
          <w:i/>
        </w:rPr>
        <w:t>s4.2.3</w:t>
      </w:r>
      <w:r w:rsidR="00DE0FFB" w:rsidRPr="00DE0FFB">
        <w:rPr>
          <w:i/>
        </w:rPr>
        <w:t xml:space="preserve"> </w:t>
      </w:r>
      <w:r w:rsidR="00DE0FFB" w:rsidRPr="00F05F40">
        <w:rPr>
          <w:i/>
        </w:rPr>
        <w:t>LPA</w:t>
      </w:r>
    </w:p>
    <w:p w14:paraId="2267BC25" w14:textId="77777777" w:rsidR="00873B30" w:rsidRPr="00873B30" w:rsidRDefault="00873B30" w:rsidP="00873B30">
      <w:pPr>
        <w:pStyle w:val="NoSpacing"/>
      </w:pPr>
    </w:p>
    <w:p w14:paraId="6DA6CC8E" w14:textId="31D9372D" w:rsidR="00873B30" w:rsidRPr="00873B30" w:rsidRDefault="00873B30" w:rsidP="00DE72A1">
      <w:pPr>
        <w:pStyle w:val="NoSpacing"/>
        <w:numPr>
          <w:ilvl w:val="0"/>
          <w:numId w:val="112"/>
        </w:numPr>
      </w:pPr>
      <w:r w:rsidRPr="000A0EC5">
        <w:rPr>
          <w:b/>
          <w:u w:val="single"/>
        </w:rPr>
        <w:t>Civil complaint</w:t>
      </w:r>
      <w:r w:rsidR="00010511" w:rsidRPr="000A0EC5">
        <w:rPr>
          <w:u w:val="single"/>
        </w:rPr>
        <w:t>s</w:t>
      </w:r>
      <w:r w:rsidR="00010511">
        <w:t xml:space="preserve"> – </w:t>
      </w:r>
      <w:proofErr w:type="gramStart"/>
      <w:r w:rsidR="00A117D6">
        <w:t>s</w:t>
      </w:r>
      <w:r w:rsidR="00D45225" w:rsidRPr="00DE0FFB">
        <w:rPr>
          <w:i/>
        </w:rPr>
        <w:t>4.2</w:t>
      </w:r>
      <w:r w:rsidR="0006634C" w:rsidRPr="00DE0FFB">
        <w:rPr>
          <w:i/>
        </w:rPr>
        <w:t>.2(</w:t>
      </w:r>
      <w:proofErr w:type="gramEnd"/>
      <w:r w:rsidR="0006634C" w:rsidRPr="00DE0FFB">
        <w:rPr>
          <w:i/>
        </w:rPr>
        <w:t xml:space="preserve">2) </w:t>
      </w:r>
      <w:r w:rsidR="00DE0FFB" w:rsidRPr="00DE0FFB">
        <w:rPr>
          <w:i/>
        </w:rPr>
        <w:t xml:space="preserve">LPA </w:t>
      </w:r>
      <w:r w:rsidR="0006634C">
        <w:t xml:space="preserve">– </w:t>
      </w:r>
      <w:r w:rsidR="00B57601">
        <w:t xml:space="preserve">primary related to costs disputes </w:t>
      </w:r>
      <w:r w:rsidR="004A6912">
        <w:t>between a lawyer and a client in relation to a legal cost charged.</w:t>
      </w:r>
      <w:r w:rsidRPr="00873B30">
        <w:t xml:space="preserve"> </w:t>
      </w:r>
    </w:p>
    <w:p w14:paraId="1FDBCADF" w14:textId="77777777" w:rsidR="00F41716" w:rsidRDefault="00F41716" w:rsidP="00F41716">
      <w:pPr>
        <w:pStyle w:val="NoSpacing"/>
        <w:ind w:left="720"/>
      </w:pPr>
    </w:p>
    <w:p w14:paraId="31C7D36A" w14:textId="5EEB9A12" w:rsidR="00A84A04" w:rsidRDefault="00F11A53" w:rsidP="0069421D">
      <w:pPr>
        <w:pStyle w:val="NoSpacing"/>
        <w:numPr>
          <w:ilvl w:val="1"/>
          <w:numId w:val="84"/>
        </w:numPr>
      </w:pPr>
      <w:r w:rsidRPr="00F11A53">
        <w:rPr>
          <w:b/>
          <w:i/>
        </w:rPr>
        <w:t>Nature of Complaint</w:t>
      </w:r>
      <w:r>
        <w:rPr>
          <w:i/>
        </w:rPr>
        <w:t xml:space="preserve"> – </w:t>
      </w:r>
      <w:r w:rsidR="00A117D6" w:rsidRPr="00DB2C08">
        <w:rPr>
          <w:i/>
        </w:rPr>
        <w:t>s</w:t>
      </w:r>
      <w:r w:rsidR="006127F9" w:rsidRPr="00DB2C08">
        <w:rPr>
          <w:i/>
        </w:rPr>
        <w:t xml:space="preserve">4.2.2(2) </w:t>
      </w:r>
      <w:r w:rsidR="00DB2C08" w:rsidRPr="00F05F40">
        <w:rPr>
          <w:i/>
        </w:rPr>
        <w:t>LPA</w:t>
      </w:r>
      <w:r w:rsidR="00DB2C08">
        <w:t xml:space="preserve"> </w:t>
      </w:r>
      <w:r w:rsidR="006127F9">
        <w:t xml:space="preserve">– </w:t>
      </w:r>
      <w:r w:rsidR="00873B30" w:rsidRPr="00873B30">
        <w:t>May be made about the conduct of a law practice or a legal practitioner;</w:t>
      </w:r>
    </w:p>
    <w:p w14:paraId="174F6278" w14:textId="54626DA3" w:rsidR="00A84A04" w:rsidRDefault="00C80BAE" w:rsidP="0069421D">
      <w:pPr>
        <w:pStyle w:val="NoSpacing"/>
        <w:numPr>
          <w:ilvl w:val="2"/>
          <w:numId w:val="84"/>
        </w:numPr>
      </w:pPr>
      <w:r>
        <w:rPr>
          <w:i/>
        </w:rPr>
        <w:t>s</w:t>
      </w:r>
      <w:r w:rsidR="00FB1954" w:rsidRPr="001C61AD">
        <w:rPr>
          <w:i/>
        </w:rPr>
        <w:t>4.2.2(2)</w:t>
      </w:r>
      <w:r w:rsidR="00671689" w:rsidRPr="001C61AD">
        <w:rPr>
          <w:i/>
        </w:rPr>
        <w:t>(</w:t>
      </w:r>
      <w:r w:rsidR="00A84A04" w:rsidRPr="001C61AD">
        <w:rPr>
          <w:i/>
        </w:rPr>
        <w:t>a</w:t>
      </w:r>
      <w:r w:rsidR="00671689" w:rsidRPr="001C61AD">
        <w:rPr>
          <w:i/>
        </w:rPr>
        <w:t>)</w:t>
      </w:r>
      <w:r w:rsidR="001C61AD">
        <w:t xml:space="preserve"> </w:t>
      </w:r>
      <w:r w:rsidR="00DB2C08" w:rsidRPr="00F05F40">
        <w:rPr>
          <w:i/>
        </w:rPr>
        <w:t>LPA</w:t>
      </w:r>
      <w:r w:rsidR="00DB2C08">
        <w:t xml:space="preserve"> </w:t>
      </w:r>
      <w:r w:rsidR="001C61AD">
        <w:t xml:space="preserve">– </w:t>
      </w:r>
      <w:r w:rsidR="004709EE">
        <w:t xml:space="preserve">a </w:t>
      </w:r>
      <w:r w:rsidR="00A84A04">
        <w:t>dispute (costs dispute) between a lawyer and a client in relation to legal cost charged that do not exceed $ 25000;</w:t>
      </w:r>
    </w:p>
    <w:p w14:paraId="540EA5C4" w14:textId="6796CD99" w:rsidR="00D626EC" w:rsidRDefault="00D626EC" w:rsidP="0069421D">
      <w:pPr>
        <w:pStyle w:val="NoSpacing"/>
        <w:numPr>
          <w:ilvl w:val="3"/>
          <w:numId w:val="84"/>
        </w:numPr>
      </w:pPr>
      <w:r>
        <w:t xml:space="preserve">(i) </w:t>
      </w:r>
      <w:r w:rsidR="00FB1954">
        <w:t xml:space="preserve">&amp; (ii) </w:t>
      </w:r>
      <w:r>
        <w:t>or between a law practice</w:t>
      </w:r>
    </w:p>
    <w:p w14:paraId="205CBA03" w14:textId="77777777" w:rsidR="00CD0196" w:rsidRDefault="00CD0196" w:rsidP="00CD0196">
      <w:pPr>
        <w:pStyle w:val="NoSpacing"/>
        <w:ind w:left="2160"/>
      </w:pPr>
    </w:p>
    <w:p w14:paraId="7A1372BF" w14:textId="5F14E7D8" w:rsidR="00A84A04" w:rsidRDefault="00C80BAE" w:rsidP="0069421D">
      <w:pPr>
        <w:pStyle w:val="NoSpacing"/>
        <w:numPr>
          <w:ilvl w:val="2"/>
          <w:numId w:val="84"/>
        </w:numPr>
      </w:pPr>
      <w:r>
        <w:rPr>
          <w:i/>
        </w:rPr>
        <w:t>s</w:t>
      </w:r>
      <w:r w:rsidR="00FB1954" w:rsidRPr="00CD0196">
        <w:rPr>
          <w:i/>
        </w:rPr>
        <w:t>4.2.2(2) (b)</w:t>
      </w:r>
      <w:r w:rsidR="00DB2C08" w:rsidRPr="00DB2C08">
        <w:rPr>
          <w:i/>
        </w:rPr>
        <w:t xml:space="preserve"> </w:t>
      </w:r>
      <w:r w:rsidR="00DB2C08" w:rsidRPr="00F05F40">
        <w:rPr>
          <w:i/>
        </w:rPr>
        <w:t>LPA</w:t>
      </w:r>
      <w:r w:rsidR="00A84A04">
        <w:t xml:space="preserve"> </w:t>
      </w:r>
      <w:r w:rsidR="00CD0196">
        <w:t xml:space="preserve">– </w:t>
      </w:r>
      <w:r w:rsidR="00A84A04">
        <w:t>claim that a person has suffered pecuniary loss as a result of a lawyer’s act or omission other than a loss in respect of which a claim lies against the Fidelity Fund;</w:t>
      </w:r>
    </w:p>
    <w:p w14:paraId="7689D27B" w14:textId="77777777" w:rsidR="00CD0196" w:rsidRDefault="00CD0196" w:rsidP="00CD0196">
      <w:pPr>
        <w:pStyle w:val="NoSpacing"/>
        <w:ind w:left="2160"/>
      </w:pPr>
    </w:p>
    <w:p w14:paraId="41A3B9D4" w14:textId="400F3D4F" w:rsidR="00A84A04" w:rsidRDefault="00C80BAE" w:rsidP="0069421D">
      <w:pPr>
        <w:pStyle w:val="NoSpacing"/>
        <w:numPr>
          <w:ilvl w:val="2"/>
          <w:numId w:val="84"/>
        </w:numPr>
      </w:pPr>
      <w:proofErr w:type="gramStart"/>
      <w:r>
        <w:rPr>
          <w:i/>
        </w:rPr>
        <w:t>s</w:t>
      </w:r>
      <w:r w:rsidR="00FB1954" w:rsidRPr="00CD0196">
        <w:rPr>
          <w:i/>
        </w:rPr>
        <w:t>4.2.2(</w:t>
      </w:r>
      <w:proofErr w:type="gramEnd"/>
      <w:r w:rsidR="00FB1954" w:rsidRPr="00CD0196">
        <w:rPr>
          <w:i/>
        </w:rPr>
        <w:t>2)(c)</w:t>
      </w:r>
      <w:r w:rsidR="00FB1954">
        <w:t xml:space="preserve"> </w:t>
      </w:r>
      <w:r w:rsidR="00DB2C08" w:rsidRPr="00F05F40">
        <w:rPr>
          <w:i/>
        </w:rPr>
        <w:t>LPA</w:t>
      </w:r>
      <w:r w:rsidR="00DB2C08">
        <w:t xml:space="preserve"> </w:t>
      </w:r>
      <w:r w:rsidR="00FB1954">
        <w:t xml:space="preserve">– </w:t>
      </w:r>
      <w:r w:rsidR="00A84A04">
        <w:t>any other genuine dispute arising out of or in relation to the provision of legal services by a lawyer to a client.</w:t>
      </w:r>
    </w:p>
    <w:p w14:paraId="5B648FD2" w14:textId="77777777" w:rsidR="00224CED" w:rsidRDefault="00224CED" w:rsidP="00224CED">
      <w:pPr>
        <w:pStyle w:val="NoSpacing"/>
        <w:ind w:left="720"/>
      </w:pPr>
    </w:p>
    <w:p w14:paraId="53365AD5" w14:textId="37759240" w:rsidR="00AC6C48" w:rsidRPr="00AC6C48" w:rsidRDefault="00F11A53" w:rsidP="0069421D">
      <w:pPr>
        <w:pStyle w:val="NoSpacing"/>
        <w:numPr>
          <w:ilvl w:val="1"/>
          <w:numId w:val="84"/>
        </w:numPr>
      </w:pPr>
      <w:r>
        <w:rPr>
          <w:b/>
          <w:i/>
        </w:rPr>
        <w:t xml:space="preserve">Who can complain </w:t>
      </w:r>
      <w:r>
        <w:t xml:space="preserve">– </w:t>
      </w:r>
      <w:r w:rsidRPr="004624F2">
        <w:rPr>
          <w:rFonts w:cs="Times New Roman"/>
          <w:i/>
          <w:szCs w:val="24"/>
        </w:rPr>
        <w:t xml:space="preserve">Vic </w:t>
      </w:r>
      <w:proofErr w:type="spellStart"/>
      <w:r w:rsidRPr="004624F2">
        <w:rPr>
          <w:rFonts w:cs="Times New Roman"/>
          <w:i/>
          <w:szCs w:val="24"/>
        </w:rPr>
        <w:t>ss</w:t>
      </w:r>
      <w:proofErr w:type="spellEnd"/>
      <w:r w:rsidRPr="004624F2">
        <w:rPr>
          <w:rFonts w:cs="Times New Roman"/>
          <w:i/>
          <w:szCs w:val="24"/>
        </w:rPr>
        <w:t xml:space="preserve"> 4.2.4(1), 4.2.5, 4.2.6 </w:t>
      </w:r>
      <w:r w:rsidR="004624F2" w:rsidRPr="004624F2">
        <w:rPr>
          <w:i/>
        </w:rPr>
        <w:t>LPA</w:t>
      </w:r>
      <w:r w:rsidR="004624F2">
        <w:t xml:space="preserve"> </w:t>
      </w:r>
      <w:r>
        <w:rPr>
          <w:rFonts w:cs="Times New Roman"/>
          <w:szCs w:val="24"/>
        </w:rPr>
        <w:t xml:space="preserve">– </w:t>
      </w:r>
      <w:r>
        <w:t>Any person who has a civil dispute with a lawyer can make a complaint to the Legal Services Commissioner</w:t>
      </w:r>
    </w:p>
    <w:p w14:paraId="1C77B39C" w14:textId="23AFD27F" w:rsidR="009D65ED" w:rsidRDefault="009D65ED" w:rsidP="0069421D">
      <w:pPr>
        <w:pStyle w:val="NoSpacing"/>
        <w:numPr>
          <w:ilvl w:val="2"/>
          <w:numId w:val="84"/>
        </w:numPr>
      </w:pPr>
      <w:r w:rsidRPr="009D65ED">
        <w:rPr>
          <w:i/>
        </w:rPr>
        <w:t xml:space="preserve">Time Limit </w:t>
      </w:r>
      <w:r w:rsidRPr="009D65ED">
        <w:t>–</w:t>
      </w:r>
      <w:r>
        <w:t xml:space="preserve"> </w:t>
      </w:r>
      <w:r w:rsidR="00C80BAE" w:rsidRPr="00C80BAE">
        <w:rPr>
          <w:i/>
        </w:rPr>
        <w:t>s</w:t>
      </w:r>
      <w:r w:rsidRPr="001E4BD9">
        <w:rPr>
          <w:i/>
        </w:rPr>
        <w:t xml:space="preserve">4.2.6 </w:t>
      </w:r>
      <w:r w:rsidR="004624F2" w:rsidRPr="001E4BD9">
        <w:rPr>
          <w:i/>
        </w:rPr>
        <w:t xml:space="preserve">LPA </w:t>
      </w:r>
      <w:r>
        <w:t>– Must be made within 6 years</w:t>
      </w:r>
    </w:p>
    <w:p w14:paraId="6747896C" w14:textId="77777777" w:rsidR="00AC6C48" w:rsidRPr="00AC6C48" w:rsidRDefault="00AC6C48" w:rsidP="00AC6C48">
      <w:pPr>
        <w:pStyle w:val="NoSpacing"/>
        <w:ind w:left="2160"/>
      </w:pPr>
    </w:p>
    <w:p w14:paraId="119BF19F" w14:textId="7FE94938" w:rsidR="009D65ED" w:rsidRDefault="009D65ED" w:rsidP="0069421D">
      <w:pPr>
        <w:pStyle w:val="NoSpacing"/>
        <w:numPr>
          <w:ilvl w:val="2"/>
          <w:numId w:val="84"/>
        </w:numPr>
      </w:pPr>
      <w:r>
        <w:rPr>
          <w:i/>
        </w:rPr>
        <w:t xml:space="preserve">Costs </w:t>
      </w:r>
      <w:r>
        <w:t>– Must be made within 60 days after legal costs were made</w:t>
      </w:r>
      <w:r w:rsidR="00401D58">
        <w:t xml:space="preserve"> unless a reasonable cause of delay.</w:t>
      </w:r>
    </w:p>
    <w:p w14:paraId="093A1F85" w14:textId="77777777" w:rsidR="00AC6C48" w:rsidRDefault="00AC6C48" w:rsidP="00AC6C48">
      <w:pPr>
        <w:pStyle w:val="ListParagraph"/>
      </w:pPr>
    </w:p>
    <w:p w14:paraId="33F08DE5" w14:textId="1D9F3B5C" w:rsidR="00F11A53" w:rsidRDefault="009D65ED" w:rsidP="0069421D">
      <w:pPr>
        <w:pStyle w:val="NoSpacing"/>
        <w:numPr>
          <w:ilvl w:val="1"/>
          <w:numId w:val="84"/>
        </w:numPr>
      </w:pPr>
      <w:r w:rsidRPr="00FB670C">
        <w:rPr>
          <w:b/>
          <w:i/>
        </w:rPr>
        <w:t>Commissioner Must Attempt to Resolve –</w:t>
      </w:r>
      <w:r w:rsidR="00F158DE" w:rsidRPr="00FB670C">
        <w:rPr>
          <w:b/>
          <w:i/>
        </w:rPr>
        <w:t xml:space="preserve">– </w:t>
      </w:r>
    </w:p>
    <w:p w14:paraId="5C1D9219" w14:textId="77777777" w:rsidR="00EC6BF2" w:rsidRPr="00EC6BF2" w:rsidRDefault="00EC6BF2" w:rsidP="00EC6BF2">
      <w:pPr>
        <w:pStyle w:val="NoSpacing"/>
        <w:ind w:left="2160"/>
      </w:pPr>
    </w:p>
    <w:p w14:paraId="45954388" w14:textId="445B2D49" w:rsidR="00873B30" w:rsidRDefault="00FB670C" w:rsidP="0069421D">
      <w:pPr>
        <w:pStyle w:val="NoSpacing"/>
        <w:numPr>
          <w:ilvl w:val="2"/>
          <w:numId w:val="84"/>
        </w:numPr>
      </w:pPr>
      <w:r>
        <w:rPr>
          <w:i/>
        </w:rPr>
        <w:t xml:space="preserve">Can Dismiss Claim as </w:t>
      </w:r>
      <w:r w:rsidR="00CF5D11">
        <w:rPr>
          <w:i/>
        </w:rPr>
        <w:t>Vexatious</w:t>
      </w:r>
      <w:r>
        <w:rPr>
          <w:i/>
        </w:rPr>
        <w:t xml:space="preserve"> –</w:t>
      </w:r>
      <w:r w:rsidR="00FA1ABD">
        <w:rPr>
          <w:i/>
        </w:rPr>
        <w:t xml:space="preserve"> </w:t>
      </w:r>
      <w:r w:rsidR="00FA1ABD" w:rsidRPr="00F05F40">
        <w:rPr>
          <w:i/>
        </w:rPr>
        <w:t xml:space="preserve">s4.2.10 </w:t>
      </w:r>
      <w:r w:rsidR="00F05F40" w:rsidRPr="00F05F40">
        <w:rPr>
          <w:i/>
        </w:rPr>
        <w:t>LPA</w:t>
      </w:r>
      <w:r w:rsidR="00F05F40">
        <w:t xml:space="preserve"> </w:t>
      </w:r>
      <w:r w:rsidR="00FA1ABD">
        <w:t>–</w:t>
      </w:r>
      <w:r w:rsidR="00873B30" w:rsidRPr="00873B30">
        <w:t xml:space="preserve"> The commissioner may dismiss the complaint if it is vexatious, misconceived, frivolous or lacking in substance</w:t>
      </w:r>
      <w:r w:rsidR="00810ADF">
        <w:t>.</w:t>
      </w:r>
      <w:r w:rsidR="00873B30" w:rsidRPr="00873B30">
        <w:t xml:space="preserve"> </w:t>
      </w:r>
    </w:p>
    <w:p w14:paraId="40573842" w14:textId="77777777" w:rsidR="00B928A6" w:rsidRDefault="00B928A6" w:rsidP="00B928A6">
      <w:pPr>
        <w:pStyle w:val="NoSpacing"/>
        <w:ind w:left="2160"/>
      </w:pPr>
    </w:p>
    <w:p w14:paraId="13585F93" w14:textId="3A4C58B2" w:rsidR="00B928A6" w:rsidRDefault="00B928A6" w:rsidP="0069421D">
      <w:pPr>
        <w:pStyle w:val="NoSpacing"/>
        <w:numPr>
          <w:ilvl w:val="2"/>
          <w:numId w:val="84"/>
        </w:numPr>
      </w:pPr>
      <w:r>
        <w:rPr>
          <w:i/>
        </w:rPr>
        <w:t xml:space="preserve">Can refer for mediation </w:t>
      </w:r>
      <w:r w:rsidR="00C10780">
        <w:rPr>
          <w:i/>
        </w:rPr>
        <w:t xml:space="preserve">or costs assessment </w:t>
      </w:r>
      <w:r>
        <w:rPr>
          <w:i/>
        </w:rPr>
        <w:t xml:space="preserve">– </w:t>
      </w:r>
      <w:proofErr w:type="gramStart"/>
      <w:r w:rsidR="0074334F">
        <w:rPr>
          <w:i/>
        </w:rPr>
        <w:t>s</w:t>
      </w:r>
      <w:r w:rsidR="006832A6" w:rsidRPr="00F05F40">
        <w:rPr>
          <w:i/>
        </w:rPr>
        <w:t>4.3.5(</w:t>
      </w:r>
      <w:proofErr w:type="gramEnd"/>
      <w:r w:rsidR="006832A6" w:rsidRPr="00F05F40">
        <w:rPr>
          <w:i/>
        </w:rPr>
        <w:t>2)</w:t>
      </w:r>
      <w:r w:rsidR="00CF5D11" w:rsidRPr="00F05F40">
        <w:rPr>
          <w:i/>
        </w:rPr>
        <w:t xml:space="preserve"> </w:t>
      </w:r>
      <w:r w:rsidR="00F05F40" w:rsidRPr="00F05F40">
        <w:rPr>
          <w:i/>
        </w:rPr>
        <w:t>LPA</w:t>
      </w:r>
      <w:r w:rsidR="00F05F40">
        <w:t xml:space="preserve"> </w:t>
      </w:r>
      <w:r w:rsidR="00CF5D11">
        <w:t>–</w:t>
      </w:r>
      <w:r w:rsidR="006832A6">
        <w:rPr>
          <w:b/>
          <w:i/>
        </w:rPr>
        <w:t xml:space="preserve"> </w:t>
      </w:r>
      <w:r w:rsidR="006832A6">
        <w:t>Commissioner can take appropriate action for medication or arrange a non</w:t>
      </w:r>
      <w:r w:rsidR="00E42410">
        <w:t>–</w:t>
      </w:r>
      <w:r w:rsidR="006832A6">
        <w:t>binding costs assessment.</w:t>
      </w:r>
    </w:p>
    <w:p w14:paraId="33239A0A" w14:textId="77777777" w:rsidR="00EF6CD1" w:rsidRDefault="00EF6CD1" w:rsidP="00EF6CD1">
      <w:pPr>
        <w:pStyle w:val="ListParagraph"/>
      </w:pPr>
    </w:p>
    <w:p w14:paraId="4160FAE0" w14:textId="3F2C318F" w:rsidR="004409A7" w:rsidRDefault="007E7E07" w:rsidP="0069421D">
      <w:pPr>
        <w:pStyle w:val="NoSpacing"/>
        <w:numPr>
          <w:ilvl w:val="2"/>
          <w:numId w:val="84"/>
        </w:numPr>
      </w:pPr>
      <w:r>
        <w:rPr>
          <w:i/>
        </w:rPr>
        <w:t>Make an Order – s4.3.17</w:t>
      </w:r>
    </w:p>
    <w:p w14:paraId="1D15358C" w14:textId="4A8F323B" w:rsidR="00773B60" w:rsidRPr="00773B60" w:rsidRDefault="002970E4" w:rsidP="0069421D">
      <w:pPr>
        <w:pStyle w:val="NoSpacing"/>
        <w:numPr>
          <w:ilvl w:val="3"/>
          <w:numId w:val="84"/>
        </w:numPr>
      </w:pPr>
      <w:r>
        <w:rPr>
          <w:i/>
        </w:rPr>
        <w:t>Order the p</w:t>
      </w:r>
      <w:r w:rsidR="00773B60">
        <w:rPr>
          <w:i/>
        </w:rPr>
        <w:t>rovi</w:t>
      </w:r>
      <w:r>
        <w:rPr>
          <w:i/>
        </w:rPr>
        <w:t>sion of</w:t>
      </w:r>
      <w:r w:rsidR="00773B60">
        <w:rPr>
          <w:i/>
        </w:rPr>
        <w:t xml:space="preserve"> Legal Services</w:t>
      </w:r>
    </w:p>
    <w:p w14:paraId="5AFD4586" w14:textId="7AD54505" w:rsidR="004409A7" w:rsidRDefault="007E7E07" w:rsidP="0069421D">
      <w:pPr>
        <w:pStyle w:val="NoSpacing"/>
        <w:numPr>
          <w:ilvl w:val="3"/>
          <w:numId w:val="84"/>
        </w:numPr>
      </w:pPr>
      <w:r>
        <w:rPr>
          <w:i/>
        </w:rPr>
        <w:t>Compensation</w:t>
      </w:r>
      <w:r w:rsidR="004409A7">
        <w:rPr>
          <w:i/>
        </w:rPr>
        <w:t xml:space="preserve"> Order – </w:t>
      </w:r>
      <w:r>
        <w:t>Not exceeding $25K</w:t>
      </w:r>
    </w:p>
    <w:p w14:paraId="62C5D464" w14:textId="00EC435C" w:rsidR="007E7E07" w:rsidRPr="007E7E07" w:rsidRDefault="007E7E07" w:rsidP="0069421D">
      <w:pPr>
        <w:pStyle w:val="NoSpacing"/>
        <w:numPr>
          <w:ilvl w:val="3"/>
          <w:numId w:val="84"/>
        </w:numPr>
      </w:pPr>
      <w:r>
        <w:rPr>
          <w:i/>
        </w:rPr>
        <w:t>Waive a lien or repay costs</w:t>
      </w:r>
    </w:p>
    <w:p w14:paraId="02E0D57A" w14:textId="066A4D84" w:rsidR="007E7E07" w:rsidRPr="004409A7" w:rsidRDefault="007E7E07" w:rsidP="0069421D">
      <w:pPr>
        <w:pStyle w:val="NoSpacing"/>
        <w:numPr>
          <w:ilvl w:val="3"/>
          <w:numId w:val="84"/>
        </w:numPr>
      </w:pPr>
      <w:r>
        <w:rPr>
          <w:i/>
        </w:rPr>
        <w:t>Order complainant to pay costs</w:t>
      </w:r>
    </w:p>
    <w:p w14:paraId="148F5D5C" w14:textId="77777777" w:rsidR="004409A7" w:rsidRDefault="004409A7" w:rsidP="004409A7">
      <w:pPr>
        <w:pStyle w:val="ListParagraph"/>
        <w:rPr>
          <w:i/>
        </w:rPr>
      </w:pPr>
    </w:p>
    <w:p w14:paraId="65596FD1" w14:textId="7250D16A" w:rsidR="00EF6CD1" w:rsidRDefault="00E32D54" w:rsidP="0069421D">
      <w:pPr>
        <w:pStyle w:val="NoSpacing"/>
        <w:numPr>
          <w:ilvl w:val="2"/>
          <w:numId w:val="84"/>
        </w:numPr>
      </w:pPr>
      <w:r>
        <w:rPr>
          <w:i/>
        </w:rPr>
        <w:t xml:space="preserve">Unable to resolve, refer to VCAT </w:t>
      </w:r>
      <w:r>
        <w:t xml:space="preserve">– </w:t>
      </w:r>
      <w:r w:rsidR="0074334F" w:rsidRPr="0074334F">
        <w:rPr>
          <w:i/>
        </w:rPr>
        <w:t>s</w:t>
      </w:r>
      <w:r w:rsidRPr="00E32D54">
        <w:rPr>
          <w:i/>
        </w:rPr>
        <w:t>4.3.6; 4.3.7 LPA</w:t>
      </w:r>
      <w:r>
        <w:t xml:space="preserve"> – If the Commissioner is unable to resolve it must notify each party and refer to VCAT</w:t>
      </w:r>
      <w:r w:rsidR="004409A7">
        <w:t>.</w:t>
      </w:r>
    </w:p>
    <w:p w14:paraId="0A4C9DDD" w14:textId="6B7186F1" w:rsidR="00873B30" w:rsidRPr="00873B30" w:rsidRDefault="00873B30" w:rsidP="00DE72A1">
      <w:pPr>
        <w:pStyle w:val="NoSpacing"/>
        <w:numPr>
          <w:ilvl w:val="0"/>
          <w:numId w:val="112"/>
        </w:numPr>
      </w:pPr>
      <w:r w:rsidRPr="006B1335">
        <w:rPr>
          <w:b/>
          <w:u w:val="single"/>
        </w:rPr>
        <w:lastRenderedPageBreak/>
        <w:t>Disciplinary complaint</w:t>
      </w:r>
      <w:r w:rsidR="006B1335" w:rsidRPr="00C05301">
        <w:t xml:space="preserve"> </w:t>
      </w:r>
      <w:r w:rsidR="006B1335">
        <w:t xml:space="preserve">– </w:t>
      </w:r>
      <w:r w:rsidRPr="00873B30">
        <w:t xml:space="preserve"> </w:t>
      </w:r>
    </w:p>
    <w:p w14:paraId="302D6D53" w14:textId="77777777" w:rsidR="00530F8C" w:rsidRDefault="00530F8C" w:rsidP="00530F8C">
      <w:pPr>
        <w:pStyle w:val="NoSpacing"/>
        <w:ind w:left="1440"/>
      </w:pPr>
    </w:p>
    <w:p w14:paraId="23270E24" w14:textId="5B4419DC" w:rsidR="00AD5326" w:rsidRDefault="00AD5326" w:rsidP="0069421D">
      <w:pPr>
        <w:pStyle w:val="NoSpacing"/>
        <w:numPr>
          <w:ilvl w:val="1"/>
          <w:numId w:val="84"/>
        </w:numPr>
      </w:pPr>
      <w:r>
        <w:rPr>
          <w:b/>
          <w:i/>
        </w:rPr>
        <w:t xml:space="preserve">Nature of Complaint </w:t>
      </w:r>
      <w:r>
        <w:t xml:space="preserve">– </w:t>
      </w:r>
      <w:r w:rsidR="0037031A">
        <w:rPr>
          <w:i/>
        </w:rPr>
        <w:t xml:space="preserve">s4.4.1 LPA – </w:t>
      </w:r>
      <w:r w:rsidR="009073A2">
        <w:t>Complaint about the conduct of a lawyer which may amount to</w:t>
      </w:r>
    </w:p>
    <w:p w14:paraId="4E185507" w14:textId="1FD04F90" w:rsidR="009073A2" w:rsidRPr="007A19BD" w:rsidRDefault="00FD1792" w:rsidP="0069421D">
      <w:pPr>
        <w:pStyle w:val="NoSpacing"/>
        <w:numPr>
          <w:ilvl w:val="2"/>
          <w:numId w:val="84"/>
        </w:numPr>
      </w:pPr>
      <w:r>
        <w:rPr>
          <w:i/>
        </w:rPr>
        <w:t>s</w:t>
      </w:r>
      <w:r w:rsidR="009073A2" w:rsidRPr="009073A2">
        <w:rPr>
          <w:i/>
        </w:rPr>
        <w:t>4.4.</w:t>
      </w:r>
      <w:r w:rsidR="00E114A5">
        <w:rPr>
          <w:i/>
        </w:rPr>
        <w:t>2</w:t>
      </w:r>
      <w:r w:rsidR="009073A2">
        <w:t xml:space="preserve"> – </w:t>
      </w:r>
      <w:r w:rsidR="009073A2" w:rsidRPr="00AA0545">
        <w:rPr>
          <w:b/>
          <w:i/>
        </w:rPr>
        <w:t>Unsatisfactory professional conduct</w:t>
      </w:r>
      <w:r w:rsidR="009073A2">
        <w:t xml:space="preserve"> – The conduct of the lawyer </w:t>
      </w:r>
      <w:r w:rsidR="00E76905">
        <w:t xml:space="preserve">which </w:t>
      </w:r>
      <w:r w:rsidR="00E76905" w:rsidRPr="009A749A">
        <w:rPr>
          <w:i/>
        </w:rPr>
        <w:t>‘falls short of the standard of competence and diligence that a member of the public is entitled to expect of a reasonably competent legal practitioner’</w:t>
      </w:r>
    </w:p>
    <w:p w14:paraId="20C69225" w14:textId="1F413F04" w:rsidR="007A19BD" w:rsidRPr="007A19BD" w:rsidRDefault="00D67459" w:rsidP="0069421D">
      <w:pPr>
        <w:pStyle w:val="NoSpacing"/>
        <w:numPr>
          <w:ilvl w:val="3"/>
          <w:numId w:val="84"/>
        </w:numPr>
      </w:pPr>
      <w:r w:rsidRPr="00D67459">
        <w:rPr>
          <w:i/>
          <w:u w:val="single"/>
        </w:rPr>
        <w:t>Satisfying Conduct</w:t>
      </w:r>
      <w:r w:rsidR="007A19BD">
        <w:rPr>
          <w:i/>
        </w:rPr>
        <w:t xml:space="preserve"> – </w:t>
      </w:r>
      <w:r w:rsidR="00456553">
        <w:rPr>
          <w:i/>
        </w:rPr>
        <w:t>s4.4.4</w:t>
      </w:r>
    </w:p>
    <w:p w14:paraId="2CBE97B1" w14:textId="2D950CFC" w:rsidR="00753820" w:rsidRPr="00753820" w:rsidRDefault="00753820" w:rsidP="0069421D">
      <w:pPr>
        <w:pStyle w:val="NoSpacing"/>
        <w:numPr>
          <w:ilvl w:val="4"/>
          <w:numId w:val="84"/>
        </w:numPr>
      </w:pPr>
      <w:r>
        <w:rPr>
          <w:i/>
        </w:rPr>
        <w:t>s4.4.4(a) –</w:t>
      </w:r>
      <w:r w:rsidR="00E0585A">
        <w:rPr>
          <w:i/>
        </w:rPr>
        <w:t xml:space="preserve"> Contravention of LPA or Professional Rules</w:t>
      </w:r>
    </w:p>
    <w:p w14:paraId="4F4CD66F" w14:textId="34579D5B" w:rsidR="00753820" w:rsidRPr="00753820" w:rsidRDefault="00753820" w:rsidP="0069421D">
      <w:pPr>
        <w:pStyle w:val="NoSpacing"/>
        <w:numPr>
          <w:ilvl w:val="4"/>
          <w:numId w:val="84"/>
        </w:numPr>
      </w:pPr>
      <w:r>
        <w:rPr>
          <w:i/>
        </w:rPr>
        <w:t>s4.4.4(b) –</w:t>
      </w:r>
      <w:r w:rsidR="00E0585A">
        <w:rPr>
          <w:i/>
        </w:rPr>
        <w:t xml:space="preserve"> Charing excessive legal costs</w:t>
      </w:r>
    </w:p>
    <w:p w14:paraId="7BA01925" w14:textId="7D304E4B" w:rsidR="00753820" w:rsidRPr="0074728B" w:rsidRDefault="00753820" w:rsidP="0069421D">
      <w:pPr>
        <w:pStyle w:val="NoSpacing"/>
        <w:numPr>
          <w:ilvl w:val="4"/>
          <w:numId w:val="84"/>
        </w:numPr>
        <w:rPr>
          <w:b/>
        </w:rPr>
      </w:pPr>
      <w:r w:rsidRPr="0074728B">
        <w:rPr>
          <w:i/>
        </w:rPr>
        <w:t>s4.4.4(c) –</w:t>
      </w:r>
      <w:r w:rsidR="00E0585A" w:rsidRPr="0074728B">
        <w:rPr>
          <w:i/>
        </w:rPr>
        <w:t xml:space="preserve"> (i) Serious offence, (ii) Tax offence, </w:t>
      </w:r>
      <w:r w:rsidR="00E0585A" w:rsidRPr="0074728B">
        <w:rPr>
          <w:b/>
          <w:i/>
        </w:rPr>
        <w:tab/>
      </w:r>
      <w:r w:rsidR="00E0585A" w:rsidRPr="0074728B">
        <w:rPr>
          <w:b/>
          <w:i/>
        </w:rPr>
        <w:tab/>
        <w:t xml:space="preserve">      </w:t>
      </w:r>
      <w:r w:rsidR="00E0585A" w:rsidRPr="0074728B">
        <w:rPr>
          <w:b/>
          <w:i/>
          <w:u w:val="single"/>
        </w:rPr>
        <w:t>(iii) Dishonesty</w:t>
      </w:r>
    </w:p>
    <w:p w14:paraId="18A76E68" w14:textId="1604D25D" w:rsidR="00753820" w:rsidRPr="00753820" w:rsidRDefault="00753820" w:rsidP="0069421D">
      <w:pPr>
        <w:pStyle w:val="NoSpacing"/>
        <w:numPr>
          <w:ilvl w:val="4"/>
          <w:numId w:val="84"/>
        </w:numPr>
      </w:pPr>
      <w:r>
        <w:rPr>
          <w:i/>
        </w:rPr>
        <w:t>s4.4.4(d) –</w:t>
      </w:r>
      <w:r w:rsidR="000A1443">
        <w:rPr>
          <w:i/>
        </w:rPr>
        <w:t xml:space="preserve"> Becoming insolvent under administration</w:t>
      </w:r>
    </w:p>
    <w:p w14:paraId="30350048" w14:textId="52070024" w:rsidR="00753820" w:rsidRPr="00753820" w:rsidRDefault="00753820" w:rsidP="0069421D">
      <w:pPr>
        <w:pStyle w:val="NoSpacing"/>
        <w:numPr>
          <w:ilvl w:val="4"/>
          <w:numId w:val="84"/>
        </w:numPr>
      </w:pPr>
      <w:r>
        <w:rPr>
          <w:i/>
        </w:rPr>
        <w:t>s4.4.4(e) –</w:t>
      </w:r>
      <w:r w:rsidR="000A1443">
        <w:rPr>
          <w:i/>
        </w:rPr>
        <w:t xml:space="preserve"> Disqualified from managing any corporation</w:t>
      </w:r>
    </w:p>
    <w:p w14:paraId="6BB88BEC" w14:textId="719D546B" w:rsidR="00753820" w:rsidRPr="00753820" w:rsidRDefault="00753820" w:rsidP="0069421D">
      <w:pPr>
        <w:pStyle w:val="NoSpacing"/>
        <w:numPr>
          <w:ilvl w:val="4"/>
          <w:numId w:val="84"/>
        </w:numPr>
      </w:pPr>
      <w:r>
        <w:rPr>
          <w:i/>
        </w:rPr>
        <w:t>s4.4.4(f) –</w:t>
      </w:r>
      <w:r w:rsidR="000A1443">
        <w:rPr>
          <w:i/>
        </w:rPr>
        <w:t xml:space="preserve"> Failing to comply with any Tribunal order</w:t>
      </w:r>
    </w:p>
    <w:p w14:paraId="315F7193" w14:textId="3BBC89ED" w:rsidR="00753820" w:rsidRPr="00753820" w:rsidRDefault="00753820" w:rsidP="0069421D">
      <w:pPr>
        <w:pStyle w:val="NoSpacing"/>
        <w:numPr>
          <w:ilvl w:val="4"/>
          <w:numId w:val="84"/>
        </w:numPr>
      </w:pPr>
      <w:r>
        <w:rPr>
          <w:i/>
        </w:rPr>
        <w:t>s4.4.4(g) –</w:t>
      </w:r>
      <w:r w:rsidR="000A1443">
        <w:rPr>
          <w:i/>
        </w:rPr>
        <w:t xml:space="preserve"> Failing to comply with Compensation order</w:t>
      </w:r>
    </w:p>
    <w:p w14:paraId="11211A79" w14:textId="77777777" w:rsidR="000D089F" w:rsidRPr="000D089F" w:rsidRDefault="000D089F" w:rsidP="000D089F">
      <w:pPr>
        <w:pStyle w:val="NoSpacing"/>
        <w:ind w:left="2160"/>
      </w:pPr>
    </w:p>
    <w:p w14:paraId="041B7164" w14:textId="44D0149F" w:rsidR="009073A2" w:rsidRDefault="00FD1792" w:rsidP="0069421D">
      <w:pPr>
        <w:pStyle w:val="NoSpacing"/>
        <w:numPr>
          <w:ilvl w:val="2"/>
          <w:numId w:val="84"/>
        </w:numPr>
      </w:pPr>
      <w:r>
        <w:rPr>
          <w:i/>
        </w:rPr>
        <w:t>s</w:t>
      </w:r>
      <w:r w:rsidR="00AA0545">
        <w:rPr>
          <w:i/>
        </w:rPr>
        <w:t>4.4.</w:t>
      </w:r>
      <w:r w:rsidR="00E114A5">
        <w:rPr>
          <w:i/>
        </w:rPr>
        <w:t>3</w:t>
      </w:r>
      <w:r w:rsidR="00AA0545">
        <w:rPr>
          <w:i/>
        </w:rPr>
        <w:t xml:space="preserve"> – </w:t>
      </w:r>
      <w:r w:rsidR="00AA0545">
        <w:rPr>
          <w:b/>
          <w:i/>
        </w:rPr>
        <w:t xml:space="preserve">Professional Misconduct </w:t>
      </w:r>
      <w:r w:rsidR="00AA0545">
        <w:rPr>
          <w:i/>
        </w:rPr>
        <w:t xml:space="preserve">– </w:t>
      </w:r>
      <w:r w:rsidR="000D089F">
        <w:t xml:space="preserve">The conduct of the lawyer is such that </w:t>
      </w:r>
      <w:r w:rsidR="007B2D61">
        <w:t xml:space="preserve">it involves a </w:t>
      </w:r>
      <w:r w:rsidR="007B2D61" w:rsidRPr="00224BA7">
        <w:rPr>
          <w:u w:val="single"/>
        </w:rPr>
        <w:t>substantial or consistent failure</w:t>
      </w:r>
      <w:r w:rsidR="007B2D61">
        <w:t xml:space="preserve"> to reach or maintain a reasonable standard of competence and diligence.</w:t>
      </w:r>
    </w:p>
    <w:p w14:paraId="1C66F84A" w14:textId="4ADC0749" w:rsidR="00314855" w:rsidRDefault="00314855" w:rsidP="0069421D">
      <w:pPr>
        <w:pStyle w:val="NoSpacing"/>
        <w:numPr>
          <w:ilvl w:val="3"/>
          <w:numId w:val="84"/>
        </w:numPr>
      </w:pPr>
      <w:r w:rsidRPr="00FD1792">
        <w:rPr>
          <w:i/>
        </w:rPr>
        <w:t>Satisfying Conduct</w:t>
      </w:r>
      <w:r>
        <w:rPr>
          <w:i/>
        </w:rPr>
        <w:t xml:space="preserve"> – s4.4.4 </w:t>
      </w:r>
    </w:p>
    <w:p w14:paraId="76104EC3" w14:textId="2D74AD59" w:rsidR="00314855" w:rsidRPr="00FD1792" w:rsidRDefault="00314855" w:rsidP="0069421D">
      <w:pPr>
        <w:pStyle w:val="NoSpacing"/>
        <w:numPr>
          <w:ilvl w:val="3"/>
          <w:numId w:val="84"/>
        </w:numPr>
      </w:pPr>
      <w:r w:rsidRPr="00FD1792">
        <w:rPr>
          <w:i/>
        </w:rPr>
        <w:t>Failing to comply with condition on practising certificate</w:t>
      </w:r>
      <w:r w:rsidR="000110A0" w:rsidRPr="00FD1792">
        <w:rPr>
          <w:i/>
        </w:rPr>
        <w:t xml:space="preserve"> – s4.4.5</w:t>
      </w:r>
    </w:p>
    <w:p w14:paraId="2C564A94" w14:textId="77777777" w:rsidR="00AD5326" w:rsidRPr="00AD5326" w:rsidRDefault="00AD5326" w:rsidP="00AD5326">
      <w:pPr>
        <w:pStyle w:val="NoSpacing"/>
        <w:ind w:left="1440"/>
      </w:pPr>
    </w:p>
    <w:p w14:paraId="60EA9D28" w14:textId="4554A623" w:rsidR="00530F8C" w:rsidRPr="00AC6C48" w:rsidRDefault="00530F8C" w:rsidP="0069421D">
      <w:pPr>
        <w:pStyle w:val="NoSpacing"/>
        <w:numPr>
          <w:ilvl w:val="1"/>
          <w:numId w:val="84"/>
        </w:numPr>
      </w:pPr>
      <w:r>
        <w:rPr>
          <w:b/>
          <w:i/>
        </w:rPr>
        <w:t xml:space="preserve">Who can complain </w:t>
      </w:r>
      <w:r>
        <w:t xml:space="preserve">– </w:t>
      </w:r>
      <w:r w:rsidRPr="004624F2">
        <w:rPr>
          <w:rFonts w:cs="Times New Roman"/>
          <w:i/>
          <w:szCs w:val="24"/>
        </w:rPr>
        <w:t xml:space="preserve">Vic </w:t>
      </w:r>
      <w:proofErr w:type="spellStart"/>
      <w:r w:rsidRPr="004624F2">
        <w:rPr>
          <w:rFonts w:cs="Times New Roman"/>
          <w:i/>
          <w:szCs w:val="24"/>
        </w:rPr>
        <w:t>ss</w:t>
      </w:r>
      <w:proofErr w:type="spellEnd"/>
      <w:r w:rsidRPr="004624F2">
        <w:rPr>
          <w:rFonts w:cs="Times New Roman"/>
          <w:i/>
          <w:szCs w:val="24"/>
        </w:rPr>
        <w:t xml:space="preserve"> 4.2.4(</w:t>
      </w:r>
      <w:r>
        <w:rPr>
          <w:rFonts w:cs="Times New Roman"/>
          <w:i/>
          <w:szCs w:val="24"/>
        </w:rPr>
        <w:t>2</w:t>
      </w:r>
      <w:r w:rsidRPr="004624F2">
        <w:rPr>
          <w:rFonts w:cs="Times New Roman"/>
          <w:i/>
          <w:szCs w:val="24"/>
        </w:rPr>
        <w:t xml:space="preserve">), 4.2.5, 4.2.6 </w:t>
      </w:r>
      <w:r w:rsidRPr="004624F2">
        <w:rPr>
          <w:i/>
        </w:rPr>
        <w:t>LPA</w:t>
      </w:r>
      <w:r>
        <w:t xml:space="preserve"> </w:t>
      </w:r>
      <w:r>
        <w:rPr>
          <w:rFonts w:cs="Times New Roman"/>
          <w:szCs w:val="24"/>
        </w:rPr>
        <w:t xml:space="preserve">– </w:t>
      </w:r>
      <w:r>
        <w:t>Any person who has a civil dispute with a lawyer can make a complaint to the Legal Services Commissioner</w:t>
      </w:r>
    </w:p>
    <w:p w14:paraId="239BE32C" w14:textId="77777777" w:rsidR="00530F8C" w:rsidRDefault="00530F8C" w:rsidP="0069421D">
      <w:pPr>
        <w:pStyle w:val="NoSpacing"/>
        <w:numPr>
          <w:ilvl w:val="2"/>
          <w:numId w:val="84"/>
        </w:numPr>
      </w:pPr>
      <w:r w:rsidRPr="009D65ED">
        <w:rPr>
          <w:i/>
        </w:rPr>
        <w:t xml:space="preserve">Time Limit </w:t>
      </w:r>
      <w:r w:rsidRPr="009D65ED">
        <w:t>–</w:t>
      </w:r>
      <w:r>
        <w:t xml:space="preserve"> </w:t>
      </w:r>
      <w:r w:rsidRPr="00C80BAE">
        <w:rPr>
          <w:i/>
        </w:rPr>
        <w:t>s</w:t>
      </w:r>
      <w:r w:rsidRPr="001E4BD9">
        <w:rPr>
          <w:i/>
        </w:rPr>
        <w:t xml:space="preserve">4.2.6 LPA </w:t>
      </w:r>
      <w:r>
        <w:t>– Must be made within 6 years</w:t>
      </w:r>
    </w:p>
    <w:p w14:paraId="0F48F5DA" w14:textId="77777777" w:rsidR="005B4BA1" w:rsidRDefault="005B4BA1" w:rsidP="005B4BA1">
      <w:pPr>
        <w:pStyle w:val="NoSpacing"/>
        <w:ind w:left="2160"/>
      </w:pPr>
    </w:p>
    <w:p w14:paraId="36D11CC1" w14:textId="5B0668C5" w:rsidR="005B4BA1" w:rsidRDefault="006F1342" w:rsidP="0069421D">
      <w:pPr>
        <w:pStyle w:val="NoSpacing"/>
        <w:numPr>
          <w:ilvl w:val="2"/>
          <w:numId w:val="84"/>
        </w:numPr>
      </w:pPr>
      <w:r>
        <w:rPr>
          <w:i/>
        </w:rPr>
        <w:t>Commissioner can investigate without complaint – S4.4.8 –</w:t>
      </w:r>
      <w:r>
        <w:t>Commissioner can investigate complaint for unsatisfactory professional conduct or professional</w:t>
      </w:r>
      <w:r w:rsidR="00B23EE0">
        <w:t xml:space="preserve"> misconduct without complaint.</w:t>
      </w:r>
    </w:p>
    <w:p w14:paraId="1EF5A194" w14:textId="77777777" w:rsidR="00873B30" w:rsidRPr="00873B30" w:rsidRDefault="00873B30" w:rsidP="00873B30">
      <w:pPr>
        <w:pStyle w:val="NoSpacing"/>
      </w:pPr>
    </w:p>
    <w:p w14:paraId="42B07DF8" w14:textId="77777777" w:rsidR="00920118" w:rsidRDefault="00E204E7" w:rsidP="0069421D">
      <w:pPr>
        <w:pStyle w:val="NoSpacing"/>
        <w:numPr>
          <w:ilvl w:val="1"/>
          <w:numId w:val="84"/>
        </w:numPr>
      </w:pPr>
      <w:r w:rsidRPr="00FB670C">
        <w:rPr>
          <w:b/>
          <w:i/>
        </w:rPr>
        <w:t>Commissioner Must Attempt to Resolve –</w:t>
      </w:r>
      <w:r w:rsidR="00215350">
        <w:rPr>
          <w:b/>
          <w:i/>
        </w:rPr>
        <w:t xml:space="preserve"> </w:t>
      </w:r>
      <w:r w:rsidR="00215350" w:rsidRPr="00215350">
        <w:rPr>
          <w:i/>
        </w:rPr>
        <w:t>s4.4.10(3); s4.4.13</w:t>
      </w:r>
      <w:r w:rsidR="000971BE">
        <w:rPr>
          <w:i/>
        </w:rPr>
        <w:t xml:space="preserve"> LPA</w:t>
      </w:r>
    </w:p>
    <w:p w14:paraId="07DD6824" w14:textId="77777777" w:rsidR="00920118" w:rsidRDefault="00920118" w:rsidP="00920118">
      <w:pPr>
        <w:pStyle w:val="NoSpacing"/>
        <w:ind w:left="1440"/>
      </w:pPr>
    </w:p>
    <w:p w14:paraId="4E4CA2EF" w14:textId="04DE5620" w:rsidR="00920118" w:rsidRDefault="00726330" w:rsidP="0069421D">
      <w:pPr>
        <w:pStyle w:val="NoSpacing"/>
        <w:numPr>
          <w:ilvl w:val="2"/>
          <w:numId w:val="84"/>
        </w:numPr>
      </w:pPr>
      <w:r>
        <w:rPr>
          <w:i/>
        </w:rPr>
        <w:t xml:space="preserve">Refer to VCAT if ‘reasonable likelihood’ is established – </w:t>
      </w:r>
      <w:r w:rsidRPr="001E4CB2">
        <w:t>I</w:t>
      </w:r>
      <w:r w:rsidR="00920118" w:rsidRPr="001E4CB2">
        <w:t xml:space="preserve">f </w:t>
      </w:r>
      <w:r w:rsidR="00920118">
        <w:t>satisfied that there is reasonable likely hood that VCAT would find the lawyer guilty of professional miscond</w:t>
      </w:r>
      <w:r>
        <w:t>uct, apply to VCAT for an order</w:t>
      </w:r>
      <w:r w:rsidR="00D27180">
        <w:t>.</w:t>
      </w:r>
    </w:p>
    <w:p w14:paraId="6D137BAB" w14:textId="77777777" w:rsidR="00920118" w:rsidRDefault="00920118" w:rsidP="00920118">
      <w:pPr>
        <w:pStyle w:val="ListParagraph"/>
      </w:pPr>
    </w:p>
    <w:p w14:paraId="76CDFB76" w14:textId="69ED632F" w:rsidR="00D27180" w:rsidRPr="00031BC8" w:rsidRDefault="00FE201C" w:rsidP="0069421D">
      <w:pPr>
        <w:pStyle w:val="NoSpacing"/>
        <w:numPr>
          <w:ilvl w:val="2"/>
          <w:numId w:val="84"/>
        </w:numPr>
        <w:rPr>
          <w:i/>
        </w:rPr>
      </w:pPr>
      <w:r w:rsidRPr="00673E4D">
        <w:rPr>
          <w:i/>
          <w:u w:val="single"/>
        </w:rPr>
        <w:t xml:space="preserve">‘reasonable </w:t>
      </w:r>
      <w:r w:rsidRPr="00031BC8">
        <w:rPr>
          <w:i/>
          <w:u w:val="single"/>
        </w:rPr>
        <w:t xml:space="preserve">likelihood’ </w:t>
      </w:r>
      <w:r w:rsidRPr="00031BC8">
        <w:rPr>
          <w:i/>
        </w:rPr>
        <w:t xml:space="preserve">– </w:t>
      </w:r>
      <w:r w:rsidR="00D27180" w:rsidRPr="00031BC8">
        <w:rPr>
          <w:i/>
        </w:rPr>
        <w:t>Process – s4.4.13</w:t>
      </w:r>
      <w:r w:rsidR="00227D2A" w:rsidRPr="00031BC8">
        <w:rPr>
          <w:i/>
        </w:rPr>
        <w:t>(3)</w:t>
      </w:r>
      <w:r w:rsidR="000627C2" w:rsidRPr="000627C2">
        <w:rPr>
          <w:i/>
        </w:rPr>
        <w:t xml:space="preserve"> </w:t>
      </w:r>
      <w:r w:rsidR="000627C2">
        <w:rPr>
          <w:i/>
        </w:rPr>
        <w:t>LPA</w:t>
      </w:r>
    </w:p>
    <w:p w14:paraId="2CFD82F9" w14:textId="77777777" w:rsidR="00D27180" w:rsidRDefault="00920118" w:rsidP="0069421D">
      <w:pPr>
        <w:pStyle w:val="NoSpacing"/>
        <w:numPr>
          <w:ilvl w:val="3"/>
          <w:numId w:val="84"/>
        </w:numPr>
      </w:pPr>
      <w:r>
        <w:t xml:space="preserve">(a) apply to VCAT for an order in respect of the lawyer; </w:t>
      </w:r>
    </w:p>
    <w:p w14:paraId="14964521" w14:textId="77777777" w:rsidR="00D27180" w:rsidRDefault="00920118" w:rsidP="0069421D">
      <w:pPr>
        <w:pStyle w:val="NoSpacing"/>
        <w:numPr>
          <w:ilvl w:val="3"/>
          <w:numId w:val="84"/>
        </w:numPr>
      </w:pPr>
      <w:r>
        <w:t xml:space="preserve">(b) reprimand or caution the lawyer (with his or her consent); or </w:t>
      </w:r>
    </w:p>
    <w:p w14:paraId="4BD20A01" w14:textId="7B98CB3D" w:rsidR="00920118" w:rsidRDefault="00920118" w:rsidP="0069421D">
      <w:pPr>
        <w:pStyle w:val="NoSpacing"/>
        <w:numPr>
          <w:ilvl w:val="3"/>
          <w:numId w:val="84"/>
        </w:numPr>
      </w:pPr>
      <w:r>
        <w:t xml:space="preserve">(c ) take no further action if satisfied that the lawyer is generally competent and diligent and not subject of another substantiated complaint within the last five years </w:t>
      </w:r>
    </w:p>
    <w:p w14:paraId="53D69CBB" w14:textId="77777777" w:rsidR="00920118" w:rsidRDefault="00920118" w:rsidP="00920118">
      <w:pPr>
        <w:pStyle w:val="ListParagraph"/>
      </w:pPr>
    </w:p>
    <w:p w14:paraId="0537F79F" w14:textId="77777777" w:rsidR="00605E05" w:rsidRPr="00605E05" w:rsidRDefault="000741BC" w:rsidP="0069421D">
      <w:pPr>
        <w:pStyle w:val="NoSpacing"/>
        <w:numPr>
          <w:ilvl w:val="2"/>
          <w:numId w:val="84"/>
        </w:numPr>
      </w:pPr>
      <w:r w:rsidRPr="000741BC">
        <w:rPr>
          <w:i/>
          <w:u w:val="single"/>
        </w:rPr>
        <w:t>‘no reasonable likelihood’</w:t>
      </w:r>
      <w:r>
        <w:t xml:space="preserve"> </w:t>
      </w:r>
      <w:r w:rsidR="00464088" w:rsidRPr="00031BC8">
        <w:rPr>
          <w:i/>
        </w:rPr>
        <w:t>– Process – s4.4.13(3)</w:t>
      </w:r>
      <w:r w:rsidR="00464088" w:rsidRPr="000627C2">
        <w:rPr>
          <w:i/>
        </w:rPr>
        <w:t xml:space="preserve"> </w:t>
      </w:r>
      <w:r w:rsidR="00464088">
        <w:rPr>
          <w:i/>
        </w:rPr>
        <w:t xml:space="preserve">LPA – </w:t>
      </w:r>
    </w:p>
    <w:p w14:paraId="6A5D6CB9" w14:textId="4C09957D" w:rsidR="00920118" w:rsidRPr="00920118" w:rsidRDefault="009D6FAB" w:rsidP="0069421D">
      <w:pPr>
        <w:pStyle w:val="NoSpacing"/>
        <w:numPr>
          <w:ilvl w:val="3"/>
          <w:numId w:val="84"/>
        </w:numPr>
      </w:pPr>
      <w:r>
        <w:t>I</w:t>
      </w:r>
      <w:r w:rsidR="00920118">
        <w:t xml:space="preserve">f satisfied that there is no reasonable likely hood that VCAT would find the lawyer guilty of professional misconduct or unsatisfactory professional conduct take no further action. </w:t>
      </w:r>
    </w:p>
    <w:p w14:paraId="1CC261DB" w14:textId="73E37060" w:rsidR="00786D69" w:rsidRDefault="00786D69" w:rsidP="00DE72A1">
      <w:pPr>
        <w:pStyle w:val="NoSpacing"/>
        <w:numPr>
          <w:ilvl w:val="0"/>
          <w:numId w:val="112"/>
        </w:numPr>
      </w:pPr>
      <w:r>
        <w:rPr>
          <w:b/>
          <w:u w:val="single"/>
        </w:rPr>
        <w:lastRenderedPageBreak/>
        <w:t xml:space="preserve">Factors to consider </w:t>
      </w:r>
      <w:r>
        <w:t xml:space="preserve">– </w:t>
      </w:r>
    </w:p>
    <w:p w14:paraId="639673A2" w14:textId="64025C10" w:rsidR="00786D69" w:rsidRDefault="00786D69" w:rsidP="00786D69">
      <w:pPr>
        <w:pStyle w:val="NoSpacing"/>
        <w:ind w:left="720"/>
      </w:pPr>
    </w:p>
    <w:p w14:paraId="7B793DB3" w14:textId="19CF81B1" w:rsidR="00786D69" w:rsidRDefault="00786D69" w:rsidP="0069421D">
      <w:pPr>
        <w:pStyle w:val="NoSpacing"/>
        <w:numPr>
          <w:ilvl w:val="1"/>
          <w:numId w:val="84"/>
        </w:numPr>
      </w:pPr>
      <w:r>
        <w:rPr>
          <w:b/>
          <w:i/>
        </w:rPr>
        <w:t xml:space="preserve">Frequency of misconduct </w:t>
      </w:r>
      <w:r>
        <w:t xml:space="preserve">– If the </w:t>
      </w:r>
      <w:r w:rsidR="00B81093">
        <w:t>lawyer’s</w:t>
      </w:r>
      <w:r>
        <w:t xml:space="preserve"> misconduct is a relevantly isolated incident then a less </w:t>
      </w:r>
      <w:r w:rsidR="00B81093">
        <w:t>severe</w:t>
      </w:r>
      <w:r>
        <w:t xml:space="preserve"> disciplinary sanction is typically </w:t>
      </w:r>
      <w:r w:rsidR="00B81093">
        <w:t>awarded</w:t>
      </w:r>
      <w:r>
        <w:t>.</w:t>
      </w:r>
    </w:p>
    <w:p w14:paraId="05E799DE" w14:textId="22799ED4" w:rsidR="00786D69" w:rsidRPr="00B81093" w:rsidRDefault="005C02B8" w:rsidP="0069421D">
      <w:pPr>
        <w:pStyle w:val="NoSpacing"/>
        <w:numPr>
          <w:ilvl w:val="2"/>
          <w:numId w:val="84"/>
        </w:numPr>
      </w:pPr>
      <w:r>
        <w:rPr>
          <w:i/>
        </w:rPr>
        <w:t>Attorney</w:t>
      </w:r>
      <w:r w:rsidR="00E42410">
        <w:rPr>
          <w:i/>
        </w:rPr>
        <w:t>–</w:t>
      </w:r>
      <w:r>
        <w:rPr>
          <w:i/>
        </w:rPr>
        <w:t xml:space="preserve">General v </w:t>
      </w:r>
      <w:proofErr w:type="spellStart"/>
      <w:r>
        <w:rPr>
          <w:i/>
        </w:rPr>
        <w:t>Bax</w:t>
      </w:r>
      <w:proofErr w:type="spellEnd"/>
    </w:p>
    <w:p w14:paraId="48AF30B4" w14:textId="77777777" w:rsidR="00B81093" w:rsidRPr="00786D69" w:rsidRDefault="00B81093" w:rsidP="00B81093">
      <w:pPr>
        <w:pStyle w:val="NoSpacing"/>
        <w:ind w:left="2160"/>
      </w:pPr>
    </w:p>
    <w:p w14:paraId="54725AB9" w14:textId="366F85B3" w:rsidR="00584340" w:rsidRDefault="00584340" w:rsidP="0069421D">
      <w:pPr>
        <w:pStyle w:val="NoSpacing"/>
        <w:numPr>
          <w:ilvl w:val="1"/>
          <w:numId w:val="84"/>
        </w:numPr>
      </w:pPr>
      <w:r>
        <w:rPr>
          <w:b/>
          <w:i/>
        </w:rPr>
        <w:t xml:space="preserve">Seriousness of Misconduct </w:t>
      </w:r>
      <w:r>
        <w:t xml:space="preserve">– The seriousness of the misconduct and the relevant reflection on the </w:t>
      </w:r>
      <w:proofErr w:type="gramStart"/>
      <w:r>
        <w:t>lawyers</w:t>
      </w:r>
      <w:proofErr w:type="gramEnd"/>
      <w:r>
        <w:t xml:space="preserve"> character are important considerations such as assisting inquiries and being honest.</w:t>
      </w:r>
    </w:p>
    <w:p w14:paraId="6F6902F5" w14:textId="1F0AA786" w:rsidR="00584340" w:rsidRDefault="00384340" w:rsidP="0069421D">
      <w:pPr>
        <w:pStyle w:val="NoSpacing"/>
        <w:numPr>
          <w:ilvl w:val="2"/>
          <w:numId w:val="84"/>
        </w:numPr>
      </w:pPr>
      <w:r>
        <w:rPr>
          <w:i/>
        </w:rPr>
        <w:t>QLD Law Society v Cummings</w:t>
      </w:r>
    </w:p>
    <w:p w14:paraId="2E8A6A67" w14:textId="77777777" w:rsidR="00584340" w:rsidRDefault="00584340" w:rsidP="00584340">
      <w:pPr>
        <w:pStyle w:val="NoSpacing"/>
        <w:ind w:left="2160"/>
      </w:pPr>
    </w:p>
    <w:p w14:paraId="5C06E6BE" w14:textId="3386B282" w:rsidR="00584340" w:rsidRDefault="009741CE" w:rsidP="0069421D">
      <w:pPr>
        <w:pStyle w:val="NoSpacing"/>
        <w:numPr>
          <w:ilvl w:val="1"/>
          <w:numId w:val="84"/>
        </w:numPr>
      </w:pPr>
      <w:r>
        <w:rPr>
          <w:b/>
          <w:i/>
        </w:rPr>
        <w:t xml:space="preserve">Lawyers Attitude </w:t>
      </w:r>
      <w:r>
        <w:t xml:space="preserve">– If the lawyer assists </w:t>
      </w:r>
      <w:proofErr w:type="gramStart"/>
      <w:r>
        <w:t>inquiries,</w:t>
      </w:r>
      <w:proofErr w:type="gramEnd"/>
      <w:r>
        <w:t xml:space="preserve"> does not attempt to conceal or downplay the seriousness of their misconduct and is open, honest and transparent then this demonstrates that the lawyer is still one of good character and candour.</w:t>
      </w:r>
    </w:p>
    <w:p w14:paraId="517B04AF" w14:textId="61C8EFFB" w:rsidR="009741CE" w:rsidRPr="00625B11" w:rsidRDefault="00625B11" w:rsidP="0069421D">
      <w:pPr>
        <w:pStyle w:val="NoSpacing"/>
        <w:numPr>
          <w:ilvl w:val="2"/>
          <w:numId w:val="84"/>
        </w:numPr>
      </w:pPr>
      <w:r w:rsidRPr="00625B11">
        <w:rPr>
          <w:i/>
        </w:rPr>
        <w:t xml:space="preserve">NSW Bar v </w:t>
      </w:r>
      <w:proofErr w:type="spellStart"/>
      <w:r w:rsidRPr="00625B11">
        <w:rPr>
          <w:i/>
        </w:rPr>
        <w:t>Livesey</w:t>
      </w:r>
      <w:proofErr w:type="spellEnd"/>
    </w:p>
    <w:p w14:paraId="1AD3E085" w14:textId="77777777" w:rsidR="00625B11" w:rsidRPr="00625B11" w:rsidRDefault="00625B11" w:rsidP="00625B11">
      <w:pPr>
        <w:pStyle w:val="NoSpacing"/>
        <w:ind w:left="2160"/>
      </w:pPr>
    </w:p>
    <w:p w14:paraId="74AB65AB" w14:textId="56F176C2" w:rsidR="00625B11" w:rsidRDefault="003B6F62" w:rsidP="0069421D">
      <w:pPr>
        <w:pStyle w:val="NoSpacing"/>
        <w:numPr>
          <w:ilvl w:val="1"/>
          <w:numId w:val="84"/>
        </w:numPr>
      </w:pPr>
      <w:r>
        <w:rPr>
          <w:b/>
          <w:i/>
        </w:rPr>
        <w:t xml:space="preserve">Level of appreciation of wrongdoing </w:t>
      </w:r>
      <w:r>
        <w:t xml:space="preserve">– </w:t>
      </w:r>
      <w:r w:rsidR="00152AA7">
        <w:t>A disregard for the seriousness of the misconduct and the gravity of any related disciplinary hearings can display the appropriate level of conduct to show that the lawyer is unfit to practice.</w:t>
      </w:r>
    </w:p>
    <w:p w14:paraId="7E965262" w14:textId="67E36964" w:rsidR="00152AA7" w:rsidRPr="00A52F2D" w:rsidRDefault="00152AA7" w:rsidP="0069421D">
      <w:pPr>
        <w:pStyle w:val="NoSpacing"/>
        <w:numPr>
          <w:ilvl w:val="2"/>
          <w:numId w:val="84"/>
        </w:numPr>
      </w:pPr>
      <w:r w:rsidRPr="00A52F2D">
        <w:rPr>
          <w:i/>
        </w:rPr>
        <w:t>Law Society of NSW v Foreman</w:t>
      </w:r>
    </w:p>
    <w:p w14:paraId="0CC3D9F2" w14:textId="77777777" w:rsidR="00A52F2D" w:rsidRDefault="00A52F2D" w:rsidP="00A52F2D">
      <w:pPr>
        <w:pStyle w:val="NoSpacing"/>
        <w:ind w:left="2160"/>
      </w:pPr>
    </w:p>
    <w:p w14:paraId="195C80BF" w14:textId="02FF8FA5" w:rsidR="00A52F2D" w:rsidRDefault="003747F3" w:rsidP="0069421D">
      <w:pPr>
        <w:pStyle w:val="NoSpacing"/>
        <w:numPr>
          <w:ilvl w:val="1"/>
          <w:numId w:val="84"/>
        </w:numPr>
      </w:pPr>
      <w:r>
        <w:rPr>
          <w:b/>
          <w:i/>
        </w:rPr>
        <w:t xml:space="preserve">Level of Experience </w:t>
      </w:r>
      <w:r>
        <w:t xml:space="preserve">– The </w:t>
      </w:r>
      <w:proofErr w:type="gramStart"/>
      <w:r>
        <w:t>lawyers</w:t>
      </w:r>
      <w:proofErr w:type="gramEnd"/>
      <w:r>
        <w:t xml:space="preserve"> level of experience can be a conflicting source since a single breach in a very experienced lawyer should not receive disciplinary action – yet it can also suggest that the lawyer should have known better.</w:t>
      </w:r>
    </w:p>
    <w:p w14:paraId="21365D1F" w14:textId="0FEB3562" w:rsidR="003747F3" w:rsidRPr="00D04868" w:rsidRDefault="00A5732F" w:rsidP="0069421D">
      <w:pPr>
        <w:pStyle w:val="NoSpacing"/>
        <w:numPr>
          <w:ilvl w:val="2"/>
          <w:numId w:val="84"/>
        </w:numPr>
      </w:pPr>
      <w:proofErr w:type="spellStart"/>
      <w:r w:rsidRPr="00D04868">
        <w:rPr>
          <w:i/>
        </w:rPr>
        <w:t>Guss</w:t>
      </w:r>
      <w:proofErr w:type="spellEnd"/>
      <w:r w:rsidRPr="00D04868">
        <w:rPr>
          <w:i/>
        </w:rPr>
        <w:t xml:space="preserve"> v Law Institute of Victoria</w:t>
      </w:r>
    </w:p>
    <w:p w14:paraId="35307270" w14:textId="77777777" w:rsidR="00D04868" w:rsidRPr="00D04868" w:rsidRDefault="00D04868" w:rsidP="00D04868">
      <w:pPr>
        <w:pStyle w:val="NoSpacing"/>
        <w:ind w:left="2160"/>
      </w:pPr>
    </w:p>
    <w:p w14:paraId="6213DBE6" w14:textId="77777777" w:rsidR="00C77241" w:rsidRDefault="00AB1747" w:rsidP="0069421D">
      <w:pPr>
        <w:pStyle w:val="NoSpacing"/>
        <w:numPr>
          <w:ilvl w:val="1"/>
          <w:numId w:val="84"/>
        </w:numPr>
      </w:pPr>
      <w:r>
        <w:rPr>
          <w:b/>
          <w:i/>
        </w:rPr>
        <w:t xml:space="preserve">Illness or </w:t>
      </w:r>
      <w:r w:rsidRPr="00AB1747">
        <w:rPr>
          <w:b/>
          <w:i/>
        </w:rPr>
        <w:t>External Stressors</w:t>
      </w:r>
      <w:r>
        <w:t xml:space="preserve"> – </w:t>
      </w:r>
      <w:r w:rsidR="00CF28CC">
        <w:t xml:space="preserve">Evidence of illness or external pressure </w:t>
      </w:r>
      <w:r w:rsidR="00C77241">
        <w:t>will only rarely mitigate the actions taken by the lawyer. I</w:t>
      </w:r>
    </w:p>
    <w:p w14:paraId="79A11F08" w14:textId="4878F5F1" w:rsidR="00D04868" w:rsidRPr="006128DB" w:rsidRDefault="00C77241" w:rsidP="0069421D">
      <w:pPr>
        <w:pStyle w:val="NoSpacing"/>
        <w:numPr>
          <w:ilvl w:val="2"/>
          <w:numId w:val="84"/>
        </w:numPr>
      </w:pPr>
      <w:r>
        <w:rPr>
          <w:i/>
        </w:rPr>
        <w:t xml:space="preserve">Illness renders </w:t>
      </w:r>
      <w:proofErr w:type="spellStart"/>
      <w:r>
        <w:rPr>
          <w:i/>
        </w:rPr>
        <w:t>unifit</w:t>
      </w:r>
      <w:proofErr w:type="spellEnd"/>
      <w:r>
        <w:rPr>
          <w:i/>
        </w:rPr>
        <w:t xml:space="preserve"> – </w:t>
      </w:r>
      <w:r w:rsidRPr="00C77241">
        <w:t>I</w:t>
      </w:r>
      <w:r>
        <w:t xml:space="preserve">llness will excuse the lawyer from practising law </w:t>
      </w:r>
      <w:r w:rsidR="00221858">
        <w:t xml:space="preserve">per </w:t>
      </w:r>
      <w:r w:rsidR="00221858">
        <w:rPr>
          <w:i/>
        </w:rPr>
        <w:t xml:space="preserve">Legal Practitioners Board v </w:t>
      </w:r>
      <w:proofErr w:type="spellStart"/>
      <w:r w:rsidR="00221858">
        <w:rPr>
          <w:i/>
        </w:rPr>
        <w:t>Trumen</w:t>
      </w:r>
      <w:proofErr w:type="spellEnd"/>
    </w:p>
    <w:p w14:paraId="10F03850" w14:textId="77777777" w:rsidR="006128DB" w:rsidRDefault="006128DB" w:rsidP="006128DB">
      <w:pPr>
        <w:pStyle w:val="NoSpacing"/>
        <w:ind w:left="2160"/>
      </w:pPr>
    </w:p>
    <w:p w14:paraId="6F24F6B8" w14:textId="31EF81F4" w:rsidR="00D93F7D" w:rsidRDefault="00186616" w:rsidP="0069421D">
      <w:pPr>
        <w:pStyle w:val="NoSpacing"/>
        <w:numPr>
          <w:ilvl w:val="2"/>
          <w:numId w:val="84"/>
        </w:numPr>
      </w:pPr>
      <w:r>
        <w:rPr>
          <w:i/>
        </w:rPr>
        <w:t xml:space="preserve">External Pressure </w:t>
      </w:r>
      <w:r>
        <w:t xml:space="preserve">– </w:t>
      </w:r>
      <w:r w:rsidR="002E0635">
        <w:t>‘Character is not tested by what one does in goods times but in bad’ and is limited to ser</w:t>
      </w:r>
      <w:r w:rsidR="00D93F7D">
        <w:t xml:space="preserve">ious misconduct like dishonesty per </w:t>
      </w:r>
      <w:r w:rsidR="00D93F7D">
        <w:rPr>
          <w:i/>
        </w:rPr>
        <w:t>Law Society of NSW v Foreman</w:t>
      </w:r>
    </w:p>
    <w:p w14:paraId="637FF88A" w14:textId="2D645E27" w:rsidR="00221858" w:rsidRPr="00D04868" w:rsidRDefault="002E0635" w:rsidP="0069421D">
      <w:pPr>
        <w:pStyle w:val="NoSpacing"/>
        <w:numPr>
          <w:ilvl w:val="3"/>
          <w:numId w:val="84"/>
        </w:numPr>
      </w:pPr>
      <w:r>
        <w:rPr>
          <w:i/>
        </w:rPr>
        <w:t xml:space="preserve">Can displace oversights or neglect – </w:t>
      </w:r>
      <w:r w:rsidR="009C15EC" w:rsidRPr="009C15EC">
        <w:rPr>
          <w:i/>
        </w:rPr>
        <w:t>Law Society NSW v Farr</w:t>
      </w:r>
      <w:r>
        <w:t xml:space="preserve"> </w:t>
      </w:r>
    </w:p>
    <w:p w14:paraId="6830CC86" w14:textId="77777777" w:rsidR="00786D69" w:rsidRDefault="00786D69" w:rsidP="00786D69">
      <w:pPr>
        <w:pStyle w:val="NoSpacing"/>
        <w:ind w:left="720"/>
      </w:pPr>
    </w:p>
    <w:p w14:paraId="09F9CC53" w14:textId="77777777" w:rsidR="00E32C84" w:rsidRDefault="00E32C84" w:rsidP="00786D69">
      <w:pPr>
        <w:pStyle w:val="NoSpacing"/>
        <w:ind w:left="720"/>
      </w:pPr>
    </w:p>
    <w:p w14:paraId="4F204971" w14:textId="77777777" w:rsidR="00E32C84" w:rsidRDefault="00E32C84" w:rsidP="00786D69">
      <w:pPr>
        <w:pStyle w:val="NoSpacing"/>
        <w:ind w:left="720"/>
      </w:pPr>
    </w:p>
    <w:p w14:paraId="24AE6438" w14:textId="77777777" w:rsidR="00E32C84" w:rsidRDefault="00E32C84" w:rsidP="00786D69">
      <w:pPr>
        <w:pStyle w:val="NoSpacing"/>
        <w:ind w:left="720"/>
      </w:pPr>
    </w:p>
    <w:p w14:paraId="51478EF6" w14:textId="77777777" w:rsidR="00E32C84" w:rsidRDefault="00E32C84" w:rsidP="00786D69">
      <w:pPr>
        <w:pStyle w:val="NoSpacing"/>
        <w:ind w:left="720"/>
      </w:pPr>
    </w:p>
    <w:p w14:paraId="41444C4F" w14:textId="77777777" w:rsidR="00E32C84" w:rsidRDefault="00E32C84" w:rsidP="00786D69">
      <w:pPr>
        <w:pStyle w:val="NoSpacing"/>
        <w:ind w:left="720"/>
      </w:pPr>
    </w:p>
    <w:p w14:paraId="74303D7A" w14:textId="77777777" w:rsidR="00E32C84" w:rsidRDefault="00E32C84" w:rsidP="00786D69">
      <w:pPr>
        <w:pStyle w:val="NoSpacing"/>
        <w:ind w:left="720"/>
      </w:pPr>
    </w:p>
    <w:p w14:paraId="79B355CC" w14:textId="77777777" w:rsidR="00E32C84" w:rsidRDefault="00E32C84" w:rsidP="00786D69">
      <w:pPr>
        <w:pStyle w:val="NoSpacing"/>
        <w:ind w:left="720"/>
      </w:pPr>
    </w:p>
    <w:p w14:paraId="6FEF6346" w14:textId="77777777" w:rsidR="00E32C84" w:rsidRDefault="00E32C84" w:rsidP="00786D69">
      <w:pPr>
        <w:pStyle w:val="NoSpacing"/>
        <w:ind w:left="720"/>
      </w:pPr>
    </w:p>
    <w:p w14:paraId="4DC0717C" w14:textId="77777777" w:rsidR="00E32C84" w:rsidRDefault="00E32C84" w:rsidP="00786D69">
      <w:pPr>
        <w:pStyle w:val="NoSpacing"/>
        <w:ind w:left="720"/>
      </w:pPr>
    </w:p>
    <w:p w14:paraId="6ACE8207" w14:textId="77777777" w:rsidR="00E32C84" w:rsidRDefault="00E32C84" w:rsidP="00786D69">
      <w:pPr>
        <w:pStyle w:val="NoSpacing"/>
        <w:ind w:left="720"/>
      </w:pPr>
    </w:p>
    <w:p w14:paraId="0F5F3A89" w14:textId="77777777" w:rsidR="00E32C84" w:rsidRDefault="00E32C84" w:rsidP="00786D69">
      <w:pPr>
        <w:pStyle w:val="NoSpacing"/>
        <w:ind w:left="720"/>
      </w:pPr>
    </w:p>
    <w:p w14:paraId="53555423" w14:textId="77777777" w:rsidR="00E32C84" w:rsidRDefault="00E32C84" w:rsidP="00786D69">
      <w:pPr>
        <w:pStyle w:val="NoSpacing"/>
        <w:ind w:left="720"/>
      </w:pPr>
    </w:p>
    <w:p w14:paraId="0B89AFAA" w14:textId="77777777" w:rsidR="00E32C84" w:rsidRDefault="00E32C84" w:rsidP="00786D69">
      <w:pPr>
        <w:pStyle w:val="NoSpacing"/>
        <w:ind w:left="720"/>
      </w:pPr>
    </w:p>
    <w:p w14:paraId="3C24C448" w14:textId="77777777" w:rsidR="00E32C84" w:rsidRDefault="00E32C84" w:rsidP="00786D69">
      <w:pPr>
        <w:pStyle w:val="NoSpacing"/>
        <w:ind w:left="720"/>
      </w:pPr>
    </w:p>
    <w:p w14:paraId="698AC87C" w14:textId="77777777" w:rsidR="00E32C84" w:rsidRPr="00786D69" w:rsidRDefault="00E32C84" w:rsidP="00786D69">
      <w:pPr>
        <w:pStyle w:val="NoSpacing"/>
        <w:ind w:left="720"/>
      </w:pPr>
    </w:p>
    <w:p w14:paraId="0369F034" w14:textId="2B2AD0E4" w:rsidR="00705A54" w:rsidRPr="00873B30" w:rsidRDefault="00B80EE9" w:rsidP="00DE72A1">
      <w:pPr>
        <w:pStyle w:val="NoSpacing"/>
        <w:numPr>
          <w:ilvl w:val="0"/>
          <w:numId w:val="112"/>
        </w:numPr>
      </w:pPr>
      <w:r>
        <w:rPr>
          <w:b/>
          <w:u w:val="single"/>
        </w:rPr>
        <w:t>VCAT Hearing</w:t>
      </w:r>
      <w:r w:rsidR="00705A54" w:rsidRPr="00C05301">
        <w:t xml:space="preserve"> </w:t>
      </w:r>
      <w:r w:rsidR="00705A54">
        <w:t xml:space="preserve">– </w:t>
      </w:r>
      <w:r w:rsidR="00705A54" w:rsidRPr="00873B30">
        <w:t xml:space="preserve"> </w:t>
      </w:r>
    </w:p>
    <w:p w14:paraId="1230B710" w14:textId="77777777" w:rsidR="00705A54" w:rsidRDefault="00705A54" w:rsidP="00705A54">
      <w:pPr>
        <w:pStyle w:val="NoSpacing"/>
        <w:ind w:left="1440"/>
      </w:pPr>
    </w:p>
    <w:p w14:paraId="71EB8ED1" w14:textId="7C35E8BB" w:rsidR="00705A54" w:rsidRDefault="00B80EE9" w:rsidP="0069421D">
      <w:pPr>
        <w:pStyle w:val="NoSpacing"/>
        <w:numPr>
          <w:ilvl w:val="1"/>
          <w:numId w:val="84"/>
        </w:numPr>
      </w:pPr>
      <w:r>
        <w:rPr>
          <w:b/>
          <w:i/>
        </w:rPr>
        <w:t>Hear the Complaint</w:t>
      </w:r>
      <w:r w:rsidR="00705A54">
        <w:rPr>
          <w:b/>
          <w:i/>
        </w:rPr>
        <w:t xml:space="preserve"> </w:t>
      </w:r>
      <w:r w:rsidR="00705A54">
        <w:t>–</w:t>
      </w:r>
      <w:r>
        <w:rPr>
          <w:i/>
        </w:rPr>
        <w:t xml:space="preserve"> s4.4.15 LPA – </w:t>
      </w:r>
      <w:r>
        <w:t>VCAT must hear the complaint referred from the Commissioner</w:t>
      </w:r>
    </w:p>
    <w:p w14:paraId="3B2E3BC7" w14:textId="54FB5B56" w:rsidR="00B80EE9" w:rsidRDefault="00B80EE9" w:rsidP="00B80EE9">
      <w:pPr>
        <w:pStyle w:val="NoSpacing"/>
        <w:ind w:left="1440"/>
      </w:pPr>
    </w:p>
    <w:p w14:paraId="6E996624" w14:textId="5CE3F1A8" w:rsidR="00B80EE9" w:rsidRDefault="00B80EE9" w:rsidP="0069421D">
      <w:pPr>
        <w:pStyle w:val="NoSpacing"/>
        <w:numPr>
          <w:ilvl w:val="1"/>
          <w:numId w:val="84"/>
        </w:numPr>
      </w:pPr>
      <w:r>
        <w:rPr>
          <w:b/>
          <w:i/>
        </w:rPr>
        <w:t xml:space="preserve">Completed Hearing </w:t>
      </w:r>
      <w:r>
        <w:t>– Once the hearing is completed and VCAT is satisfied that the lawyer is:</w:t>
      </w:r>
    </w:p>
    <w:p w14:paraId="2FBA98D1" w14:textId="3EE19693" w:rsidR="00B80EE9" w:rsidRDefault="00B80EE9" w:rsidP="0069421D">
      <w:pPr>
        <w:pStyle w:val="NoSpacing"/>
        <w:numPr>
          <w:ilvl w:val="2"/>
          <w:numId w:val="84"/>
        </w:numPr>
      </w:pPr>
      <w:r>
        <w:rPr>
          <w:b/>
          <w:i/>
        </w:rPr>
        <w:t xml:space="preserve">Guilty </w:t>
      </w:r>
      <w:r>
        <w:t xml:space="preserve">– </w:t>
      </w:r>
      <w:r w:rsidR="00373C2E">
        <w:t>s</w:t>
      </w:r>
      <w:r w:rsidRPr="00373C2E">
        <w:rPr>
          <w:i/>
        </w:rPr>
        <w:t>4.4.16</w:t>
      </w:r>
      <w:r>
        <w:t xml:space="preserve"> </w:t>
      </w:r>
      <w:r w:rsidR="0079433C">
        <w:rPr>
          <w:i/>
        </w:rPr>
        <w:t>LPA</w:t>
      </w:r>
      <w:r>
        <w:t>– Can order anything it sees fit. Can also order</w:t>
      </w:r>
    </w:p>
    <w:p w14:paraId="15B02311" w14:textId="4B818CB7" w:rsidR="00B80EE9" w:rsidRDefault="00373C2E" w:rsidP="0069421D">
      <w:pPr>
        <w:pStyle w:val="NoSpacing"/>
        <w:numPr>
          <w:ilvl w:val="3"/>
          <w:numId w:val="84"/>
        </w:numPr>
      </w:pPr>
      <w:r>
        <w:rPr>
          <w:i/>
        </w:rPr>
        <w:t>s</w:t>
      </w:r>
      <w:r w:rsidR="00B80EE9" w:rsidRPr="00373C2E">
        <w:rPr>
          <w:i/>
        </w:rPr>
        <w:t>4.4.17(a)</w:t>
      </w:r>
      <w:r w:rsidR="00B80EE9">
        <w:t xml:space="preserve"> </w:t>
      </w:r>
      <w:r w:rsidR="0079433C">
        <w:rPr>
          <w:i/>
        </w:rPr>
        <w:t>LPA</w:t>
      </w:r>
      <w:r w:rsidR="0079433C">
        <w:t xml:space="preserve"> </w:t>
      </w:r>
      <w:r w:rsidR="00B80EE9">
        <w:t>– Removal</w:t>
      </w:r>
    </w:p>
    <w:p w14:paraId="6B923393" w14:textId="54DB0DD4" w:rsidR="00B80EE9" w:rsidRDefault="00373C2E" w:rsidP="0069421D">
      <w:pPr>
        <w:pStyle w:val="NoSpacing"/>
        <w:numPr>
          <w:ilvl w:val="3"/>
          <w:numId w:val="84"/>
        </w:numPr>
      </w:pPr>
      <w:r>
        <w:rPr>
          <w:i/>
        </w:rPr>
        <w:t>s</w:t>
      </w:r>
      <w:r w:rsidR="00B80EE9" w:rsidRPr="00373C2E">
        <w:rPr>
          <w:i/>
        </w:rPr>
        <w:t>4.4.17(b)</w:t>
      </w:r>
      <w:r w:rsidR="00B80EE9">
        <w:t xml:space="preserve"> </w:t>
      </w:r>
      <w:r w:rsidR="0079433C">
        <w:rPr>
          <w:i/>
        </w:rPr>
        <w:t>LPA</w:t>
      </w:r>
      <w:r w:rsidR="0079433C">
        <w:t xml:space="preserve"> </w:t>
      </w:r>
      <w:r w:rsidR="00B80EE9">
        <w:t>– Suspension</w:t>
      </w:r>
    </w:p>
    <w:p w14:paraId="62D172F4" w14:textId="292A732B" w:rsidR="00B80EE9" w:rsidRDefault="00373C2E" w:rsidP="0069421D">
      <w:pPr>
        <w:pStyle w:val="NoSpacing"/>
        <w:numPr>
          <w:ilvl w:val="3"/>
          <w:numId w:val="84"/>
        </w:numPr>
      </w:pPr>
      <w:r>
        <w:rPr>
          <w:i/>
        </w:rPr>
        <w:t>s</w:t>
      </w:r>
      <w:r w:rsidR="00B80EE9" w:rsidRPr="00373C2E">
        <w:rPr>
          <w:i/>
        </w:rPr>
        <w:t>4.4.17(d)</w:t>
      </w:r>
      <w:r w:rsidR="00B80EE9">
        <w:t xml:space="preserve"> </w:t>
      </w:r>
      <w:r w:rsidR="0079433C">
        <w:rPr>
          <w:i/>
        </w:rPr>
        <w:t>LPA</w:t>
      </w:r>
      <w:r w:rsidR="0079433C">
        <w:t xml:space="preserve"> </w:t>
      </w:r>
      <w:r w:rsidR="00B80EE9">
        <w:t>– Practicing certificate conditions</w:t>
      </w:r>
    </w:p>
    <w:p w14:paraId="1833F1B4" w14:textId="40003E45" w:rsidR="00B80EE9" w:rsidRDefault="00373C2E" w:rsidP="0069421D">
      <w:pPr>
        <w:pStyle w:val="NoSpacing"/>
        <w:numPr>
          <w:ilvl w:val="3"/>
          <w:numId w:val="84"/>
        </w:numPr>
      </w:pPr>
      <w:r w:rsidRPr="00373C2E">
        <w:rPr>
          <w:i/>
        </w:rPr>
        <w:t>s4.4.19</w:t>
      </w:r>
      <w:r>
        <w:t xml:space="preserve"> </w:t>
      </w:r>
      <w:r w:rsidR="0079433C">
        <w:rPr>
          <w:i/>
        </w:rPr>
        <w:t>LPA</w:t>
      </w:r>
      <w:r w:rsidR="0079433C">
        <w:t xml:space="preserve"> </w:t>
      </w:r>
      <w:r>
        <w:t xml:space="preserve">– </w:t>
      </w:r>
      <w:r w:rsidR="00B80EE9">
        <w:t>Reprimand</w:t>
      </w:r>
    </w:p>
    <w:p w14:paraId="1BCC51EC" w14:textId="137376CD" w:rsidR="00B80EE9" w:rsidRDefault="00373C2E" w:rsidP="0069421D">
      <w:pPr>
        <w:pStyle w:val="NoSpacing"/>
        <w:numPr>
          <w:ilvl w:val="3"/>
          <w:numId w:val="84"/>
        </w:numPr>
      </w:pPr>
      <w:r w:rsidRPr="00373C2E">
        <w:rPr>
          <w:i/>
        </w:rPr>
        <w:t>s4.4.19</w:t>
      </w:r>
      <w:r>
        <w:t xml:space="preserve"> </w:t>
      </w:r>
      <w:r w:rsidR="0079433C">
        <w:rPr>
          <w:i/>
        </w:rPr>
        <w:t>LPA</w:t>
      </w:r>
      <w:r w:rsidR="0079433C">
        <w:t xml:space="preserve"> </w:t>
      </w:r>
      <w:r>
        <w:t xml:space="preserve">– </w:t>
      </w:r>
      <w:r w:rsidR="00B80EE9">
        <w:t>Compensation order</w:t>
      </w:r>
    </w:p>
    <w:p w14:paraId="086F81CF" w14:textId="7BA429AB" w:rsidR="00B80EE9" w:rsidRDefault="00373C2E" w:rsidP="0069421D">
      <w:pPr>
        <w:pStyle w:val="NoSpacing"/>
        <w:numPr>
          <w:ilvl w:val="3"/>
          <w:numId w:val="84"/>
        </w:numPr>
      </w:pPr>
      <w:r w:rsidRPr="00373C2E">
        <w:rPr>
          <w:i/>
        </w:rPr>
        <w:t>s4.4.19</w:t>
      </w:r>
      <w:r>
        <w:t xml:space="preserve"> </w:t>
      </w:r>
      <w:r w:rsidR="0079433C">
        <w:rPr>
          <w:i/>
        </w:rPr>
        <w:t>LPA</w:t>
      </w:r>
      <w:r w:rsidR="0079433C">
        <w:t xml:space="preserve"> </w:t>
      </w:r>
      <w:r>
        <w:t xml:space="preserve">– </w:t>
      </w:r>
      <w:r w:rsidR="00B80EE9">
        <w:t>Supervision Order</w:t>
      </w:r>
    </w:p>
    <w:p w14:paraId="1FF87507" w14:textId="77777777" w:rsidR="00AD0A72" w:rsidRDefault="00AD0A72" w:rsidP="00AD0A72">
      <w:pPr>
        <w:pStyle w:val="NoSpacing"/>
        <w:ind w:left="2880"/>
      </w:pPr>
    </w:p>
    <w:p w14:paraId="656CF4CE" w14:textId="0F0AE9EC" w:rsidR="00AD0A72" w:rsidRDefault="00AD0A72" w:rsidP="0069421D">
      <w:pPr>
        <w:pStyle w:val="NoSpacing"/>
        <w:numPr>
          <w:ilvl w:val="1"/>
          <w:numId w:val="84"/>
        </w:numPr>
      </w:pPr>
      <w:r>
        <w:rPr>
          <w:b/>
          <w:i/>
        </w:rPr>
        <w:t xml:space="preserve">Request for Rehearing </w:t>
      </w:r>
      <w:r w:rsidRPr="0079433C">
        <w:rPr>
          <w:i/>
        </w:rPr>
        <w:t xml:space="preserve">– </w:t>
      </w:r>
      <w:r w:rsidR="0079433C" w:rsidRPr="0079433C">
        <w:rPr>
          <w:i/>
        </w:rPr>
        <w:t xml:space="preserve">s4.4.21 </w:t>
      </w:r>
      <w:r w:rsidR="0079433C">
        <w:rPr>
          <w:i/>
        </w:rPr>
        <w:t>LPA</w:t>
      </w:r>
      <w:r w:rsidR="0079433C" w:rsidRPr="0079433C">
        <w:rPr>
          <w:i/>
        </w:rPr>
        <w:t xml:space="preserve"> –</w:t>
      </w:r>
      <w:r w:rsidR="0079433C">
        <w:rPr>
          <w:b/>
          <w:i/>
        </w:rPr>
        <w:t xml:space="preserve"> </w:t>
      </w:r>
      <w:r w:rsidR="0079433C">
        <w:t>Party can request a rehearing of the application if an order against the party is made.</w:t>
      </w:r>
    </w:p>
    <w:p w14:paraId="700E5A08" w14:textId="4FEA176D" w:rsidR="008F0996" w:rsidRDefault="008F0996" w:rsidP="0069421D">
      <w:pPr>
        <w:pStyle w:val="NoSpacing"/>
        <w:numPr>
          <w:ilvl w:val="2"/>
          <w:numId w:val="84"/>
        </w:numPr>
      </w:pPr>
      <w:r>
        <w:rPr>
          <w:b/>
          <w:i/>
        </w:rPr>
        <w:t xml:space="preserve">Power to </w:t>
      </w:r>
      <w:proofErr w:type="gramStart"/>
      <w:r>
        <w:rPr>
          <w:b/>
          <w:i/>
        </w:rPr>
        <w:t>Vary</w:t>
      </w:r>
      <w:proofErr w:type="gramEnd"/>
      <w:r>
        <w:t xml:space="preserve"> –</w:t>
      </w:r>
      <w:r w:rsidR="000D3B59" w:rsidRPr="000D3B59">
        <w:t xml:space="preserve"> </w:t>
      </w:r>
      <w:r w:rsidR="000D3B59" w:rsidRPr="000D3B59">
        <w:rPr>
          <w:i/>
        </w:rPr>
        <w:t>s4.4.23</w:t>
      </w:r>
      <w:r w:rsidR="000D3B59">
        <w:t xml:space="preserve"> – </w:t>
      </w:r>
      <w:r>
        <w:t>VCAT can vary the order, affirm it, remove it or re</w:t>
      </w:r>
      <w:r w:rsidR="000D3B59">
        <w:t>place the order as it sees fit</w:t>
      </w:r>
      <w:r>
        <w:t>.</w:t>
      </w:r>
    </w:p>
    <w:p w14:paraId="0C3A1E15" w14:textId="77777777" w:rsidR="00E32C84" w:rsidRDefault="00E32C84" w:rsidP="00E443BC">
      <w:pPr>
        <w:pStyle w:val="NoSpacing"/>
        <w:rPr>
          <w:rFonts w:cs="Times New Roman"/>
          <w:b/>
          <w:sz w:val="36"/>
          <w:szCs w:val="36"/>
          <w:u w:val="single"/>
        </w:rPr>
      </w:pPr>
    </w:p>
    <w:p w14:paraId="2CA0C7B9" w14:textId="77777777" w:rsidR="00E32C84" w:rsidRDefault="00E32C84" w:rsidP="00E443BC">
      <w:pPr>
        <w:pStyle w:val="NoSpacing"/>
        <w:rPr>
          <w:rFonts w:cs="Times New Roman"/>
          <w:b/>
          <w:sz w:val="36"/>
          <w:szCs w:val="36"/>
          <w:u w:val="single"/>
        </w:rPr>
      </w:pPr>
    </w:p>
    <w:p w14:paraId="2F1AD19C" w14:textId="77777777" w:rsidR="00E32C84" w:rsidRDefault="00E32C84" w:rsidP="00E443BC">
      <w:pPr>
        <w:pStyle w:val="NoSpacing"/>
        <w:rPr>
          <w:rFonts w:cs="Times New Roman"/>
          <w:b/>
          <w:sz w:val="36"/>
          <w:szCs w:val="36"/>
          <w:u w:val="single"/>
        </w:rPr>
      </w:pPr>
    </w:p>
    <w:p w14:paraId="32E81980" w14:textId="77777777" w:rsidR="00E32C84" w:rsidRDefault="00E32C84" w:rsidP="00E443BC">
      <w:pPr>
        <w:pStyle w:val="NoSpacing"/>
        <w:rPr>
          <w:rFonts w:cs="Times New Roman"/>
          <w:b/>
          <w:sz w:val="36"/>
          <w:szCs w:val="36"/>
          <w:u w:val="single"/>
        </w:rPr>
      </w:pPr>
    </w:p>
    <w:p w14:paraId="0D271673" w14:textId="77777777" w:rsidR="00E32C84" w:rsidRDefault="00E32C84" w:rsidP="00E443BC">
      <w:pPr>
        <w:pStyle w:val="NoSpacing"/>
        <w:rPr>
          <w:rFonts w:cs="Times New Roman"/>
          <w:b/>
          <w:sz w:val="36"/>
          <w:szCs w:val="36"/>
          <w:u w:val="single"/>
        </w:rPr>
      </w:pPr>
    </w:p>
    <w:p w14:paraId="2F94F02D" w14:textId="77777777" w:rsidR="00E32C84" w:rsidRDefault="00E32C84" w:rsidP="00E443BC">
      <w:pPr>
        <w:pStyle w:val="NoSpacing"/>
        <w:rPr>
          <w:rFonts w:cs="Times New Roman"/>
          <w:b/>
          <w:sz w:val="36"/>
          <w:szCs w:val="36"/>
          <w:u w:val="single"/>
        </w:rPr>
      </w:pPr>
    </w:p>
    <w:p w14:paraId="7FCEC33D" w14:textId="77777777" w:rsidR="00E32C84" w:rsidRDefault="00E32C84" w:rsidP="00E443BC">
      <w:pPr>
        <w:pStyle w:val="NoSpacing"/>
        <w:rPr>
          <w:rFonts w:cs="Times New Roman"/>
          <w:b/>
          <w:sz w:val="36"/>
          <w:szCs w:val="36"/>
          <w:u w:val="single"/>
        </w:rPr>
      </w:pPr>
    </w:p>
    <w:p w14:paraId="3A24F3A5" w14:textId="77777777" w:rsidR="00E32C84" w:rsidRDefault="00E32C84" w:rsidP="00E443BC">
      <w:pPr>
        <w:pStyle w:val="NoSpacing"/>
        <w:rPr>
          <w:rFonts w:cs="Times New Roman"/>
          <w:b/>
          <w:sz w:val="36"/>
          <w:szCs w:val="36"/>
          <w:u w:val="single"/>
        </w:rPr>
      </w:pPr>
    </w:p>
    <w:p w14:paraId="36A3DDC7" w14:textId="77777777" w:rsidR="00E32C84" w:rsidRDefault="00E32C84" w:rsidP="00E443BC">
      <w:pPr>
        <w:pStyle w:val="NoSpacing"/>
        <w:rPr>
          <w:rFonts w:cs="Times New Roman"/>
          <w:b/>
          <w:sz w:val="36"/>
          <w:szCs w:val="36"/>
          <w:u w:val="single"/>
        </w:rPr>
      </w:pPr>
    </w:p>
    <w:p w14:paraId="477FF728" w14:textId="77777777" w:rsidR="00E32C84" w:rsidRDefault="00E32C84" w:rsidP="00E443BC">
      <w:pPr>
        <w:pStyle w:val="NoSpacing"/>
        <w:rPr>
          <w:rFonts w:cs="Times New Roman"/>
          <w:b/>
          <w:sz w:val="36"/>
          <w:szCs w:val="36"/>
          <w:u w:val="single"/>
        </w:rPr>
      </w:pPr>
    </w:p>
    <w:p w14:paraId="13398789" w14:textId="77777777" w:rsidR="00E32C84" w:rsidRDefault="00E32C84" w:rsidP="00E443BC">
      <w:pPr>
        <w:pStyle w:val="NoSpacing"/>
        <w:rPr>
          <w:rFonts w:cs="Times New Roman"/>
          <w:b/>
          <w:sz w:val="36"/>
          <w:szCs w:val="36"/>
          <w:u w:val="single"/>
        </w:rPr>
      </w:pPr>
    </w:p>
    <w:p w14:paraId="2111499F" w14:textId="77777777" w:rsidR="00E32C84" w:rsidRDefault="00E32C84" w:rsidP="00E443BC">
      <w:pPr>
        <w:pStyle w:val="NoSpacing"/>
        <w:rPr>
          <w:rFonts w:cs="Times New Roman"/>
          <w:b/>
          <w:sz w:val="36"/>
          <w:szCs w:val="36"/>
          <w:u w:val="single"/>
        </w:rPr>
      </w:pPr>
    </w:p>
    <w:p w14:paraId="2F420ABE" w14:textId="77777777" w:rsidR="00E32C84" w:rsidRDefault="00E32C84" w:rsidP="00E443BC">
      <w:pPr>
        <w:pStyle w:val="NoSpacing"/>
        <w:rPr>
          <w:rFonts w:cs="Times New Roman"/>
          <w:b/>
          <w:sz w:val="36"/>
          <w:szCs w:val="36"/>
          <w:u w:val="single"/>
        </w:rPr>
      </w:pPr>
    </w:p>
    <w:p w14:paraId="13A2D46C" w14:textId="77777777" w:rsidR="00E32C84" w:rsidRDefault="00E32C84" w:rsidP="00E443BC">
      <w:pPr>
        <w:pStyle w:val="NoSpacing"/>
        <w:rPr>
          <w:rFonts w:cs="Times New Roman"/>
          <w:b/>
          <w:sz w:val="36"/>
          <w:szCs w:val="36"/>
          <w:u w:val="single"/>
        </w:rPr>
      </w:pPr>
    </w:p>
    <w:p w14:paraId="68BBEBF4" w14:textId="77777777" w:rsidR="00E32C84" w:rsidRDefault="00E32C84" w:rsidP="00E443BC">
      <w:pPr>
        <w:pStyle w:val="NoSpacing"/>
        <w:rPr>
          <w:rFonts w:cs="Times New Roman"/>
          <w:b/>
          <w:sz w:val="36"/>
          <w:szCs w:val="36"/>
          <w:u w:val="single"/>
        </w:rPr>
      </w:pPr>
    </w:p>
    <w:p w14:paraId="0C57DCBD" w14:textId="77777777" w:rsidR="00E32C84" w:rsidRDefault="00E32C84" w:rsidP="00E443BC">
      <w:pPr>
        <w:pStyle w:val="NoSpacing"/>
        <w:rPr>
          <w:rFonts w:cs="Times New Roman"/>
          <w:b/>
          <w:sz w:val="36"/>
          <w:szCs w:val="36"/>
          <w:u w:val="single"/>
        </w:rPr>
      </w:pPr>
    </w:p>
    <w:p w14:paraId="21BC041F" w14:textId="77777777" w:rsidR="00E32C84" w:rsidRDefault="00E32C84" w:rsidP="00E443BC">
      <w:pPr>
        <w:pStyle w:val="NoSpacing"/>
        <w:rPr>
          <w:rFonts w:cs="Times New Roman"/>
          <w:b/>
          <w:sz w:val="36"/>
          <w:szCs w:val="36"/>
          <w:u w:val="single"/>
        </w:rPr>
      </w:pPr>
    </w:p>
    <w:p w14:paraId="44F6DB59" w14:textId="77777777" w:rsidR="00E32C84" w:rsidRDefault="00E32C84" w:rsidP="00E443BC">
      <w:pPr>
        <w:pStyle w:val="NoSpacing"/>
        <w:rPr>
          <w:rFonts w:cs="Times New Roman"/>
          <w:b/>
          <w:sz w:val="36"/>
          <w:szCs w:val="36"/>
          <w:u w:val="single"/>
        </w:rPr>
      </w:pPr>
    </w:p>
    <w:p w14:paraId="4D49C71D" w14:textId="77777777" w:rsidR="00E32C84" w:rsidRDefault="00E32C84" w:rsidP="00E443BC">
      <w:pPr>
        <w:pStyle w:val="NoSpacing"/>
        <w:rPr>
          <w:rFonts w:cs="Times New Roman"/>
          <w:b/>
          <w:sz w:val="36"/>
          <w:szCs w:val="36"/>
          <w:u w:val="single"/>
        </w:rPr>
      </w:pPr>
    </w:p>
    <w:p w14:paraId="22687EF3" w14:textId="77777777" w:rsidR="00E32C84" w:rsidRDefault="00E32C84" w:rsidP="00E443BC">
      <w:pPr>
        <w:pStyle w:val="NoSpacing"/>
        <w:rPr>
          <w:rFonts w:cs="Times New Roman"/>
          <w:b/>
          <w:sz w:val="36"/>
          <w:szCs w:val="36"/>
          <w:u w:val="single"/>
        </w:rPr>
      </w:pPr>
    </w:p>
    <w:p w14:paraId="1DDAFAD5" w14:textId="77777777" w:rsidR="00E32C84" w:rsidRDefault="00E32C84" w:rsidP="00E443BC">
      <w:pPr>
        <w:pStyle w:val="NoSpacing"/>
        <w:rPr>
          <w:rFonts w:cs="Times New Roman"/>
          <w:b/>
          <w:sz w:val="36"/>
          <w:szCs w:val="36"/>
          <w:u w:val="single"/>
        </w:rPr>
      </w:pPr>
    </w:p>
    <w:p w14:paraId="77CD7269" w14:textId="28761A06" w:rsidR="00E443BC" w:rsidRDefault="001E3DE0" w:rsidP="00E443BC">
      <w:pPr>
        <w:pStyle w:val="NoSpacing"/>
        <w:rPr>
          <w:rFonts w:cs="Times New Roman"/>
          <w:b/>
          <w:sz w:val="36"/>
          <w:szCs w:val="36"/>
          <w:u w:val="single"/>
        </w:rPr>
      </w:pPr>
      <w:r>
        <w:rPr>
          <w:rFonts w:cs="Times New Roman"/>
          <w:b/>
          <w:sz w:val="36"/>
          <w:szCs w:val="36"/>
          <w:u w:val="single"/>
        </w:rPr>
        <w:lastRenderedPageBreak/>
        <w:t>Misconduct</w:t>
      </w:r>
    </w:p>
    <w:p w14:paraId="55D11E9C" w14:textId="77777777" w:rsidR="001E3DE0" w:rsidRDefault="001E3DE0" w:rsidP="00E443BC">
      <w:pPr>
        <w:pStyle w:val="NoSpacing"/>
        <w:rPr>
          <w:rFonts w:cs="Times New Roman"/>
          <w:szCs w:val="24"/>
        </w:rPr>
      </w:pPr>
    </w:p>
    <w:p w14:paraId="28DF10BA" w14:textId="3A2914A1" w:rsidR="007D16A3" w:rsidRPr="007D16A3" w:rsidRDefault="007D16A3" w:rsidP="00E443BC">
      <w:pPr>
        <w:pStyle w:val="NoSpacing"/>
        <w:rPr>
          <w:rFonts w:cs="Times New Roman"/>
          <w:b/>
          <w:szCs w:val="24"/>
          <w:u w:val="single"/>
        </w:rPr>
      </w:pPr>
      <w:r>
        <w:rPr>
          <w:rFonts w:cs="Times New Roman"/>
          <w:b/>
          <w:szCs w:val="24"/>
          <w:u w:val="single"/>
        </w:rPr>
        <w:t>General</w:t>
      </w:r>
    </w:p>
    <w:p w14:paraId="1091885D" w14:textId="77777777" w:rsidR="007D16A3" w:rsidRPr="001E3DE0" w:rsidRDefault="007D16A3" w:rsidP="00E443BC">
      <w:pPr>
        <w:pStyle w:val="NoSpacing"/>
        <w:rPr>
          <w:rFonts w:cs="Times New Roman"/>
          <w:szCs w:val="24"/>
        </w:rPr>
      </w:pPr>
    </w:p>
    <w:p w14:paraId="728160AA" w14:textId="4B4D97AF" w:rsidR="00D13116" w:rsidRPr="00C75A86" w:rsidRDefault="007D16A3" w:rsidP="0069421D">
      <w:pPr>
        <w:pStyle w:val="NoSpacing"/>
        <w:numPr>
          <w:ilvl w:val="0"/>
          <w:numId w:val="85"/>
        </w:numPr>
        <w:rPr>
          <w:rFonts w:cs="Times New Roman"/>
          <w:szCs w:val="24"/>
        </w:rPr>
      </w:pPr>
      <w:r w:rsidRPr="003D6044">
        <w:rPr>
          <w:rFonts w:cs="Times New Roman"/>
          <w:b/>
          <w:i/>
          <w:szCs w:val="24"/>
        </w:rPr>
        <w:t>Scope</w:t>
      </w:r>
      <w:r>
        <w:rPr>
          <w:rFonts w:cs="Times New Roman"/>
          <w:i/>
          <w:szCs w:val="24"/>
        </w:rPr>
        <w:t xml:space="preserve"> – </w:t>
      </w:r>
      <w:r w:rsidR="000676EC">
        <w:rPr>
          <w:rFonts w:cs="Times New Roman"/>
          <w:szCs w:val="24"/>
        </w:rPr>
        <w:t xml:space="preserve">Lawyers who engage in misconduct are most are in breach of their duty as a legal practitioner and can face disciplinary procedures </w:t>
      </w:r>
      <w:r w:rsidR="003B3182">
        <w:rPr>
          <w:rFonts w:cs="Times New Roman"/>
          <w:b/>
          <w:i/>
          <w:szCs w:val="24"/>
        </w:rPr>
        <w:t xml:space="preserve">[see </w:t>
      </w:r>
      <w:r w:rsidR="003514F4">
        <w:rPr>
          <w:rFonts w:cs="Times New Roman"/>
          <w:b/>
          <w:i/>
          <w:szCs w:val="24"/>
        </w:rPr>
        <w:t>Disciplinary Procedures</w:t>
      </w:r>
      <w:r w:rsidR="003B3182">
        <w:rPr>
          <w:rFonts w:cs="Times New Roman"/>
          <w:b/>
          <w:i/>
          <w:szCs w:val="24"/>
        </w:rPr>
        <w:t>]</w:t>
      </w:r>
    </w:p>
    <w:p w14:paraId="16E02970" w14:textId="5C545B93" w:rsidR="00C75A86" w:rsidRPr="00C75A86" w:rsidRDefault="00C75A86" w:rsidP="00C75A86">
      <w:pPr>
        <w:pStyle w:val="NoSpacing"/>
        <w:ind w:left="1440"/>
        <w:rPr>
          <w:rFonts w:cs="Times New Roman"/>
          <w:szCs w:val="24"/>
        </w:rPr>
      </w:pPr>
    </w:p>
    <w:p w14:paraId="7C43CB18" w14:textId="77777777" w:rsidR="00F13180" w:rsidRDefault="00C75A86" w:rsidP="0069421D">
      <w:pPr>
        <w:pStyle w:val="NoSpacing"/>
        <w:numPr>
          <w:ilvl w:val="1"/>
          <w:numId w:val="85"/>
        </w:numPr>
        <w:rPr>
          <w:rFonts w:cs="Times New Roman"/>
          <w:szCs w:val="24"/>
        </w:rPr>
      </w:pPr>
      <w:r>
        <w:rPr>
          <w:rFonts w:cs="Times New Roman"/>
          <w:i/>
          <w:szCs w:val="24"/>
        </w:rPr>
        <w:t xml:space="preserve">Course of Practice – </w:t>
      </w:r>
      <w:r>
        <w:rPr>
          <w:rFonts w:cs="Times New Roman"/>
          <w:szCs w:val="24"/>
        </w:rPr>
        <w:t>The proper administration of justice requires that the public, courts and tribunals are able to rely on what a lawyer says and does</w:t>
      </w:r>
      <w:r w:rsidR="00F13180">
        <w:rPr>
          <w:rFonts w:cs="Times New Roman"/>
          <w:szCs w:val="24"/>
        </w:rPr>
        <w:t>.</w:t>
      </w:r>
    </w:p>
    <w:p w14:paraId="30A26AD5" w14:textId="525AB0F7" w:rsidR="00C75A86" w:rsidRDefault="0072102C" w:rsidP="0069421D">
      <w:pPr>
        <w:pStyle w:val="NoSpacing"/>
        <w:numPr>
          <w:ilvl w:val="2"/>
          <w:numId w:val="85"/>
        </w:numPr>
        <w:rPr>
          <w:rFonts w:cs="Times New Roman"/>
          <w:szCs w:val="24"/>
        </w:rPr>
      </w:pPr>
      <w:r>
        <w:rPr>
          <w:rFonts w:cs="Times New Roman"/>
          <w:i/>
          <w:szCs w:val="24"/>
        </w:rPr>
        <w:t>Law Society of NSW v Foreman</w:t>
      </w:r>
      <w:r w:rsidR="00C62D18">
        <w:rPr>
          <w:rFonts w:cs="Times New Roman"/>
          <w:i/>
          <w:szCs w:val="24"/>
        </w:rPr>
        <w:t>.</w:t>
      </w:r>
    </w:p>
    <w:p w14:paraId="35731BDF" w14:textId="77777777" w:rsidR="00F13180" w:rsidRPr="00C75A86" w:rsidRDefault="00F13180" w:rsidP="00F13180">
      <w:pPr>
        <w:pStyle w:val="NoSpacing"/>
        <w:ind w:left="1440"/>
        <w:rPr>
          <w:rFonts w:cs="Times New Roman"/>
          <w:szCs w:val="24"/>
        </w:rPr>
      </w:pPr>
    </w:p>
    <w:p w14:paraId="41C1EF7E" w14:textId="2D32FEFE" w:rsidR="00C75A86" w:rsidRDefault="00C75A86" w:rsidP="0069421D">
      <w:pPr>
        <w:pStyle w:val="NoSpacing"/>
        <w:numPr>
          <w:ilvl w:val="1"/>
          <w:numId w:val="85"/>
        </w:numPr>
        <w:rPr>
          <w:rFonts w:cs="Times New Roman"/>
          <w:szCs w:val="24"/>
        </w:rPr>
      </w:pPr>
      <w:r>
        <w:rPr>
          <w:rFonts w:cs="Times New Roman"/>
          <w:i/>
          <w:szCs w:val="24"/>
        </w:rPr>
        <w:t>Outside of Practice –</w:t>
      </w:r>
      <w:r w:rsidR="00296B8C">
        <w:rPr>
          <w:rFonts w:cs="Times New Roman"/>
          <w:i/>
          <w:szCs w:val="24"/>
        </w:rPr>
        <w:t xml:space="preserve"> </w:t>
      </w:r>
      <w:r w:rsidR="004F338D">
        <w:rPr>
          <w:rFonts w:cs="Times New Roman"/>
          <w:szCs w:val="24"/>
        </w:rPr>
        <w:t xml:space="preserve">Particular types of personal misconduct outside of practice can directly influence a </w:t>
      </w:r>
      <w:r w:rsidR="00334EF7">
        <w:rPr>
          <w:rFonts w:cs="Times New Roman"/>
          <w:szCs w:val="24"/>
        </w:rPr>
        <w:t>lawyer’s</w:t>
      </w:r>
      <w:r w:rsidR="004F338D">
        <w:rPr>
          <w:rFonts w:cs="Times New Roman"/>
          <w:szCs w:val="24"/>
        </w:rPr>
        <w:t xml:space="preserve"> capacity to act and may require disciplinary </w:t>
      </w:r>
      <w:r w:rsidR="00EB0973">
        <w:rPr>
          <w:rFonts w:cs="Times New Roman"/>
          <w:szCs w:val="24"/>
        </w:rPr>
        <w:t>proceedings</w:t>
      </w:r>
      <w:r w:rsidR="004F338D">
        <w:rPr>
          <w:rFonts w:cs="Times New Roman"/>
          <w:szCs w:val="24"/>
        </w:rPr>
        <w:t>.</w:t>
      </w:r>
    </w:p>
    <w:p w14:paraId="42CB61D2" w14:textId="55E20056" w:rsidR="0074728B" w:rsidRDefault="0074728B" w:rsidP="0074728B">
      <w:pPr>
        <w:pStyle w:val="NoSpacing"/>
        <w:ind w:left="1440"/>
        <w:rPr>
          <w:rFonts w:cs="Times New Roman"/>
          <w:szCs w:val="24"/>
        </w:rPr>
      </w:pPr>
    </w:p>
    <w:p w14:paraId="6D854E67" w14:textId="3E324C24" w:rsidR="00182F0C" w:rsidRDefault="00182F0C" w:rsidP="00C62128">
      <w:pPr>
        <w:pStyle w:val="NoSpacing"/>
        <w:numPr>
          <w:ilvl w:val="0"/>
          <w:numId w:val="85"/>
        </w:numPr>
      </w:pPr>
      <w:r w:rsidRPr="00DE72A1">
        <w:rPr>
          <w:b/>
          <w:i/>
          <w:u w:val="single"/>
        </w:rPr>
        <w:t>Unsatisfactory professiona</w:t>
      </w:r>
      <w:r w:rsidRPr="00334FF6">
        <w:rPr>
          <w:b/>
          <w:i/>
          <w:u w:val="single"/>
        </w:rPr>
        <w:t>l</w:t>
      </w:r>
      <w:r w:rsidR="00DE72A1" w:rsidRPr="00334FF6">
        <w:rPr>
          <w:b/>
          <w:i/>
          <w:u w:val="single"/>
        </w:rPr>
        <w:t xml:space="preserve"> misconduct</w:t>
      </w:r>
      <w:r>
        <w:t xml:space="preserve">– </w:t>
      </w:r>
      <w:r w:rsidR="0016040D" w:rsidRPr="0016040D">
        <w:rPr>
          <w:i/>
        </w:rPr>
        <w:t>s4.4.2</w:t>
      </w:r>
      <w:r w:rsidR="00D760E4">
        <w:rPr>
          <w:i/>
        </w:rPr>
        <w:t xml:space="preserve">LPA </w:t>
      </w:r>
      <w:r w:rsidR="0016040D">
        <w:t xml:space="preserve">–Any conduct </w:t>
      </w:r>
      <w:r w:rsidR="0016040D" w:rsidRPr="0042420F">
        <w:rPr>
          <w:u w:val="single"/>
        </w:rPr>
        <w:t>in connection with the practicing of law</w:t>
      </w:r>
      <w:r w:rsidR="0016040D">
        <w:t xml:space="preserve"> that falls short of the standard of competence and diligence that a member of public reasonably expects.</w:t>
      </w:r>
    </w:p>
    <w:p w14:paraId="70E675CC" w14:textId="1F95D7E1" w:rsidR="0042420F" w:rsidRDefault="0042420F" w:rsidP="0042420F">
      <w:pPr>
        <w:pStyle w:val="NoSpacing"/>
        <w:numPr>
          <w:ilvl w:val="1"/>
          <w:numId w:val="85"/>
        </w:numPr>
      </w:pPr>
      <w:r>
        <w:rPr>
          <w:b/>
          <w:i/>
        </w:rPr>
        <w:t>Must be in connection with the ‘practicing of law’</w:t>
      </w:r>
    </w:p>
    <w:p w14:paraId="36232A9D" w14:textId="77777777" w:rsidR="00446032" w:rsidRPr="00446032" w:rsidRDefault="00446032" w:rsidP="00446032">
      <w:pPr>
        <w:pStyle w:val="NoSpacing"/>
        <w:ind w:left="1440"/>
      </w:pPr>
    </w:p>
    <w:p w14:paraId="2ADE28C8" w14:textId="75AD9AE8" w:rsidR="001D5D45" w:rsidRDefault="00446032" w:rsidP="00446032">
      <w:pPr>
        <w:pStyle w:val="NoSpacing"/>
        <w:numPr>
          <w:ilvl w:val="0"/>
          <w:numId w:val="85"/>
        </w:numPr>
      </w:pPr>
      <w:r w:rsidRPr="008D7982">
        <w:rPr>
          <w:b/>
          <w:i/>
          <w:u w:val="single"/>
        </w:rPr>
        <w:t>Professional misconduct</w:t>
      </w:r>
      <w:r>
        <w:rPr>
          <w:i/>
        </w:rPr>
        <w:t xml:space="preserve"> </w:t>
      </w:r>
      <w:r w:rsidR="00D760E4">
        <w:rPr>
          <w:i/>
        </w:rPr>
        <w:t xml:space="preserve">– </w:t>
      </w:r>
      <w:r w:rsidR="001D5D45" w:rsidRPr="00AC0758">
        <w:rPr>
          <w:i/>
        </w:rPr>
        <w:t>S4.4.3</w:t>
      </w:r>
      <w:r w:rsidR="001D5D45">
        <w:t xml:space="preserve"> – Conduct which involves a </w:t>
      </w:r>
      <w:r w:rsidR="00AC0758" w:rsidRPr="00446032">
        <w:rPr>
          <w:u w:val="single"/>
        </w:rPr>
        <w:t>substantial</w:t>
      </w:r>
      <w:r w:rsidR="001D5D45" w:rsidRPr="00446032">
        <w:rPr>
          <w:u w:val="single"/>
        </w:rPr>
        <w:t xml:space="preserve"> or consistent failure to reach or maintain a reasonable standard of competence and diligence</w:t>
      </w:r>
      <w:r w:rsidR="001D5D45">
        <w:t>.</w:t>
      </w:r>
    </w:p>
    <w:p w14:paraId="258629D7" w14:textId="025B88E9" w:rsidR="00751F9E" w:rsidRPr="00182F0C" w:rsidRDefault="00751F9E" w:rsidP="00751F9E">
      <w:pPr>
        <w:pStyle w:val="NoSpacing"/>
        <w:numPr>
          <w:ilvl w:val="1"/>
          <w:numId w:val="85"/>
        </w:numPr>
      </w:pPr>
      <w:r w:rsidRPr="00076BE9">
        <w:rPr>
          <w:i/>
        </w:rPr>
        <w:t>S4.4.3(1)(b)</w:t>
      </w:r>
      <w:r>
        <w:t xml:space="preserve"> – Conduct </w:t>
      </w:r>
      <w:r w:rsidRPr="007172F5">
        <w:rPr>
          <w:u w:val="single"/>
        </w:rPr>
        <w:t>inside or outside the practicing of law</w:t>
      </w:r>
      <w:r>
        <w:t xml:space="preserve"> which </w:t>
      </w:r>
      <w:r w:rsidR="00A606C2">
        <w:t>justifies</w:t>
      </w:r>
      <w:r>
        <w:t xml:space="preserve"> the finding that the lawyer is not a ‘fit and proper person’</w:t>
      </w:r>
    </w:p>
    <w:p w14:paraId="2E1DABEC" w14:textId="77777777" w:rsidR="00182F0C" w:rsidRPr="00182F0C" w:rsidRDefault="00182F0C" w:rsidP="00182F0C">
      <w:pPr>
        <w:pStyle w:val="NoSpacing"/>
        <w:ind w:left="720"/>
      </w:pPr>
    </w:p>
    <w:p w14:paraId="774E948A" w14:textId="3188B0BC" w:rsidR="0061421E" w:rsidRPr="007A19BD" w:rsidRDefault="0061421E" w:rsidP="00C62128">
      <w:pPr>
        <w:pStyle w:val="NoSpacing"/>
        <w:numPr>
          <w:ilvl w:val="0"/>
          <w:numId w:val="85"/>
        </w:numPr>
      </w:pPr>
      <w:r w:rsidRPr="00AA0545">
        <w:rPr>
          <w:b/>
          <w:i/>
        </w:rPr>
        <w:t>Unsatisfactory professional conduct</w:t>
      </w:r>
      <w:r>
        <w:t xml:space="preserve"> </w:t>
      </w:r>
      <w:r w:rsidR="00877922">
        <w:t xml:space="preserve">&amp; </w:t>
      </w:r>
      <w:r w:rsidR="00877922" w:rsidRPr="00877922">
        <w:rPr>
          <w:b/>
          <w:i/>
        </w:rPr>
        <w:t>Professional Misconduct</w:t>
      </w:r>
      <w:r w:rsidR="00877922">
        <w:t xml:space="preserve"> </w:t>
      </w:r>
      <w:r>
        <w:t>–</w:t>
      </w:r>
      <w:r w:rsidR="00C62128" w:rsidRPr="00C62128">
        <w:rPr>
          <w:i/>
        </w:rPr>
        <w:t xml:space="preserve"> </w:t>
      </w:r>
      <w:r w:rsidR="00C62128">
        <w:rPr>
          <w:i/>
        </w:rPr>
        <w:t>s</w:t>
      </w:r>
      <w:r w:rsidR="00C62128" w:rsidRPr="009073A2">
        <w:rPr>
          <w:i/>
        </w:rPr>
        <w:t>4.4.</w:t>
      </w:r>
      <w:r w:rsidR="00EF67D1">
        <w:rPr>
          <w:i/>
        </w:rPr>
        <w:t>4</w:t>
      </w:r>
      <w:r w:rsidR="00C62128">
        <w:t xml:space="preserve"> </w:t>
      </w:r>
      <w:r w:rsidR="00C62128">
        <w:rPr>
          <w:i/>
        </w:rPr>
        <w:t xml:space="preserve">LPA </w:t>
      </w:r>
      <w:r w:rsidR="00C62128">
        <w:t xml:space="preserve">– </w:t>
      </w:r>
    </w:p>
    <w:p w14:paraId="12C3F78C" w14:textId="77777777" w:rsidR="0061421E" w:rsidRPr="00C064A7" w:rsidRDefault="0061421E" w:rsidP="00EF67D1">
      <w:pPr>
        <w:pStyle w:val="NoSpacing"/>
        <w:numPr>
          <w:ilvl w:val="0"/>
          <w:numId w:val="110"/>
        </w:numPr>
      </w:pPr>
      <w:r>
        <w:rPr>
          <w:i/>
        </w:rPr>
        <w:t>s4.4.4(a) – Contravention of LPA or Professional Rules</w:t>
      </w:r>
    </w:p>
    <w:p w14:paraId="1A756EC8" w14:textId="77777777" w:rsidR="00C064A7" w:rsidRPr="00753820" w:rsidRDefault="00C064A7" w:rsidP="00C064A7">
      <w:pPr>
        <w:pStyle w:val="NoSpacing"/>
        <w:ind w:left="2160"/>
      </w:pPr>
    </w:p>
    <w:p w14:paraId="02FC642B" w14:textId="77777777" w:rsidR="0061421E" w:rsidRPr="00C064A7" w:rsidRDefault="0061421E" w:rsidP="00EF67D1">
      <w:pPr>
        <w:pStyle w:val="NoSpacing"/>
        <w:numPr>
          <w:ilvl w:val="0"/>
          <w:numId w:val="110"/>
        </w:numPr>
      </w:pPr>
      <w:r>
        <w:rPr>
          <w:i/>
        </w:rPr>
        <w:t>s4.4.4(b) – Charing excessive legal costs</w:t>
      </w:r>
    </w:p>
    <w:p w14:paraId="2627A14F" w14:textId="77777777" w:rsidR="00C064A7" w:rsidRPr="00753820" w:rsidRDefault="00C064A7" w:rsidP="00C064A7">
      <w:pPr>
        <w:pStyle w:val="NoSpacing"/>
        <w:ind w:left="2160"/>
      </w:pPr>
    </w:p>
    <w:p w14:paraId="56828FDB" w14:textId="77777777" w:rsidR="00C52D71" w:rsidRPr="00C52D71" w:rsidRDefault="0061421E" w:rsidP="00EF67D1">
      <w:pPr>
        <w:pStyle w:val="NoSpacing"/>
        <w:numPr>
          <w:ilvl w:val="0"/>
          <w:numId w:val="110"/>
        </w:numPr>
      </w:pPr>
      <w:r w:rsidRPr="0074728B">
        <w:rPr>
          <w:i/>
        </w:rPr>
        <w:t xml:space="preserve">s4.4.4(c) – </w:t>
      </w:r>
    </w:p>
    <w:p w14:paraId="741090E9" w14:textId="2F50537C" w:rsidR="00C52D71" w:rsidRPr="00C52D71" w:rsidRDefault="006E0DA5" w:rsidP="00C52D71">
      <w:pPr>
        <w:pStyle w:val="NoSpacing"/>
        <w:numPr>
          <w:ilvl w:val="1"/>
          <w:numId w:val="110"/>
        </w:numPr>
      </w:pPr>
      <w:r w:rsidRPr="00F703D2">
        <w:rPr>
          <w:b/>
          <w:i/>
          <w:u w:val="single"/>
        </w:rPr>
        <w:t>s4.4.4(c</w:t>
      </w:r>
      <w:proofErr w:type="gramStart"/>
      <w:r w:rsidRPr="00F703D2">
        <w:rPr>
          <w:b/>
          <w:i/>
          <w:u w:val="single"/>
        </w:rPr>
        <w:t>)(</w:t>
      </w:r>
      <w:proofErr w:type="gramEnd"/>
      <w:r w:rsidR="00C52D71" w:rsidRPr="00F703D2">
        <w:rPr>
          <w:b/>
          <w:i/>
        </w:rPr>
        <w:t xml:space="preserve">i) </w:t>
      </w:r>
      <w:r w:rsidR="00F703D2">
        <w:rPr>
          <w:b/>
          <w:i/>
        </w:rPr>
        <w:t xml:space="preserve">– </w:t>
      </w:r>
      <w:r w:rsidR="00C52D71" w:rsidRPr="00F703D2">
        <w:rPr>
          <w:b/>
          <w:i/>
        </w:rPr>
        <w:t>Serious offence</w:t>
      </w:r>
      <w:r w:rsidR="00C52D71">
        <w:rPr>
          <w:i/>
        </w:rPr>
        <w:t xml:space="preserve"> – s1.2.1 LPA – Serious offence is an indictable offence in Australia, indictable offence against any other jurisdiction, indictable offence against the law of foreign country which would be indictable in Australia.</w:t>
      </w:r>
    </w:p>
    <w:p w14:paraId="3A941D40" w14:textId="77777777" w:rsidR="00C52D71" w:rsidRDefault="00C52D71" w:rsidP="00C52D71">
      <w:pPr>
        <w:pStyle w:val="ListParagraph"/>
        <w:rPr>
          <w:i/>
        </w:rPr>
      </w:pPr>
    </w:p>
    <w:p w14:paraId="5EF60A5E" w14:textId="77D78B71" w:rsidR="00C52D71" w:rsidRDefault="006E0DA5" w:rsidP="00C52D71">
      <w:pPr>
        <w:pStyle w:val="NoSpacing"/>
        <w:numPr>
          <w:ilvl w:val="1"/>
          <w:numId w:val="110"/>
        </w:numPr>
      </w:pPr>
      <w:r w:rsidRPr="006E0DA5">
        <w:rPr>
          <w:i/>
        </w:rPr>
        <w:t>s4.4.4(c)(</w:t>
      </w:r>
      <w:r w:rsidR="002D3965" w:rsidRPr="006E0DA5">
        <w:rPr>
          <w:i/>
        </w:rPr>
        <w:t>ii)</w:t>
      </w:r>
      <w:r w:rsidR="002D3965">
        <w:rPr>
          <w:i/>
        </w:rPr>
        <w:t xml:space="preserve"> </w:t>
      </w:r>
      <w:r>
        <w:rPr>
          <w:i/>
        </w:rPr>
        <w:t xml:space="preserve">– </w:t>
      </w:r>
      <w:r w:rsidR="002D3965">
        <w:rPr>
          <w:i/>
        </w:rPr>
        <w:t>Tax offence</w:t>
      </w:r>
    </w:p>
    <w:p w14:paraId="1FF8AD43" w14:textId="77777777" w:rsidR="00C52D71" w:rsidRDefault="00C52D71" w:rsidP="00C52D71">
      <w:pPr>
        <w:pStyle w:val="ListParagraph"/>
        <w:rPr>
          <w:b/>
          <w:i/>
          <w:u w:val="single"/>
        </w:rPr>
      </w:pPr>
    </w:p>
    <w:p w14:paraId="1B6D3F6B" w14:textId="313525C0" w:rsidR="00181D93" w:rsidRPr="00C064A7" w:rsidRDefault="00C449E9" w:rsidP="00C52D71">
      <w:pPr>
        <w:pStyle w:val="NoSpacing"/>
        <w:numPr>
          <w:ilvl w:val="1"/>
          <w:numId w:val="110"/>
        </w:numPr>
      </w:pPr>
      <w:r w:rsidRPr="00C52D71">
        <w:rPr>
          <w:b/>
          <w:i/>
          <w:u w:val="single"/>
        </w:rPr>
        <w:t>s4.4.4(c</w:t>
      </w:r>
      <w:proofErr w:type="gramStart"/>
      <w:r w:rsidRPr="00C52D71">
        <w:rPr>
          <w:b/>
          <w:i/>
          <w:u w:val="single"/>
        </w:rPr>
        <w:t>)(</w:t>
      </w:r>
      <w:proofErr w:type="gramEnd"/>
      <w:r w:rsidRPr="00C52D71">
        <w:rPr>
          <w:b/>
          <w:i/>
          <w:u w:val="single"/>
        </w:rPr>
        <w:t>iii) – Dishonesty –</w:t>
      </w:r>
      <w:r w:rsidR="00E1548A">
        <w:t xml:space="preserve"> Any conduct which is dishonest is conduct which is an offence under this section.</w:t>
      </w:r>
    </w:p>
    <w:p w14:paraId="59642572" w14:textId="77777777" w:rsidR="00C064A7" w:rsidRPr="0074728B" w:rsidRDefault="00C064A7" w:rsidP="00C064A7">
      <w:pPr>
        <w:pStyle w:val="NoSpacing"/>
        <w:ind w:left="2160"/>
        <w:rPr>
          <w:b/>
        </w:rPr>
      </w:pPr>
    </w:p>
    <w:p w14:paraId="13F734F2" w14:textId="77777777" w:rsidR="0061421E" w:rsidRPr="00C064A7" w:rsidRDefault="0061421E" w:rsidP="00EF67D1">
      <w:pPr>
        <w:pStyle w:val="NoSpacing"/>
        <w:numPr>
          <w:ilvl w:val="0"/>
          <w:numId w:val="110"/>
        </w:numPr>
      </w:pPr>
      <w:r>
        <w:rPr>
          <w:i/>
        </w:rPr>
        <w:t>s4.4.4(d) – Becoming insolvent under administration</w:t>
      </w:r>
    </w:p>
    <w:p w14:paraId="71FD66C5" w14:textId="77777777" w:rsidR="00C064A7" w:rsidRPr="00753820" w:rsidRDefault="00C064A7" w:rsidP="00C064A7">
      <w:pPr>
        <w:pStyle w:val="NoSpacing"/>
        <w:ind w:left="2160"/>
      </w:pPr>
    </w:p>
    <w:p w14:paraId="0DB6F34C" w14:textId="77777777" w:rsidR="0061421E" w:rsidRPr="00C064A7" w:rsidRDefault="0061421E" w:rsidP="00EF67D1">
      <w:pPr>
        <w:pStyle w:val="NoSpacing"/>
        <w:numPr>
          <w:ilvl w:val="0"/>
          <w:numId w:val="110"/>
        </w:numPr>
      </w:pPr>
      <w:r>
        <w:rPr>
          <w:i/>
        </w:rPr>
        <w:t>s4.4.4(e) – Disqualified from managing any corporation</w:t>
      </w:r>
    </w:p>
    <w:p w14:paraId="215C8409" w14:textId="77777777" w:rsidR="00C064A7" w:rsidRPr="00753820" w:rsidRDefault="00C064A7" w:rsidP="00C064A7">
      <w:pPr>
        <w:pStyle w:val="NoSpacing"/>
        <w:ind w:left="2160"/>
      </w:pPr>
    </w:p>
    <w:p w14:paraId="3EA053BF" w14:textId="77777777" w:rsidR="0061421E" w:rsidRPr="00C064A7" w:rsidRDefault="0061421E" w:rsidP="00EF67D1">
      <w:pPr>
        <w:pStyle w:val="NoSpacing"/>
        <w:numPr>
          <w:ilvl w:val="0"/>
          <w:numId w:val="110"/>
        </w:numPr>
      </w:pPr>
      <w:r>
        <w:rPr>
          <w:i/>
        </w:rPr>
        <w:t>s4.4.4(f) – Failing to comply with any Tribunal order</w:t>
      </w:r>
    </w:p>
    <w:p w14:paraId="75421978" w14:textId="77777777" w:rsidR="00C064A7" w:rsidRPr="00753820" w:rsidRDefault="00C064A7" w:rsidP="00C064A7">
      <w:pPr>
        <w:pStyle w:val="NoSpacing"/>
        <w:ind w:left="2160"/>
      </w:pPr>
    </w:p>
    <w:p w14:paraId="27B99583" w14:textId="77777777" w:rsidR="0061421E" w:rsidRPr="00753820" w:rsidRDefault="0061421E" w:rsidP="00EF67D1">
      <w:pPr>
        <w:pStyle w:val="NoSpacing"/>
        <w:numPr>
          <w:ilvl w:val="0"/>
          <w:numId w:val="110"/>
        </w:numPr>
      </w:pPr>
      <w:r>
        <w:rPr>
          <w:i/>
        </w:rPr>
        <w:t>s4.4.4(g) – Failing to comply with Compensation order</w:t>
      </w:r>
    </w:p>
    <w:p w14:paraId="15A9953D" w14:textId="77777777" w:rsidR="0061421E" w:rsidRPr="000D089F" w:rsidRDefault="0061421E" w:rsidP="0061421E">
      <w:pPr>
        <w:pStyle w:val="NoSpacing"/>
        <w:ind w:left="2160"/>
      </w:pPr>
    </w:p>
    <w:p w14:paraId="60BCA695" w14:textId="77777777" w:rsidR="0058204C" w:rsidRDefault="00BD7914" w:rsidP="00BD7914">
      <w:pPr>
        <w:pStyle w:val="NoSpacing"/>
        <w:numPr>
          <w:ilvl w:val="1"/>
          <w:numId w:val="85"/>
        </w:numPr>
        <w:jc w:val="both"/>
        <w:rPr>
          <w:rFonts w:cs="Times New Roman"/>
          <w:szCs w:val="24"/>
        </w:rPr>
      </w:pPr>
      <w:r>
        <w:rPr>
          <w:rFonts w:cs="Times New Roman"/>
          <w:i/>
          <w:szCs w:val="24"/>
        </w:rPr>
        <w:t xml:space="preserve"> s4.4.6 LPA</w:t>
      </w:r>
      <w:r>
        <w:rPr>
          <w:rFonts w:cs="Times New Roman"/>
          <w:szCs w:val="24"/>
        </w:rPr>
        <w:t xml:space="preserve"> – </w:t>
      </w:r>
      <w:r w:rsidRPr="00E543DB">
        <w:rPr>
          <w:rFonts w:cs="Times New Roman"/>
          <w:b/>
          <w:szCs w:val="24"/>
          <w:u w:val="single"/>
        </w:rPr>
        <w:t>Wilful or reckless failure</w:t>
      </w:r>
      <w:r>
        <w:rPr>
          <w:rFonts w:cs="Times New Roman"/>
          <w:szCs w:val="24"/>
        </w:rPr>
        <w:t xml:space="preserve"> to comply with a </w:t>
      </w:r>
      <w:r w:rsidR="00E543DB">
        <w:rPr>
          <w:rFonts w:cs="Times New Roman"/>
          <w:szCs w:val="24"/>
        </w:rPr>
        <w:t xml:space="preserve">condition </w:t>
      </w:r>
      <w:r w:rsidR="0058204C">
        <w:rPr>
          <w:rFonts w:cs="Times New Roman"/>
          <w:szCs w:val="24"/>
        </w:rPr>
        <w:t xml:space="preserve">or undertaking </w:t>
      </w:r>
      <w:r w:rsidR="00E543DB">
        <w:rPr>
          <w:rFonts w:cs="Times New Roman"/>
          <w:szCs w:val="24"/>
        </w:rPr>
        <w:t xml:space="preserve">on </w:t>
      </w:r>
    </w:p>
    <w:p w14:paraId="2CC90231" w14:textId="7A75FE09" w:rsidR="0058204C" w:rsidRDefault="00E543DB" w:rsidP="0058204C">
      <w:pPr>
        <w:pStyle w:val="NoSpacing"/>
        <w:numPr>
          <w:ilvl w:val="2"/>
          <w:numId w:val="85"/>
        </w:numPr>
        <w:jc w:val="both"/>
        <w:rPr>
          <w:rFonts w:cs="Times New Roman"/>
          <w:szCs w:val="24"/>
        </w:rPr>
      </w:pPr>
      <w:r w:rsidRPr="00004328">
        <w:rPr>
          <w:rFonts w:cs="Times New Roman"/>
          <w:i/>
          <w:szCs w:val="24"/>
        </w:rPr>
        <w:lastRenderedPageBreak/>
        <w:t xml:space="preserve">a practicing certificate </w:t>
      </w:r>
      <w:r w:rsidR="00FF0792">
        <w:rPr>
          <w:rFonts w:cs="Times New Roman"/>
          <w:szCs w:val="24"/>
        </w:rPr>
        <w:t>–</w:t>
      </w:r>
      <w:r w:rsidR="006B0472">
        <w:rPr>
          <w:rFonts w:cs="Times New Roman"/>
          <w:szCs w:val="24"/>
        </w:rPr>
        <w:t xml:space="preserve"> </w:t>
      </w:r>
      <w:r w:rsidR="006B0472">
        <w:rPr>
          <w:rFonts w:cs="Times New Roman"/>
          <w:i/>
          <w:szCs w:val="24"/>
        </w:rPr>
        <w:t>s4.4.6(a) LPA</w:t>
      </w:r>
    </w:p>
    <w:p w14:paraId="3665E2B9" w14:textId="056BD628" w:rsidR="0058204C" w:rsidRDefault="0058204C" w:rsidP="0058204C">
      <w:pPr>
        <w:pStyle w:val="NoSpacing"/>
        <w:numPr>
          <w:ilvl w:val="2"/>
          <w:numId w:val="85"/>
        </w:numPr>
        <w:jc w:val="both"/>
        <w:rPr>
          <w:rFonts w:cs="Times New Roman"/>
          <w:szCs w:val="24"/>
        </w:rPr>
      </w:pPr>
      <w:r w:rsidRPr="00004328">
        <w:rPr>
          <w:rFonts w:cs="Times New Roman"/>
          <w:i/>
          <w:szCs w:val="24"/>
        </w:rPr>
        <w:t>a</w:t>
      </w:r>
      <w:r w:rsidR="005C7888" w:rsidRPr="00004328">
        <w:rPr>
          <w:rFonts w:cs="Times New Roman"/>
          <w:i/>
          <w:szCs w:val="24"/>
        </w:rPr>
        <w:t xml:space="preserve"> undertaken given to Court, Tribunal, Commissioner or Board</w:t>
      </w:r>
      <w:r w:rsidR="005C7888">
        <w:rPr>
          <w:rFonts w:cs="Times New Roman"/>
          <w:szCs w:val="24"/>
        </w:rPr>
        <w:t xml:space="preserve"> – </w:t>
      </w:r>
      <w:r w:rsidR="005C7888">
        <w:rPr>
          <w:rFonts w:cs="Times New Roman"/>
          <w:i/>
          <w:szCs w:val="24"/>
        </w:rPr>
        <w:t>s4.4.6(</w:t>
      </w:r>
      <w:r w:rsidR="00004328">
        <w:rPr>
          <w:rFonts w:cs="Times New Roman"/>
          <w:i/>
          <w:szCs w:val="24"/>
        </w:rPr>
        <w:t>b</w:t>
      </w:r>
      <w:r w:rsidR="005C7888">
        <w:rPr>
          <w:rFonts w:cs="Times New Roman"/>
          <w:i/>
          <w:szCs w:val="24"/>
        </w:rPr>
        <w:t>) LPA</w:t>
      </w:r>
    </w:p>
    <w:p w14:paraId="2F3CD509" w14:textId="2FB3BDB8" w:rsidR="00BD7914" w:rsidRDefault="00E543DB" w:rsidP="0058204C">
      <w:pPr>
        <w:pStyle w:val="NoSpacing"/>
        <w:ind w:left="720" w:firstLine="720"/>
        <w:jc w:val="both"/>
        <w:rPr>
          <w:rFonts w:cs="Times New Roman"/>
          <w:szCs w:val="24"/>
        </w:rPr>
      </w:pPr>
      <w:proofErr w:type="gramStart"/>
      <w:r>
        <w:rPr>
          <w:rFonts w:cs="Times New Roman"/>
          <w:szCs w:val="24"/>
        </w:rPr>
        <w:t>constitutes</w:t>
      </w:r>
      <w:proofErr w:type="gramEnd"/>
      <w:r>
        <w:rPr>
          <w:rFonts w:cs="Times New Roman"/>
          <w:szCs w:val="24"/>
        </w:rPr>
        <w:t xml:space="preserve"> unsatisfactory professional conduct.</w:t>
      </w:r>
    </w:p>
    <w:p w14:paraId="7532690E" w14:textId="77777777" w:rsidR="006F2855" w:rsidRDefault="006F2855" w:rsidP="0058204C">
      <w:pPr>
        <w:pStyle w:val="NoSpacing"/>
        <w:ind w:left="720" w:firstLine="720"/>
        <w:jc w:val="both"/>
        <w:rPr>
          <w:rFonts w:cs="Times New Roman"/>
          <w:szCs w:val="24"/>
        </w:rPr>
      </w:pPr>
    </w:p>
    <w:p w14:paraId="4FFD5361" w14:textId="42F53A90" w:rsidR="00252BF0" w:rsidRDefault="00402D3D" w:rsidP="00EB0973">
      <w:pPr>
        <w:pStyle w:val="NoSpacing"/>
        <w:rPr>
          <w:rFonts w:cs="Times New Roman"/>
          <w:b/>
          <w:szCs w:val="24"/>
          <w:u w:val="single"/>
        </w:rPr>
      </w:pPr>
      <w:r>
        <w:rPr>
          <w:rFonts w:cs="Times New Roman"/>
          <w:b/>
          <w:szCs w:val="24"/>
          <w:u w:val="single"/>
        </w:rPr>
        <w:t xml:space="preserve">Misconduct </w:t>
      </w:r>
      <w:r w:rsidR="00263B86">
        <w:rPr>
          <w:rFonts w:cs="Times New Roman"/>
          <w:b/>
          <w:szCs w:val="24"/>
          <w:u w:val="single"/>
        </w:rPr>
        <w:t>in</w:t>
      </w:r>
      <w:r>
        <w:rPr>
          <w:rFonts w:cs="Times New Roman"/>
          <w:b/>
          <w:szCs w:val="24"/>
          <w:u w:val="single"/>
        </w:rPr>
        <w:t xml:space="preserve"> </w:t>
      </w:r>
      <w:r w:rsidR="00EB0973">
        <w:rPr>
          <w:rFonts w:cs="Times New Roman"/>
          <w:b/>
          <w:szCs w:val="24"/>
          <w:u w:val="single"/>
        </w:rPr>
        <w:t>Course of Practice</w:t>
      </w:r>
      <w:r w:rsidR="00605143">
        <w:rPr>
          <w:rFonts w:cs="Times New Roman"/>
          <w:b/>
          <w:szCs w:val="24"/>
          <w:u w:val="single"/>
        </w:rPr>
        <w:t xml:space="preserve"> </w:t>
      </w:r>
    </w:p>
    <w:p w14:paraId="38C632DB" w14:textId="4235E87F" w:rsidR="009C4A4D" w:rsidRPr="00975E8C" w:rsidRDefault="009C4A4D" w:rsidP="0069421D">
      <w:pPr>
        <w:pStyle w:val="NoSpacing"/>
        <w:numPr>
          <w:ilvl w:val="0"/>
          <w:numId w:val="86"/>
        </w:numPr>
        <w:rPr>
          <w:szCs w:val="24"/>
        </w:rPr>
      </w:pPr>
      <w:r w:rsidRPr="009567D4">
        <w:rPr>
          <w:b/>
          <w:i/>
          <w:szCs w:val="24"/>
        </w:rPr>
        <w:t>General</w:t>
      </w:r>
      <w:r>
        <w:rPr>
          <w:i/>
          <w:szCs w:val="24"/>
        </w:rPr>
        <w:t xml:space="preserve"> – </w:t>
      </w:r>
      <w:r w:rsidR="00975E8C">
        <w:rPr>
          <w:szCs w:val="24"/>
        </w:rPr>
        <w:t xml:space="preserve">PCPR 1,2 – Act for the client </w:t>
      </w:r>
      <w:r w:rsidR="00975E8C" w:rsidRPr="00301F92">
        <w:rPr>
          <w:i/>
          <w:szCs w:val="24"/>
          <w:u w:val="single"/>
        </w:rPr>
        <w:t>‘</w:t>
      </w:r>
      <w:r w:rsidR="001B5AD0" w:rsidRPr="00301F92">
        <w:rPr>
          <w:i/>
          <w:szCs w:val="24"/>
          <w:u w:val="single"/>
        </w:rPr>
        <w:t xml:space="preserve">honestly, fairly, </w:t>
      </w:r>
      <w:r w:rsidR="00975E8C" w:rsidRPr="00301F92">
        <w:rPr>
          <w:i/>
          <w:szCs w:val="24"/>
          <w:u w:val="single"/>
        </w:rPr>
        <w:t xml:space="preserve">in the clients best interests and maintain </w:t>
      </w:r>
      <w:r w:rsidR="00C30BC1" w:rsidRPr="00301F92">
        <w:rPr>
          <w:i/>
          <w:szCs w:val="24"/>
          <w:u w:val="single"/>
        </w:rPr>
        <w:t>clients</w:t>
      </w:r>
      <w:r w:rsidR="00975E8C" w:rsidRPr="00301F92">
        <w:rPr>
          <w:i/>
          <w:szCs w:val="24"/>
          <w:u w:val="single"/>
        </w:rPr>
        <w:t xml:space="preserve"> confidences</w:t>
      </w:r>
      <w:r w:rsidR="001B5AD0" w:rsidRPr="00301F92">
        <w:rPr>
          <w:i/>
          <w:szCs w:val="24"/>
          <w:u w:val="single"/>
        </w:rPr>
        <w:t xml:space="preserve"> with competence and diligence’</w:t>
      </w:r>
    </w:p>
    <w:p w14:paraId="2699BE66" w14:textId="77777777" w:rsidR="009C4A4D" w:rsidRPr="009C4A4D" w:rsidRDefault="009C4A4D" w:rsidP="009C4A4D">
      <w:pPr>
        <w:pStyle w:val="NoSpacing"/>
        <w:ind w:left="720"/>
        <w:rPr>
          <w:b/>
          <w:szCs w:val="24"/>
        </w:rPr>
      </w:pPr>
    </w:p>
    <w:p w14:paraId="68229B9F" w14:textId="735ABBF4" w:rsidR="00193657" w:rsidRPr="00B1036A" w:rsidRDefault="00193657" w:rsidP="0069421D">
      <w:pPr>
        <w:pStyle w:val="NoSpacing"/>
        <w:numPr>
          <w:ilvl w:val="0"/>
          <w:numId w:val="86"/>
        </w:numPr>
        <w:rPr>
          <w:b/>
          <w:szCs w:val="24"/>
        </w:rPr>
      </w:pPr>
      <w:r w:rsidRPr="00B1036A">
        <w:rPr>
          <w:b/>
          <w:i/>
          <w:szCs w:val="24"/>
        </w:rPr>
        <w:t>Misleading a court or tribunal</w:t>
      </w:r>
      <w:r w:rsidR="00605143">
        <w:rPr>
          <w:b/>
          <w:i/>
          <w:szCs w:val="24"/>
        </w:rPr>
        <w:t xml:space="preserve"> – </w:t>
      </w:r>
    </w:p>
    <w:p w14:paraId="40E0FA57" w14:textId="4F28EE44" w:rsidR="00A55320" w:rsidRDefault="000B6F02" w:rsidP="0069421D">
      <w:pPr>
        <w:pStyle w:val="NoSpacing"/>
        <w:numPr>
          <w:ilvl w:val="1"/>
          <w:numId w:val="86"/>
        </w:numPr>
        <w:rPr>
          <w:szCs w:val="24"/>
        </w:rPr>
      </w:pPr>
      <w:r>
        <w:rPr>
          <w:i/>
          <w:szCs w:val="24"/>
        </w:rPr>
        <w:t xml:space="preserve">Knowingly &amp; Deliberately – </w:t>
      </w:r>
      <w:r w:rsidR="009137B1">
        <w:rPr>
          <w:i/>
          <w:szCs w:val="24"/>
        </w:rPr>
        <w:t>s4.4.</w:t>
      </w:r>
      <w:r w:rsidR="008F043D">
        <w:rPr>
          <w:i/>
          <w:szCs w:val="24"/>
        </w:rPr>
        <w:t>4</w:t>
      </w:r>
      <w:r w:rsidR="009137B1">
        <w:rPr>
          <w:i/>
          <w:szCs w:val="24"/>
        </w:rPr>
        <w:t>(</w:t>
      </w:r>
      <w:r w:rsidR="008F043D">
        <w:rPr>
          <w:i/>
          <w:szCs w:val="24"/>
        </w:rPr>
        <w:t>c</w:t>
      </w:r>
      <w:r w:rsidR="009137B1">
        <w:rPr>
          <w:i/>
          <w:szCs w:val="24"/>
        </w:rPr>
        <w:t>)</w:t>
      </w:r>
      <w:r w:rsidR="008F043D">
        <w:rPr>
          <w:i/>
          <w:szCs w:val="24"/>
        </w:rPr>
        <w:t>(ii)</w:t>
      </w:r>
      <w:r w:rsidR="00EB6A9B">
        <w:rPr>
          <w:i/>
          <w:szCs w:val="24"/>
        </w:rPr>
        <w:t xml:space="preserve"> LPA </w:t>
      </w:r>
      <w:r w:rsidR="009137B1">
        <w:rPr>
          <w:i/>
          <w:szCs w:val="24"/>
        </w:rPr>
        <w:t xml:space="preserve">– </w:t>
      </w:r>
      <w:r w:rsidR="00193657" w:rsidRPr="00193657">
        <w:rPr>
          <w:szCs w:val="24"/>
        </w:rPr>
        <w:t xml:space="preserve">A lawyer who </w:t>
      </w:r>
      <w:r w:rsidR="00FD6C5D">
        <w:rPr>
          <w:szCs w:val="24"/>
        </w:rPr>
        <w:t>knowingly and intently</w:t>
      </w:r>
      <w:r w:rsidR="00193657" w:rsidRPr="00193657">
        <w:rPr>
          <w:szCs w:val="24"/>
        </w:rPr>
        <w:t xml:space="preserve"> deceive</w:t>
      </w:r>
      <w:r w:rsidR="00047E9E">
        <w:rPr>
          <w:szCs w:val="24"/>
        </w:rPr>
        <w:t>s</w:t>
      </w:r>
      <w:r w:rsidR="00193657" w:rsidRPr="00193657">
        <w:rPr>
          <w:szCs w:val="24"/>
        </w:rPr>
        <w:t xml:space="preserve"> a court or tribunal displays </w:t>
      </w:r>
      <w:r w:rsidR="00193657" w:rsidRPr="00983317">
        <w:rPr>
          <w:b/>
          <w:i/>
          <w:szCs w:val="24"/>
        </w:rPr>
        <w:t>dishonesty</w:t>
      </w:r>
      <w:r w:rsidR="00193657" w:rsidRPr="00193657">
        <w:rPr>
          <w:szCs w:val="24"/>
        </w:rPr>
        <w:t>, and thus commits professional misc</w:t>
      </w:r>
      <w:r w:rsidR="00210281">
        <w:rPr>
          <w:szCs w:val="24"/>
        </w:rPr>
        <w:t>onduct and will be struck off</w:t>
      </w:r>
    </w:p>
    <w:p w14:paraId="12B91D59" w14:textId="1CF3293A" w:rsidR="00193657" w:rsidRPr="00A55320" w:rsidRDefault="00193657" w:rsidP="0069421D">
      <w:pPr>
        <w:pStyle w:val="NoSpacing"/>
        <w:numPr>
          <w:ilvl w:val="2"/>
          <w:numId w:val="86"/>
        </w:numPr>
        <w:rPr>
          <w:szCs w:val="24"/>
        </w:rPr>
      </w:pPr>
      <w:r w:rsidRPr="00A55320">
        <w:rPr>
          <w:i/>
          <w:szCs w:val="24"/>
        </w:rPr>
        <w:t>O’Reilly</w:t>
      </w:r>
      <w:r w:rsidR="00A55320" w:rsidRPr="00A55320">
        <w:rPr>
          <w:i/>
          <w:szCs w:val="24"/>
        </w:rPr>
        <w:t xml:space="preserve"> v Law Society of NSW</w:t>
      </w:r>
      <w:r w:rsidR="00B1036A">
        <w:rPr>
          <w:i/>
          <w:szCs w:val="24"/>
        </w:rPr>
        <w:t>; Council of Queensland Law Society v Wright</w:t>
      </w:r>
    </w:p>
    <w:p w14:paraId="175F5F8A" w14:textId="77777777" w:rsidR="00A55320" w:rsidRPr="00193657" w:rsidRDefault="00A55320" w:rsidP="00210281">
      <w:pPr>
        <w:pStyle w:val="NoSpacing"/>
        <w:rPr>
          <w:szCs w:val="24"/>
        </w:rPr>
      </w:pPr>
    </w:p>
    <w:p w14:paraId="62A7991A" w14:textId="4CD8F08D" w:rsidR="00193657" w:rsidRDefault="00193657" w:rsidP="0069421D">
      <w:pPr>
        <w:pStyle w:val="NoSpacing"/>
        <w:numPr>
          <w:ilvl w:val="1"/>
          <w:numId w:val="86"/>
        </w:numPr>
        <w:rPr>
          <w:szCs w:val="24"/>
        </w:rPr>
      </w:pPr>
      <w:r w:rsidRPr="00004328">
        <w:rPr>
          <w:i/>
          <w:szCs w:val="24"/>
        </w:rPr>
        <w:t>Recklessly misleading a court</w:t>
      </w:r>
      <w:r w:rsidRPr="00193657">
        <w:rPr>
          <w:szCs w:val="24"/>
        </w:rPr>
        <w:t xml:space="preserve"> </w:t>
      </w:r>
      <w:r w:rsidR="0017512C">
        <w:rPr>
          <w:i/>
          <w:szCs w:val="24"/>
        </w:rPr>
        <w:t>–</w:t>
      </w:r>
      <w:r w:rsidR="00004328">
        <w:rPr>
          <w:szCs w:val="24"/>
        </w:rPr>
        <w:t xml:space="preserve"> </w:t>
      </w:r>
      <w:r w:rsidR="00004328">
        <w:rPr>
          <w:rFonts w:cs="Times New Roman"/>
          <w:i/>
          <w:szCs w:val="24"/>
        </w:rPr>
        <w:t>s4.4.6(b) LPA</w:t>
      </w:r>
      <w:r w:rsidR="00004328" w:rsidRPr="00193657">
        <w:rPr>
          <w:szCs w:val="24"/>
        </w:rPr>
        <w:t xml:space="preserve"> </w:t>
      </w:r>
      <w:r w:rsidR="00004328">
        <w:rPr>
          <w:szCs w:val="24"/>
        </w:rPr>
        <w:t>–</w:t>
      </w:r>
      <w:r w:rsidR="0017512C">
        <w:rPr>
          <w:szCs w:val="24"/>
        </w:rPr>
        <w:t xml:space="preserve"> </w:t>
      </w:r>
      <w:r w:rsidRPr="00193657">
        <w:rPr>
          <w:szCs w:val="24"/>
        </w:rPr>
        <w:t>will attract a disciplinary sanction, the severity depending on the degree of recklessness</w:t>
      </w:r>
    </w:p>
    <w:p w14:paraId="740869D7" w14:textId="77777777" w:rsidR="00272206" w:rsidRDefault="00FB4EFD" w:rsidP="0069421D">
      <w:pPr>
        <w:pStyle w:val="NoSpacing"/>
        <w:numPr>
          <w:ilvl w:val="2"/>
          <w:numId w:val="86"/>
        </w:numPr>
        <w:rPr>
          <w:szCs w:val="24"/>
        </w:rPr>
      </w:pPr>
      <w:r>
        <w:rPr>
          <w:i/>
          <w:szCs w:val="24"/>
        </w:rPr>
        <w:t xml:space="preserve">Law Society of NSW v </w:t>
      </w:r>
      <w:proofErr w:type="spellStart"/>
      <w:r>
        <w:rPr>
          <w:i/>
          <w:szCs w:val="24"/>
        </w:rPr>
        <w:t>McElvenny</w:t>
      </w:r>
      <w:proofErr w:type="spellEnd"/>
    </w:p>
    <w:p w14:paraId="601424C9" w14:textId="77777777" w:rsidR="00FA28C6" w:rsidRDefault="00FA28C6" w:rsidP="00272206">
      <w:pPr>
        <w:pStyle w:val="NoSpacing"/>
        <w:rPr>
          <w:i/>
          <w:szCs w:val="24"/>
        </w:rPr>
      </w:pPr>
    </w:p>
    <w:p w14:paraId="01D14855" w14:textId="37801268" w:rsidR="00272206" w:rsidRDefault="00272206" w:rsidP="00272206">
      <w:pPr>
        <w:pStyle w:val="NoSpacing"/>
        <w:rPr>
          <w:szCs w:val="24"/>
        </w:rPr>
      </w:pPr>
      <w:r>
        <w:rPr>
          <w:i/>
          <w:szCs w:val="24"/>
        </w:rPr>
        <w:t xml:space="preserve">Law Society of NSW v </w:t>
      </w:r>
      <w:proofErr w:type="spellStart"/>
      <w:r>
        <w:rPr>
          <w:i/>
          <w:szCs w:val="24"/>
        </w:rPr>
        <w:t>McElvenny</w:t>
      </w:r>
      <w:proofErr w:type="spellEnd"/>
    </w:p>
    <w:p w14:paraId="2FABF68B" w14:textId="3EB721D3" w:rsidR="00272206" w:rsidRPr="00272206" w:rsidRDefault="00272206" w:rsidP="00272206">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szCs w:val="24"/>
        </w:rPr>
      </w:pPr>
      <w:r w:rsidRPr="00272206">
        <w:rPr>
          <w:szCs w:val="24"/>
        </w:rPr>
        <w:t xml:space="preserve">Solicitor swore a false affidavit </w:t>
      </w:r>
      <w:r>
        <w:rPr>
          <w:szCs w:val="24"/>
        </w:rPr>
        <w:t xml:space="preserve">verifying a </w:t>
      </w:r>
      <w:proofErr w:type="spellStart"/>
      <w:r>
        <w:rPr>
          <w:szCs w:val="24"/>
        </w:rPr>
        <w:t>defense</w:t>
      </w:r>
      <w:proofErr w:type="spellEnd"/>
      <w:r>
        <w:rPr>
          <w:szCs w:val="24"/>
        </w:rPr>
        <w:t xml:space="preserve"> found committed for unsatisfactory conduct.</w:t>
      </w:r>
      <w:r w:rsidR="006F2855">
        <w:rPr>
          <w:szCs w:val="24"/>
        </w:rPr>
        <w:t xml:space="preserve"> </w:t>
      </w:r>
      <w:r>
        <w:rPr>
          <w:b/>
          <w:szCs w:val="24"/>
        </w:rPr>
        <w:t xml:space="preserve">Held: </w:t>
      </w:r>
      <w:r>
        <w:rPr>
          <w:szCs w:val="24"/>
        </w:rPr>
        <w:t xml:space="preserve">Was not ‘professional misconduct’ because ‘he did not deliberately </w:t>
      </w:r>
      <w:proofErr w:type="spellStart"/>
      <w:r>
        <w:rPr>
          <w:szCs w:val="24"/>
        </w:rPr>
        <w:t>swaer</w:t>
      </w:r>
      <w:proofErr w:type="spellEnd"/>
      <w:r>
        <w:rPr>
          <w:szCs w:val="24"/>
        </w:rPr>
        <w:t xml:space="preserve"> a false affidavit and had no intention to deceive but acted recklessly when he verified the amended defence without even ready it’</w:t>
      </w:r>
    </w:p>
    <w:p w14:paraId="028829FC" w14:textId="77777777" w:rsidR="00193657" w:rsidRDefault="00193657" w:rsidP="00193657">
      <w:pPr>
        <w:pStyle w:val="NoSpacing"/>
        <w:rPr>
          <w:szCs w:val="24"/>
        </w:rPr>
      </w:pPr>
    </w:p>
    <w:p w14:paraId="52A95602" w14:textId="25663F26" w:rsidR="00193657" w:rsidRPr="002D25A8" w:rsidRDefault="00193657" w:rsidP="0069421D">
      <w:pPr>
        <w:pStyle w:val="NoSpacing"/>
        <w:numPr>
          <w:ilvl w:val="0"/>
          <w:numId w:val="86"/>
        </w:numPr>
        <w:rPr>
          <w:b/>
          <w:szCs w:val="24"/>
        </w:rPr>
      </w:pPr>
      <w:r w:rsidRPr="002D25A8">
        <w:rPr>
          <w:b/>
          <w:i/>
          <w:szCs w:val="24"/>
        </w:rPr>
        <w:t xml:space="preserve">Misleading another </w:t>
      </w:r>
      <w:r w:rsidR="0028446E">
        <w:rPr>
          <w:b/>
          <w:i/>
          <w:szCs w:val="24"/>
        </w:rPr>
        <w:t xml:space="preserve">client, </w:t>
      </w:r>
      <w:r w:rsidRPr="002D25A8">
        <w:rPr>
          <w:b/>
          <w:i/>
          <w:szCs w:val="24"/>
        </w:rPr>
        <w:t>lawyer or a third party</w:t>
      </w:r>
      <w:r w:rsidR="002D25A8">
        <w:rPr>
          <w:b/>
          <w:i/>
          <w:szCs w:val="24"/>
        </w:rPr>
        <w:t xml:space="preserve"> – </w:t>
      </w:r>
      <w:r w:rsidR="002D25A8" w:rsidRPr="00784321">
        <w:rPr>
          <w:i/>
          <w:szCs w:val="24"/>
        </w:rPr>
        <w:t>s4.4.4(c)(iii)</w:t>
      </w:r>
      <w:r w:rsidR="00784321" w:rsidRPr="00784321">
        <w:rPr>
          <w:i/>
          <w:szCs w:val="24"/>
        </w:rPr>
        <w:t xml:space="preserve"> LPA</w:t>
      </w:r>
      <w:r w:rsidR="00784321">
        <w:rPr>
          <w:b/>
          <w:i/>
          <w:szCs w:val="24"/>
        </w:rPr>
        <w:t xml:space="preserve"> – </w:t>
      </w:r>
    </w:p>
    <w:p w14:paraId="2B3317EA" w14:textId="19D375C3" w:rsidR="00A275B1" w:rsidRDefault="00A275B1" w:rsidP="0069421D">
      <w:pPr>
        <w:pStyle w:val="NoSpacing"/>
        <w:numPr>
          <w:ilvl w:val="1"/>
          <w:numId w:val="86"/>
        </w:numPr>
        <w:rPr>
          <w:szCs w:val="24"/>
        </w:rPr>
      </w:pPr>
      <w:r>
        <w:rPr>
          <w:i/>
          <w:szCs w:val="24"/>
        </w:rPr>
        <w:t xml:space="preserve">Knowingly Making False Statements – </w:t>
      </w:r>
      <w:r w:rsidR="00193657" w:rsidRPr="00193657">
        <w:rPr>
          <w:szCs w:val="24"/>
        </w:rPr>
        <w:t>Knowingly making false statements (written or oral) to third parties (including another lawyer, clients or a body), is prima facie evidence of professi</w:t>
      </w:r>
      <w:r>
        <w:rPr>
          <w:szCs w:val="24"/>
        </w:rPr>
        <w:t xml:space="preserve">onal misconduct </w:t>
      </w:r>
    </w:p>
    <w:p w14:paraId="45556338" w14:textId="7C1776BC" w:rsidR="00193657" w:rsidRPr="00F64256" w:rsidRDefault="00193657" w:rsidP="0069421D">
      <w:pPr>
        <w:pStyle w:val="NoSpacing"/>
        <w:numPr>
          <w:ilvl w:val="2"/>
          <w:numId w:val="86"/>
        </w:numPr>
        <w:rPr>
          <w:szCs w:val="24"/>
        </w:rPr>
      </w:pPr>
      <w:proofErr w:type="spellStart"/>
      <w:r w:rsidRPr="00193657">
        <w:rPr>
          <w:i/>
          <w:szCs w:val="24"/>
        </w:rPr>
        <w:t>Mellifont</w:t>
      </w:r>
      <w:proofErr w:type="spellEnd"/>
      <w:r w:rsidRPr="00193657">
        <w:rPr>
          <w:i/>
          <w:szCs w:val="24"/>
        </w:rPr>
        <w:t xml:space="preserve"> v QLD Law Society</w:t>
      </w:r>
    </w:p>
    <w:p w14:paraId="3592CC93" w14:textId="5BBF0329" w:rsidR="00F64256" w:rsidRPr="00F64256" w:rsidRDefault="00F64256" w:rsidP="0069421D">
      <w:pPr>
        <w:pStyle w:val="NoSpacing"/>
        <w:numPr>
          <w:ilvl w:val="2"/>
          <w:numId w:val="86"/>
        </w:numPr>
        <w:rPr>
          <w:szCs w:val="24"/>
        </w:rPr>
      </w:pPr>
      <w:r w:rsidRPr="00193657">
        <w:rPr>
          <w:i/>
          <w:szCs w:val="24"/>
        </w:rPr>
        <w:t>Legal Practitioners Conduct Board v Hannaford</w:t>
      </w:r>
    </w:p>
    <w:p w14:paraId="49E91AFA" w14:textId="77777777" w:rsidR="00F64256" w:rsidRDefault="00F64256" w:rsidP="00F64256">
      <w:pPr>
        <w:pStyle w:val="NoSpacing"/>
        <w:rPr>
          <w:i/>
          <w:szCs w:val="24"/>
        </w:rPr>
      </w:pPr>
    </w:p>
    <w:p w14:paraId="44D89503" w14:textId="43D96F81" w:rsidR="00F64256" w:rsidRDefault="00F64256" w:rsidP="00F64256">
      <w:pPr>
        <w:pStyle w:val="NoSpacing"/>
        <w:rPr>
          <w:i/>
          <w:szCs w:val="24"/>
        </w:rPr>
      </w:pPr>
      <w:r w:rsidRPr="00193657">
        <w:rPr>
          <w:i/>
          <w:szCs w:val="24"/>
        </w:rPr>
        <w:t>Legal Practitioners Conduct Board v Hannaford</w:t>
      </w:r>
    </w:p>
    <w:p w14:paraId="77CC22AC" w14:textId="7F40ED55" w:rsidR="00193657" w:rsidRPr="00193657" w:rsidRDefault="00F64256" w:rsidP="00F64256">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szCs w:val="24"/>
        </w:rPr>
      </w:pPr>
      <w:r>
        <w:rPr>
          <w:szCs w:val="24"/>
        </w:rPr>
        <w:t xml:space="preserve">A </w:t>
      </w:r>
      <w:r w:rsidR="00193657" w:rsidRPr="00193657">
        <w:rPr>
          <w:szCs w:val="24"/>
        </w:rPr>
        <w:t xml:space="preserve">lawyer received </w:t>
      </w:r>
      <w:proofErr w:type="gramStart"/>
      <w:r w:rsidR="00193657" w:rsidRPr="00193657">
        <w:rPr>
          <w:szCs w:val="24"/>
        </w:rPr>
        <w:t>from a client moneys</w:t>
      </w:r>
      <w:proofErr w:type="gramEnd"/>
      <w:r w:rsidR="00193657" w:rsidRPr="00193657">
        <w:rPr>
          <w:szCs w:val="24"/>
        </w:rPr>
        <w:t xml:space="preserve"> for fees in advance, but did not bring this to the attention of the Legal Aid Commission but instead declared to the Commission that the client had no prospects of pri</w:t>
      </w:r>
      <w:r>
        <w:rPr>
          <w:szCs w:val="24"/>
        </w:rPr>
        <w:t xml:space="preserve">vate funding. </w:t>
      </w:r>
      <w:r w:rsidRPr="00F64256">
        <w:rPr>
          <w:b/>
          <w:szCs w:val="24"/>
        </w:rPr>
        <w:t>Held</w:t>
      </w:r>
      <w:r>
        <w:rPr>
          <w:szCs w:val="24"/>
        </w:rPr>
        <w:t>:</w:t>
      </w:r>
      <w:r w:rsidR="00193657" w:rsidRPr="00193657">
        <w:rPr>
          <w:szCs w:val="24"/>
        </w:rPr>
        <w:t xml:space="preserve"> The SA Supreme Court stuck him off</w:t>
      </w:r>
      <w:r>
        <w:rPr>
          <w:szCs w:val="24"/>
        </w:rPr>
        <w:t>.</w:t>
      </w:r>
    </w:p>
    <w:p w14:paraId="3CBF5847" w14:textId="77777777" w:rsidR="00193657" w:rsidRDefault="00193657" w:rsidP="00193657">
      <w:pPr>
        <w:pStyle w:val="NoSpacing"/>
        <w:rPr>
          <w:szCs w:val="24"/>
        </w:rPr>
      </w:pPr>
    </w:p>
    <w:p w14:paraId="6D5B1DB0" w14:textId="00BC641B" w:rsidR="00193657" w:rsidRPr="00EF50B5" w:rsidRDefault="00193657" w:rsidP="0069421D">
      <w:pPr>
        <w:pStyle w:val="NoSpacing"/>
        <w:numPr>
          <w:ilvl w:val="0"/>
          <w:numId w:val="86"/>
        </w:numPr>
        <w:rPr>
          <w:b/>
          <w:szCs w:val="24"/>
        </w:rPr>
      </w:pPr>
      <w:r w:rsidRPr="00EF50B5">
        <w:rPr>
          <w:b/>
          <w:i/>
          <w:szCs w:val="24"/>
        </w:rPr>
        <w:t>Misleading a professional body</w:t>
      </w:r>
      <w:r w:rsidR="00542581">
        <w:rPr>
          <w:b/>
          <w:i/>
          <w:szCs w:val="24"/>
        </w:rPr>
        <w:t xml:space="preserve"> </w:t>
      </w:r>
      <w:r w:rsidR="00542581">
        <w:rPr>
          <w:i/>
          <w:szCs w:val="24"/>
        </w:rPr>
        <w:t>– s4.4.4(c)(i</w:t>
      </w:r>
      <w:r w:rsidR="001435F2">
        <w:rPr>
          <w:i/>
          <w:szCs w:val="24"/>
        </w:rPr>
        <w:t>i</w:t>
      </w:r>
      <w:r w:rsidR="00542581">
        <w:rPr>
          <w:i/>
          <w:szCs w:val="24"/>
        </w:rPr>
        <w:t>i) LPA</w:t>
      </w:r>
      <w:r w:rsidR="001D6564">
        <w:rPr>
          <w:i/>
          <w:szCs w:val="24"/>
        </w:rPr>
        <w:t xml:space="preserve"> </w:t>
      </w:r>
      <w:r w:rsidR="001435F2">
        <w:rPr>
          <w:i/>
          <w:szCs w:val="24"/>
        </w:rPr>
        <w:t>–</w:t>
      </w:r>
      <w:r w:rsidR="001D6564">
        <w:rPr>
          <w:i/>
          <w:szCs w:val="24"/>
        </w:rPr>
        <w:t xml:space="preserve"> Dishonesty</w:t>
      </w:r>
    </w:p>
    <w:p w14:paraId="5B8ED6DB" w14:textId="51A91C6F" w:rsidR="00193657" w:rsidRDefault="0029303A" w:rsidP="0069421D">
      <w:pPr>
        <w:pStyle w:val="NoSpacing"/>
        <w:numPr>
          <w:ilvl w:val="1"/>
          <w:numId w:val="87"/>
        </w:numPr>
        <w:rPr>
          <w:szCs w:val="24"/>
        </w:rPr>
      </w:pPr>
      <w:r>
        <w:rPr>
          <w:i/>
          <w:szCs w:val="24"/>
        </w:rPr>
        <w:t xml:space="preserve">False statements to professional bodies – </w:t>
      </w:r>
      <w:r w:rsidR="00193657" w:rsidRPr="00193657">
        <w:rPr>
          <w:szCs w:val="24"/>
        </w:rPr>
        <w:t xml:space="preserve">Lawyers who make false statements in an attempt to conceal misconduct from investigators, which often sets </w:t>
      </w:r>
      <w:r w:rsidR="001D6F6C">
        <w:rPr>
          <w:szCs w:val="24"/>
        </w:rPr>
        <w:t xml:space="preserve">off a series of </w:t>
      </w:r>
      <w:r w:rsidR="00193657" w:rsidRPr="00193657">
        <w:rPr>
          <w:szCs w:val="24"/>
        </w:rPr>
        <w:t>subsequent false statements.</w:t>
      </w:r>
    </w:p>
    <w:p w14:paraId="6F910F05" w14:textId="77777777" w:rsidR="00246F29" w:rsidRPr="00E41E28" w:rsidRDefault="00246F29" w:rsidP="0069421D">
      <w:pPr>
        <w:pStyle w:val="NoSpacing"/>
        <w:numPr>
          <w:ilvl w:val="2"/>
          <w:numId w:val="87"/>
        </w:numPr>
        <w:rPr>
          <w:szCs w:val="24"/>
        </w:rPr>
      </w:pPr>
      <w:r w:rsidRPr="00E41E28">
        <w:rPr>
          <w:i/>
          <w:szCs w:val="24"/>
        </w:rPr>
        <w:t>Law Society of NSW v McNamara</w:t>
      </w:r>
    </w:p>
    <w:p w14:paraId="3F50EF55" w14:textId="77777777" w:rsidR="00D21336" w:rsidRDefault="00D21336" w:rsidP="00D21336">
      <w:pPr>
        <w:pStyle w:val="NoSpacing"/>
        <w:ind w:left="1440"/>
        <w:rPr>
          <w:szCs w:val="24"/>
        </w:rPr>
      </w:pPr>
    </w:p>
    <w:p w14:paraId="1EFA751C" w14:textId="3763A02D" w:rsidR="00D21336" w:rsidRDefault="00B341BB" w:rsidP="0069421D">
      <w:pPr>
        <w:pStyle w:val="NoSpacing"/>
        <w:numPr>
          <w:ilvl w:val="1"/>
          <w:numId w:val="87"/>
        </w:numPr>
        <w:rPr>
          <w:szCs w:val="24"/>
        </w:rPr>
      </w:pPr>
      <w:r>
        <w:rPr>
          <w:i/>
          <w:szCs w:val="24"/>
        </w:rPr>
        <w:t xml:space="preserve">Original Misconduct less than Misleading Statements – </w:t>
      </w:r>
      <w:r w:rsidR="00193657" w:rsidRPr="00193657">
        <w:rPr>
          <w:szCs w:val="24"/>
        </w:rPr>
        <w:t xml:space="preserve">A lawyer can get struck off for misleading an investigator even though the </w:t>
      </w:r>
      <w:r w:rsidR="00193657" w:rsidRPr="00BF769A">
        <w:rPr>
          <w:szCs w:val="24"/>
          <w:u w:val="single"/>
        </w:rPr>
        <w:t>original misconduct being investigated would not of itself have been sufficiently se</w:t>
      </w:r>
      <w:r w:rsidR="00E41E28" w:rsidRPr="00BF769A">
        <w:rPr>
          <w:szCs w:val="24"/>
          <w:u w:val="single"/>
        </w:rPr>
        <w:t>rious to result in striking off</w:t>
      </w:r>
    </w:p>
    <w:p w14:paraId="11D57B62" w14:textId="18C3A68A" w:rsidR="00193657" w:rsidRPr="00A7192E" w:rsidRDefault="00193657" w:rsidP="0069421D">
      <w:pPr>
        <w:pStyle w:val="NoSpacing"/>
        <w:numPr>
          <w:ilvl w:val="2"/>
          <w:numId w:val="87"/>
        </w:numPr>
        <w:rPr>
          <w:szCs w:val="24"/>
        </w:rPr>
      </w:pPr>
      <w:r w:rsidRPr="00E41E28">
        <w:rPr>
          <w:i/>
          <w:szCs w:val="24"/>
        </w:rPr>
        <w:t>Law Society of NSW v McNamara</w:t>
      </w:r>
    </w:p>
    <w:p w14:paraId="0A8B5EC3" w14:textId="77777777" w:rsidR="00A7192E" w:rsidRDefault="00A7192E" w:rsidP="00A7192E">
      <w:pPr>
        <w:pStyle w:val="NoSpacing"/>
        <w:ind w:left="2160"/>
        <w:rPr>
          <w:szCs w:val="24"/>
        </w:rPr>
      </w:pPr>
    </w:p>
    <w:p w14:paraId="3F8D42BC" w14:textId="77777777" w:rsidR="00E32C84" w:rsidRPr="00A7192E" w:rsidRDefault="00E32C84" w:rsidP="00A7192E">
      <w:pPr>
        <w:pStyle w:val="NoSpacing"/>
        <w:ind w:left="2160"/>
        <w:rPr>
          <w:szCs w:val="24"/>
        </w:rPr>
      </w:pPr>
    </w:p>
    <w:p w14:paraId="5ECAB622" w14:textId="12CB85B4" w:rsidR="00A7192E" w:rsidRPr="00652464" w:rsidRDefault="00652464" w:rsidP="0069421D">
      <w:pPr>
        <w:pStyle w:val="NoSpacing"/>
        <w:numPr>
          <w:ilvl w:val="0"/>
          <w:numId w:val="86"/>
        </w:numPr>
        <w:rPr>
          <w:b/>
        </w:rPr>
      </w:pPr>
      <w:r w:rsidRPr="00652464">
        <w:rPr>
          <w:b/>
          <w:i/>
        </w:rPr>
        <w:t>Disrespect to the Court</w:t>
      </w:r>
      <w:r w:rsidR="00E22EEE">
        <w:rPr>
          <w:b/>
          <w:i/>
        </w:rPr>
        <w:t xml:space="preserve"> – s4.4.2 LPA – </w:t>
      </w:r>
      <w:r w:rsidR="00E22EEE" w:rsidRPr="00E22EEE">
        <w:rPr>
          <w:i/>
        </w:rPr>
        <w:t>‘in connection with the practicing of law’</w:t>
      </w:r>
    </w:p>
    <w:p w14:paraId="02ECEE44" w14:textId="39AAE027" w:rsidR="00EE70C2" w:rsidRPr="00AD6A0B" w:rsidRDefault="00EE70C2" w:rsidP="00AD6A0B">
      <w:pPr>
        <w:pStyle w:val="NoSpacing"/>
        <w:numPr>
          <w:ilvl w:val="1"/>
          <w:numId w:val="89"/>
        </w:numPr>
        <w:rPr>
          <w:szCs w:val="24"/>
        </w:rPr>
      </w:pPr>
      <w:r w:rsidRPr="00AD6A0B">
        <w:rPr>
          <w:i/>
          <w:szCs w:val="24"/>
        </w:rPr>
        <w:lastRenderedPageBreak/>
        <w:t xml:space="preserve">Contempt of Court </w:t>
      </w:r>
      <w:r w:rsidRPr="00AD6A0B">
        <w:rPr>
          <w:szCs w:val="24"/>
        </w:rPr>
        <w:t>– A lawyer can be struck off for showing contempt of Court</w:t>
      </w:r>
      <w:r w:rsidR="00AD6A0B">
        <w:rPr>
          <w:szCs w:val="24"/>
        </w:rPr>
        <w:t xml:space="preserve"> per </w:t>
      </w:r>
      <w:proofErr w:type="spellStart"/>
      <w:r w:rsidRPr="00AD6A0B">
        <w:rPr>
          <w:i/>
          <w:szCs w:val="24"/>
        </w:rPr>
        <w:t>Prothonotary</w:t>
      </w:r>
      <w:proofErr w:type="spellEnd"/>
      <w:r w:rsidRPr="00AD6A0B">
        <w:rPr>
          <w:i/>
          <w:szCs w:val="24"/>
        </w:rPr>
        <w:t xml:space="preserve"> of Supreme Court of NSW v Costello</w:t>
      </w:r>
    </w:p>
    <w:p w14:paraId="64D01172" w14:textId="77777777" w:rsidR="00910C41" w:rsidRPr="00910C41" w:rsidRDefault="00910C41" w:rsidP="00910C41">
      <w:pPr>
        <w:pStyle w:val="NoSpacing"/>
        <w:ind w:left="2160"/>
        <w:rPr>
          <w:szCs w:val="24"/>
        </w:rPr>
      </w:pPr>
    </w:p>
    <w:p w14:paraId="5EA428CA" w14:textId="51E2F452" w:rsidR="00910C41" w:rsidRDefault="007D0044" w:rsidP="0069421D">
      <w:pPr>
        <w:pStyle w:val="NoSpacing"/>
        <w:numPr>
          <w:ilvl w:val="1"/>
          <w:numId w:val="89"/>
        </w:numPr>
        <w:rPr>
          <w:szCs w:val="24"/>
        </w:rPr>
      </w:pPr>
      <w:r>
        <w:rPr>
          <w:i/>
          <w:szCs w:val="24"/>
        </w:rPr>
        <w:t xml:space="preserve">Grossly Offensive Language </w:t>
      </w:r>
      <w:r>
        <w:rPr>
          <w:szCs w:val="24"/>
        </w:rPr>
        <w:t>– A lawyer can be significantly reprimanded for the use of offensive or disrespectful language in Court.</w:t>
      </w:r>
    </w:p>
    <w:p w14:paraId="0AC3D98A" w14:textId="167D3E41" w:rsidR="007D0044" w:rsidRPr="00A60FB6" w:rsidRDefault="007D0044" w:rsidP="0069421D">
      <w:pPr>
        <w:pStyle w:val="NoSpacing"/>
        <w:numPr>
          <w:ilvl w:val="2"/>
          <w:numId w:val="89"/>
        </w:numPr>
        <w:rPr>
          <w:szCs w:val="24"/>
        </w:rPr>
      </w:pPr>
      <w:r>
        <w:rPr>
          <w:i/>
          <w:szCs w:val="24"/>
        </w:rPr>
        <w:t>Legal Services Commissioner v Turley</w:t>
      </w:r>
    </w:p>
    <w:p w14:paraId="669EC574" w14:textId="77777777" w:rsidR="00A60FB6" w:rsidRDefault="00A60FB6" w:rsidP="00A60FB6">
      <w:pPr>
        <w:pStyle w:val="NoSpacing"/>
        <w:ind w:left="2160"/>
        <w:rPr>
          <w:szCs w:val="24"/>
        </w:rPr>
      </w:pPr>
    </w:p>
    <w:p w14:paraId="1EA02335" w14:textId="77E932FB" w:rsidR="0001687C" w:rsidRPr="006F2855" w:rsidRDefault="00D93638" w:rsidP="00F32A7B">
      <w:pPr>
        <w:pStyle w:val="NoSpacing"/>
        <w:numPr>
          <w:ilvl w:val="1"/>
          <w:numId w:val="89"/>
        </w:numPr>
        <w:rPr>
          <w:szCs w:val="24"/>
        </w:rPr>
      </w:pPr>
      <w:r w:rsidRPr="00F32A7B">
        <w:rPr>
          <w:i/>
          <w:szCs w:val="24"/>
        </w:rPr>
        <w:t xml:space="preserve">Contact with Judge </w:t>
      </w:r>
      <w:r w:rsidRPr="00F32A7B">
        <w:rPr>
          <w:szCs w:val="24"/>
        </w:rPr>
        <w:t>– Inappropriately contacting or speaking</w:t>
      </w:r>
      <w:r w:rsidR="00F32A7B">
        <w:rPr>
          <w:szCs w:val="24"/>
        </w:rPr>
        <w:t xml:space="preserve"> to a judge outside of a matter;</w:t>
      </w:r>
      <w:r w:rsidRPr="00F32A7B">
        <w:rPr>
          <w:szCs w:val="24"/>
        </w:rPr>
        <w:t xml:space="preserve"> using threatening or inappropriate language aimed at </w:t>
      </w:r>
      <w:r w:rsidR="0001687C" w:rsidRPr="00F32A7B">
        <w:rPr>
          <w:szCs w:val="24"/>
        </w:rPr>
        <w:t>swaying</w:t>
      </w:r>
      <w:r w:rsidRPr="00F32A7B">
        <w:rPr>
          <w:szCs w:val="24"/>
        </w:rPr>
        <w:t xml:space="preserve"> a judge </w:t>
      </w:r>
      <w:r w:rsidR="0001687C" w:rsidRPr="00F32A7B">
        <w:rPr>
          <w:szCs w:val="24"/>
        </w:rPr>
        <w:t xml:space="preserve">is deemed </w:t>
      </w:r>
      <w:r w:rsidR="00F32A7B" w:rsidRPr="00F32A7B">
        <w:rPr>
          <w:szCs w:val="24"/>
        </w:rPr>
        <w:t xml:space="preserve">professional misconduct </w:t>
      </w:r>
      <w:r w:rsidR="00B5465A">
        <w:rPr>
          <w:szCs w:val="24"/>
        </w:rPr>
        <w:t>–</w:t>
      </w:r>
      <w:r w:rsidR="00D96623">
        <w:rPr>
          <w:szCs w:val="24"/>
        </w:rPr>
        <w:t xml:space="preserve"> </w:t>
      </w:r>
      <w:r w:rsidR="0001687C" w:rsidRPr="00F32A7B">
        <w:rPr>
          <w:i/>
          <w:szCs w:val="24"/>
        </w:rPr>
        <w:t xml:space="preserve">Council of NSW Bar v </w:t>
      </w:r>
      <w:proofErr w:type="spellStart"/>
      <w:r w:rsidR="0001687C" w:rsidRPr="00F32A7B">
        <w:rPr>
          <w:i/>
          <w:szCs w:val="24"/>
        </w:rPr>
        <w:t>Slowgrove</w:t>
      </w:r>
      <w:proofErr w:type="spellEnd"/>
    </w:p>
    <w:p w14:paraId="12997545" w14:textId="77777777" w:rsidR="006F2855" w:rsidRPr="00F32A7B" w:rsidRDefault="006F2855" w:rsidP="006F2855">
      <w:pPr>
        <w:pStyle w:val="NoSpacing"/>
        <w:rPr>
          <w:szCs w:val="24"/>
        </w:rPr>
      </w:pPr>
    </w:p>
    <w:p w14:paraId="7A948E05" w14:textId="77777777" w:rsidR="005A6E36" w:rsidRPr="006A2981" w:rsidRDefault="005A6E36" w:rsidP="0069421D">
      <w:pPr>
        <w:pStyle w:val="NoSpacing"/>
        <w:numPr>
          <w:ilvl w:val="0"/>
          <w:numId w:val="86"/>
        </w:numPr>
        <w:rPr>
          <w:b/>
        </w:rPr>
      </w:pPr>
      <w:r w:rsidRPr="006A2981">
        <w:rPr>
          <w:b/>
          <w:i/>
        </w:rPr>
        <w:t xml:space="preserve">Trust accounting irregularities </w:t>
      </w:r>
    </w:p>
    <w:p w14:paraId="02CC47AC" w14:textId="37BA33A8" w:rsidR="00B87BD9" w:rsidRDefault="008E0314" w:rsidP="0069421D">
      <w:pPr>
        <w:pStyle w:val="NoSpacing"/>
        <w:numPr>
          <w:ilvl w:val="0"/>
          <w:numId w:val="88"/>
        </w:numPr>
      </w:pPr>
      <w:r w:rsidRPr="008E0314">
        <w:rPr>
          <w:i/>
        </w:rPr>
        <w:t>Fraudulent misappropriation</w:t>
      </w:r>
      <w:r>
        <w:t xml:space="preserve"> – </w:t>
      </w:r>
      <w:r w:rsidR="00B87BD9">
        <w:t>Fraudulent</w:t>
      </w:r>
      <w:r>
        <w:t xml:space="preserve"> misappropriation of trust moneys is professional misconduct and criminal offence and will justify an</w:t>
      </w:r>
      <w:r w:rsidR="00971A34">
        <w:t xml:space="preserve"> order striking off the lawyer</w:t>
      </w:r>
    </w:p>
    <w:p w14:paraId="28E3AE95" w14:textId="52AEFCE8" w:rsidR="008E0314" w:rsidRDefault="008E0314" w:rsidP="0069421D">
      <w:pPr>
        <w:pStyle w:val="NoSpacing"/>
        <w:numPr>
          <w:ilvl w:val="1"/>
          <w:numId w:val="88"/>
        </w:numPr>
      </w:pPr>
      <w:r>
        <w:rPr>
          <w:i/>
        </w:rPr>
        <w:t xml:space="preserve">Re a </w:t>
      </w:r>
      <w:r w:rsidR="006663BE">
        <w:rPr>
          <w:i/>
        </w:rPr>
        <w:t>Barrister &amp; Solicitor</w:t>
      </w:r>
    </w:p>
    <w:p w14:paraId="7EC36416" w14:textId="77777777" w:rsidR="008E0314" w:rsidRPr="008E0314" w:rsidRDefault="008E0314" w:rsidP="00072E55">
      <w:pPr>
        <w:pStyle w:val="NoSpacing"/>
      </w:pPr>
    </w:p>
    <w:p w14:paraId="0BB61C98" w14:textId="59A2F897" w:rsidR="00330D00" w:rsidRDefault="00645CBC" w:rsidP="0069421D">
      <w:pPr>
        <w:pStyle w:val="NoSpacing"/>
        <w:numPr>
          <w:ilvl w:val="0"/>
          <w:numId w:val="88"/>
        </w:numPr>
      </w:pPr>
      <w:r>
        <w:rPr>
          <w:i/>
        </w:rPr>
        <w:t xml:space="preserve">Intended </w:t>
      </w:r>
      <w:r w:rsidR="003D5889" w:rsidRPr="003D5889">
        <w:rPr>
          <w:i/>
        </w:rPr>
        <w:t>D</w:t>
      </w:r>
      <w:r w:rsidR="005A6E36" w:rsidRPr="003D5889">
        <w:rPr>
          <w:i/>
        </w:rPr>
        <w:t xml:space="preserve">ishonesty </w:t>
      </w:r>
      <w:r w:rsidR="003D5889" w:rsidRPr="003D5889">
        <w:rPr>
          <w:i/>
        </w:rPr>
        <w:t>in Trust Accounting</w:t>
      </w:r>
      <w:r w:rsidR="003D5889">
        <w:t xml:space="preserve"> </w:t>
      </w:r>
      <w:r w:rsidR="005A6E36">
        <w:t xml:space="preserve">– </w:t>
      </w:r>
      <w:r w:rsidR="006A2981" w:rsidRPr="00863F84">
        <w:rPr>
          <w:u w:val="single"/>
        </w:rPr>
        <w:t>Knowing and intended dishonesty</w:t>
      </w:r>
      <w:r w:rsidR="006A2981">
        <w:t xml:space="preserve"> in trust accounting </w:t>
      </w:r>
      <w:r w:rsidR="005A6E36">
        <w:t>will amount to misconduct and justify striking off</w:t>
      </w:r>
    </w:p>
    <w:p w14:paraId="5856205B" w14:textId="65B948E7" w:rsidR="005A6E36" w:rsidRDefault="000A2B4A" w:rsidP="0069421D">
      <w:pPr>
        <w:pStyle w:val="NoSpacing"/>
        <w:numPr>
          <w:ilvl w:val="1"/>
          <w:numId w:val="88"/>
        </w:numPr>
      </w:pPr>
      <w:r>
        <w:rPr>
          <w:i/>
        </w:rPr>
        <w:t xml:space="preserve">Personal Use – </w:t>
      </w:r>
      <w:r w:rsidRPr="00645CBC">
        <w:t>T</w:t>
      </w:r>
      <w:r w:rsidR="005A6E36">
        <w:t xml:space="preserve">he unauthorized use of trust funds to finance the lawyer’s personal ventures, or a scheme to keep a client </w:t>
      </w:r>
      <w:r>
        <w:t>ignorant as to trust funds held</w:t>
      </w:r>
    </w:p>
    <w:p w14:paraId="102EAF6C" w14:textId="78C0FE84" w:rsidR="000A2B4A" w:rsidRPr="00927384" w:rsidRDefault="00806362" w:rsidP="0069421D">
      <w:pPr>
        <w:pStyle w:val="NoSpacing"/>
        <w:numPr>
          <w:ilvl w:val="2"/>
          <w:numId w:val="88"/>
        </w:numPr>
      </w:pPr>
      <w:r>
        <w:rPr>
          <w:i/>
        </w:rPr>
        <w:t>Re a Practitioner</w:t>
      </w:r>
    </w:p>
    <w:p w14:paraId="375C2EF4" w14:textId="77777777" w:rsidR="00927384" w:rsidRPr="00927384" w:rsidRDefault="00927384" w:rsidP="00927384">
      <w:pPr>
        <w:pStyle w:val="NoSpacing"/>
        <w:ind w:left="2160"/>
      </w:pPr>
    </w:p>
    <w:p w14:paraId="4DE149F6" w14:textId="77777777" w:rsidR="00927384" w:rsidRDefault="00927384" w:rsidP="0069421D">
      <w:pPr>
        <w:pStyle w:val="NoSpacing"/>
        <w:numPr>
          <w:ilvl w:val="1"/>
          <w:numId w:val="88"/>
        </w:numPr>
      </w:pPr>
      <w:r>
        <w:rPr>
          <w:i/>
        </w:rPr>
        <w:t xml:space="preserve">Continual &amp; repeated misappropriation – </w:t>
      </w:r>
      <w:r>
        <w:t>Especially where it occurs persistently over a period of time</w:t>
      </w:r>
    </w:p>
    <w:p w14:paraId="56DF3BE8" w14:textId="77777777" w:rsidR="00927384" w:rsidRDefault="00927384" w:rsidP="0069421D">
      <w:pPr>
        <w:pStyle w:val="NoSpacing"/>
        <w:numPr>
          <w:ilvl w:val="2"/>
          <w:numId w:val="88"/>
        </w:numPr>
      </w:pPr>
      <w:r>
        <w:t>Appropriation of trust funds compounds the seriousness by attempting to conceal the conduct, by misleading others (clients, investigators, tribunals or a court)</w:t>
      </w:r>
    </w:p>
    <w:p w14:paraId="1FC3D8AD" w14:textId="77777777" w:rsidR="00927384" w:rsidRPr="00927384" w:rsidRDefault="00927384" w:rsidP="00927384">
      <w:pPr>
        <w:pStyle w:val="NoSpacing"/>
        <w:ind w:left="1440"/>
      </w:pPr>
    </w:p>
    <w:p w14:paraId="56C36A01" w14:textId="6BAE97B1" w:rsidR="00562E0F" w:rsidRDefault="00562E0F" w:rsidP="0069421D">
      <w:pPr>
        <w:pStyle w:val="NoSpacing"/>
        <w:numPr>
          <w:ilvl w:val="0"/>
          <w:numId w:val="88"/>
        </w:numPr>
      </w:pPr>
      <w:r>
        <w:rPr>
          <w:i/>
        </w:rPr>
        <w:t xml:space="preserve">Mistake &amp; Absent Dishonesty – </w:t>
      </w:r>
      <w:r>
        <w:t xml:space="preserve">A lack of awareness of the statutory requirements for trust moneys, even </w:t>
      </w:r>
      <w:r>
        <w:rPr>
          <w:u w:val="single"/>
        </w:rPr>
        <w:t>absent dishonesty</w:t>
      </w:r>
      <w:r>
        <w:t>, will still amount to p</w:t>
      </w:r>
      <w:r w:rsidR="004A6468">
        <w:t>rofessional misconduct but will not amount to striking off.</w:t>
      </w:r>
    </w:p>
    <w:p w14:paraId="6AACED2E" w14:textId="2B180DD3" w:rsidR="00562E0F" w:rsidRPr="004A6468" w:rsidRDefault="00562E0F" w:rsidP="0069421D">
      <w:pPr>
        <w:pStyle w:val="NoSpacing"/>
        <w:numPr>
          <w:ilvl w:val="1"/>
          <w:numId w:val="88"/>
        </w:numPr>
      </w:pPr>
      <w:r w:rsidRPr="004A6468">
        <w:rPr>
          <w:i/>
        </w:rPr>
        <w:t>Re Robb</w:t>
      </w:r>
      <w:r w:rsidRPr="004A6468">
        <w:t xml:space="preserve"> </w:t>
      </w:r>
    </w:p>
    <w:p w14:paraId="63A73DBD" w14:textId="77777777" w:rsidR="00E7219B" w:rsidRDefault="00E7219B" w:rsidP="00E7219B">
      <w:pPr>
        <w:pStyle w:val="NoSpacing"/>
        <w:ind w:left="1440"/>
      </w:pPr>
    </w:p>
    <w:p w14:paraId="5321B78F" w14:textId="64D786D8" w:rsidR="005A6E36" w:rsidRDefault="00185B28" w:rsidP="0069421D">
      <w:pPr>
        <w:pStyle w:val="NoSpacing"/>
        <w:numPr>
          <w:ilvl w:val="0"/>
          <w:numId w:val="88"/>
        </w:numPr>
      </w:pPr>
      <w:r>
        <w:rPr>
          <w:i/>
        </w:rPr>
        <w:t>Reasonable Suspicion of other Lawyers –</w:t>
      </w:r>
      <w:r w:rsidR="006F24DF">
        <w:rPr>
          <w:i/>
        </w:rPr>
        <w:t xml:space="preserve"> </w:t>
      </w:r>
      <w:r w:rsidR="006F24DF" w:rsidRPr="00DC444C">
        <w:rPr>
          <w:i/>
        </w:rPr>
        <w:t>s3.3.22(2) LPA</w:t>
      </w:r>
      <w:r w:rsidR="006F24DF">
        <w:t xml:space="preserve"> – </w:t>
      </w:r>
      <w:r w:rsidR="005A6E36">
        <w:t xml:space="preserve">A lawyer who has reasonable grounds for suspecting that another lawyer has dealt with trust money in a dishonest or irregular manner, needs to report the facts and circumstances to the relevant professional body </w:t>
      </w:r>
    </w:p>
    <w:p w14:paraId="4F8BBAB2" w14:textId="5AC6193B" w:rsidR="005A6E36" w:rsidRDefault="00927384" w:rsidP="0069421D">
      <w:pPr>
        <w:pStyle w:val="NoSpacing"/>
        <w:numPr>
          <w:ilvl w:val="1"/>
          <w:numId w:val="88"/>
        </w:numPr>
      </w:pPr>
      <w:proofErr w:type="gramStart"/>
      <w:r>
        <w:rPr>
          <w:i/>
        </w:rPr>
        <w:t>No loss does not mitigate seriousness</w:t>
      </w:r>
      <w:proofErr w:type="gramEnd"/>
      <w:r>
        <w:rPr>
          <w:i/>
        </w:rPr>
        <w:t xml:space="preserve"> – </w:t>
      </w:r>
      <w:r w:rsidR="00375AAB" w:rsidRPr="00375AAB">
        <w:t>A lawyer c</w:t>
      </w:r>
      <w:r w:rsidR="005A6E36">
        <w:t xml:space="preserve">annot mitigate by the fact that the client did not </w:t>
      </w:r>
      <w:r w:rsidR="002E6C29">
        <w:t>lose</w:t>
      </w:r>
      <w:r w:rsidR="005A6E36">
        <w:t xml:space="preserve"> money or have even made money, or that the lawyer int</w:t>
      </w:r>
      <w:r w:rsidR="002E6C29">
        <w:t>ended to make good the defaults.</w:t>
      </w:r>
    </w:p>
    <w:p w14:paraId="73DA2432" w14:textId="77777777" w:rsidR="0084753D" w:rsidRPr="0084753D" w:rsidRDefault="0084753D" w:rsidP="0084753D">
      <w:pPr>
        <w:pStyle w:val="NoSpacing"/>
        <w:ind w:left="720"/>
        <w:rPr>
          <w:b/>
        </w:rPr>
      </w:pPr>
    </w:p>
    <w:p w14:paraId="2F32BFC3" w14:textId="4EFE0B4D" w:rsidR="005A6E36" w:rsidRPr="009B198E" w:rsidRDefault="00D07EDD" w:rsidP="0069421D">
      <w:pPr>
        <w:pStyle w:val="NoSpacing"/>
        <w:numPr>
          <w:ilvl w:val="0"/>
          <w:numId w:val="86"/>
        </w:numPr>
        <w:rPr>
          <w:b/>
        </w:rPr>
      </w:pPr>
      <w:r>
        <w:rPr>
          <w:b/>
          <w:i/>
        </w:rPr>
        <w:t>**</w:t>
      </w:r>
      <w:r w:rsidR="005A6E36" w:rsidRPr="009B198E">
        <w:rPr>
          <w:b/>
          <w:i/>
        </w:rPr>
        <w:t>Overcharging</w:t>
      </w:r>
      <w:r w:rsidR="0084753D">
        <w:rPr>
          <w:b/>
          <w:i/>
        </w:rPr>
        <w:t xml:space="preserve"> </w:t>
      </w:r>
      <w:r w:rsidR="0084753D">
        <w:rPr>
          <w:i/>
        </w:rPr>
        <w:t xml:space="preserve">– </w:t>
      </w:r>
      <w:r w:rsidR="0084753D" w:rsidRPr="00344CA5">
        <w:rPr>
          <w:i/>
        </w:rPr>
        <w:t>s4.4.4(b) LPA</w:t>
      </w:r>
      <w:r w:rsidR="0084753D">
        <w:t xml:space="preserve"> –</w:t>
      </w:r>
      <w:r w:rsidR="00555553">
        <w:t xml:space="preserve"> </w:t>
      </w:r>
      <w:r w:rsidR="00555553" w:rsidRPr="00555553">
        <w:rPr>
          <w:b/>
          <w:i/>
          <w:u w:val="single"/>
        </w:rPr>
        <w:t>[see costs disclosures]</w:t>
      </w:r>
    </w:p>
    <w:p w14:paraId="48F3681E" w14:textId="7E362964" w:rsidR="005A6E36" w:rsidRDefault="00CF7C69" w:rsidP="0069421D">
      <w:pPr>
        <w:pStyle w:val="NoSpacing"/>
        <w:numPr>
          <w:ilvl w:val="0"/>
          <w:numId w:val="90"/>
        </w:numPr>
      </w:pPr>
      <w:r>
        <w:rPr>
          <w:i/>
        </w:rPr>
        <w:t xml:space="preserve">Excessive </w:t>
      </w:r>
      <w:r w:rsidR="002F0FCC">
        <w:rPr>
          <w:i/>
        </w:rPr>
        <w:t>Overcharging</w:t>
      </w:r>
      <w:r>
        <w:rPr>
          <w:i/>
        </w:rPr>
        <w:t xml:space="preserve"> </w:t>
      </w:r>
      <w:r w:rsidR="0084753D">
        <w:rPr>
          <w:i/>
        </w:rPr>
        <w:t xml:space="preserve">– </w:t>
      </w:r>
      <w:r w:rsidR="005A6E36">
        <w:t xml:space="preserve">The charging of extortionate or </w:t>
      </w:r>
      <w:r w:rsidR="005A6E36" w:rsidRPr="00C64A73">
        <w:rPr>
          <w:u w:val="single"/>
        </w:rPr>
        <w:t>grossly excessive costs</w:t>
      </w:r>
      <w:r w:rsidR="005A6E36">
        <w:t xml:space="preserve"> is professional misconduct </w:t>
      </w:r>
      <w:r w:rsidR="00C64A73">
        <w:t>or</w:t>
      </w:r>
      <w:r w:rsidR="005A6E36">
        <w:t xml:space="preserve"> </w:t>
      </w:r>
      <w:r w:rsidR="005A6E36" w:rsidRPr="00C64A73">
        <w:rPr>
          <w:u w:val="single"/>
        </w:rPr>
        <w:t xml:space="preserve">unnecessary </w:t>
      </w:r>
      <w:r w:rsidR="00C64A73" w:rsidRPr="00C64A73">
        <w:rPr>
          <w:u w:val="single"/>
        </w:rPr>
        <w:t>increasing the delay on wo</w:t>
      </w:r>
      <w:r w:rsidR="005A6E36" w:rsidRPr="00C64A73">
        <w:rPr>
          <w:u w:val="single"/>
        </w:rPr>
        <w:t>rk s</w:t>
      </w:r>
      <w:r w:rsidR="005A6E36">
        <w:t>o to increase his proper costs.</w:t>
      </w:r>
    </w:p>
    <w:p w14:paraId="5E2762F0" w14:textId="22F0BC96" w:rsidR="00B96A5A" w:rsidRDefault="00F57253" w:rsidP="0069421D">
      <w:pPr>
        <w:pStyle w:val="NoSpacing"/>
        <w:numPr>
          <w:ilvl w:val="1"/>
          <w:numId w:val="90"/>
        </w:numPr>
      </w:pPr>
      <w:r>
        <w:rPr>
          <w:i/>
        </w:rPr>
        <w:t>Baker v Legal Services Commissioner</w:t>
      </w:r>
    </w:p>
    <w:p w14:paraId="0AE45FEA" w14:textId="77777777" w:rsidR="00C55062" w:rsidRPr="00C55062" w:rsidRDefault="00C55062" w:rsidP="00C55062">
      <w:pPr>
        <w:pStyle w:val="NoSpacing"/>
        <w:ind w:left="1440"/>
      </w:pPr>
    </w:p>
    <w:p w14:paraId="3CEE1D4B" w14:textId="3BE04826" w:rsidR="005A6E36" w:rsidRDefault="005A6E36" w:rsidP="0069421D">
      <w:pPr>
        <w:pStyle w:val="NoSpacing"/>
        <w:numPr>
          <w:ilvl w:val="0"/>
          <w:numId w:val="90"/>
        </w:numPr>
      </w:pPr>
      <w:r w:rsidRPr="00004C6F">
        <w:rPr>
          <w:i/>
          <w:u w:val="single"/>
        </w:rPr>
        <w:t>The test</w:t>
      </w:r>
      <w:r w:rsidR="00004C6F">
        <w:t xml:space="preserve"> –</w:t>
      </w:r>
      <w:r>
        <w:t xml:space="preserve"> </w:t>
      </w:r>
      <w:r w:rsidR="00004C6F">
        <w:t>H</w:t>
      </w:r>
      <w:r>
        <w:t>as the lawyer charged fees grossly exceeding those that would be charged by lawyers of good repute and competency?</w:t>
      </w:r>
    </w:p>
    <w:p w14:paraId="0EA2F6ED" w14:textId="51CAB164" w:rsidR="00B64804" w:rsidRDefault="00B64804" w:rsidP="0069421D">
      <w:pPr>
        <w:pStyle w:val="NoSpacing"/>
        <w:numPr>
          <w:ilvl w:val="1"/>
          <w:numId w:val="90"/>
        </w:numPr>
      </w:pPr>
      <w:r>
        <w:rPr>
          <w:i/>
        </w:rPr>
        <w:t>NSW Bar v Evatt</w:t>
      </w:r>
    </w:p>
    <w:p w14:paraId="15E68A49" w14:textId="77777777" w:rsidR="005A6E36" w:rsidRDefault="005A6E36" w:rsidP="0069421D">
      <w:pPr>
        <w:pStyle w:val="NoSpacing"/>
        <w:numPr>
          <w:ilvl w:val="2"/>
          <w:numId w:val="90"/>
        </w:numPr>
      </w:pPr>
      <w:r>
        <w:lastRenderedPageBreak/>
        <w:t>It is a degree and frequency and the relevant factors include:</w:t>
      </w:r>
    </w:p>
    <w:p w14:paraId="4853C34C" w14:textId="7EAAA826" w:rsidR="005A6E36" w:rsidRDefault="005A6E36" w:rsidP="0069421D">
      <w:pPr>
        <w:pStyle w:val="NoSpacing"/>
        <w:numPr>
          <w:ilvl w:val="3"/>
          <w:numId w:val="90"/>
        </w:numPr>
      </w:pPr>
      <w:r w:rsidRPr="007574A6">
        <w:rPr>
          <w:i/>
        </w:rPr>
        <w:t>Amount the costs in question</w:t>
      </w:r>
      <w:r>
        <w:t xml:space="preserve"> </w:t>
      </w:r>
      <w:r w:rsidR="007574A6">
        <w:t xml:space="preserve">– </w:t>
      </w:r>
      <w:r>
        <w:t>were, or would be lik</w:t>
      </w:r>
      <w:r w:rsidR="007574A6">
        <w:t>ely to be, taxed or assessed at</w:t>
      </w:r>
    </w:p>
    <w:p w14:paraId="50781DF7" w14:textId="546E09C1" w:rsidR="005A6E36" w:rsidRDefault="007574A6" w:rsidP="0069421D">
      <w:pPr>
        <w:pStyle w:val="NoSpacing"/>
        <w:numPr>
          <w:ilvl w:val="3"/>
          <w:numId w:val="90"/>
        </w:numPr>
      </w:pPr>
      <w:r>
        <w:rPr>
          <w:i/>
        </w:rPr>
        <w:t xml:space="preserve">Complexity – </w:t>
      </w:r>
      <w:r w:rsidR="005A6E36">
        <w:t>The novelty, complexity of the case</w:t>
      </w:r>
    </w:p>
    <w:p w14:paraId="2B226107" w14:textId="7D20E641" w:rsidR="005A6E36" w:rsidRDefault="007574A6" w:rsidP="0069421D">
      <w:pPr>
        <w:pStyle w:val="NoSpacing"/>
        <w:numPr>
          <w:ilvl w:val="3"/>
          <w:numId w:val="90"/>
        </w:numPr>
      </w:pPr>
      <w:r>
        <w:rPr>
          <w:i/>
        </w:rPr>
        <w:t xml:space="preserve">Experience – </w:t>
      </w:r>
      <w:r w:rsidR="005A6E36" w:rsidRPr="007574A6">
        <w:t>The experience of the lawyer</w:t>
      </w:r>
    </w:p>
    <w:p w14:paraId="60F10A48" w14:textId="681298C4" w:rsidR="005A6E36" w:rsidRDefault="007574A6" w:rsidP="0069421D">
      <w:pPr>
        <w:pStyle w:val="NoSpacing"/>
        <w:numPr>
          <w:ilvl w:val="3"/>
          <w:numId w:val="90"/>
        </w:numPr>
      </w:pPr>
      <w:r>
        <w:rPr>
          <w:i/>
        </w:rPr>
        <w:t xml:space="preserve">Work Quality – </w:t>
      </w:r>
      <w:r w:rsidR="005A6E36">
        <w:t>The quality of her/his work</w:t>
      </w:r>
    </w:p>
    <w:p w14:paraId="1A24439A" w14:textId="1BF1FE4F" w:rsidR="005A6E36" w:rsidRDefault="007574A6" w:rsidP="0069421D">
      <w:pPr>
        <w:pStyle w:val="NoSpacing"/>
        <w:numPr>
          <w:ilvl w:val="3"/>
          <w:numId w:val="90"/>
        </w:numPr>
      </w:pPr>
      <w:r>
        <w:rPr>
          <w:i/>
        </w:rPr>
        <w:t>Time on Matter –</w:t>
      </w:r>
      <w:r w:rsidR="00E23105">
        <w:rPr>
          <w:i/>
        </w:rPr>
        <w:t xml:space="preserve"> </w:t>
      </w:r>
      <w:r w:rsidR="005A6E36">
        <w:t xml:space="preserve">Amount of time spent on the matter, and </w:t>
      </w:r>
      <w:r w:rsidR="005A6E36">
        <w:rPr>
          <w:u w:val="single"/>
        </w:rPr>
        <w:t xml:space="preserve">any cost agreements </w:t>
      </w:r>
      <w:r w:rsidR="005A6E36">
        <w:t>entered into.</w:t>
      </w:r>
    </w:p>
    <w:p w14:paraId="5C0DBE3E" w14:textId="77777777" w:rsidR="002D25A8" w:rsidRDefault="002D25A8" w:rsidP="00E23105">
      <w:pPr>
        <w:pStyle w:val="NoSpacing"/>
      </w:pPr>
    </w:p>
    <w:p w14:paraId="32CD79DF" w14:textId="2A356287" w:rsidR="005A6E36" w:rsidRPr="00402D3D" w:rsidRDefault="005A6E36" w:rsidP="0069421D">
      <w:pPr>
        <w:pStyle w:val="NoSpacing"/>
        <w:numPr>
          <w:ilvl w:val="0"/>
          <w:numId w:val="86"/>
        </w:numPr>
        <w:rPr>
          <w:b/>
        </w:rPr>
      </w:pPr>
      <w:r w:rsidRPr="00402D3D">
        <w:rPr>
          <w:b/>
          <w:i/>
        </w:rPr>
        <w:t xml:space="preserve">Impact of cost agreement </w:t>
      </w:r>
      <w:r w:rsidR="00F8526B" w:rsidRPr="005F2C6C">
        <w:rPr>
          <w:b/>
          <w:i/>
          <w:u w:val="single"/>
        </w:rPr>
        <w:t>[see costs agreements]</w:t>
      </w:r>
      <w:r w:rsidR="006D4B43">
        <w:rPr>
          <w:b/>
          <w:i/>
          <w:u w:val="single"/>
        </w:rPr>
        <w:t xml:space="preserve"> </w:t>
      </w:r>
      <w:r w:rsidR="006D4B43">
        <w:rPr>
          <w:i/>
        </w:rPr>
        <w:t xml:space="preserve">– </w:t>
      </w:r>
      <w:r w:rsidR="006D4B43" w:rsidRPr="00344CA5">
        <w:rPr>
          <w:i/>
        </w:rPr>
        <w:t>s4.4.4(b) LPA</w:t>
      </w:r>
      <w:r w:rsidR="006D4B43">
        <w:t xml:space="preserve"> </w:t>
      </w:r>
      <w:r w:rsidR="006D4B43" w:rsidRPr="004A41D7">
        <w:rPr>
          <w:i/>
        </w:rPr>
        <w:t xml:space="preserve">– </w:t>
      </w:r>
      <w:r w:rsidR="00B119A9" w:rsidRPr="004A41D7">
        <w:rPr>
          <w:i/>
        </w:rPr>
        <w:t>Overcharging</w:t>
      </w:r>
    </w:p>
    <w:p w14:paraId="05824721" w14:textId="77777777" w:rsidR="00961D0C" w:rsidRPr="00961D0C" w:rsidRDefault="00961D0C" w:rsidP="00961D0C">
      <w:pPr>
        <w:pStyle w:val="NoSpacing"/>
        <w:ind w:left="1440"/>
      </w:pPr>
    </w:p>
    <w:p w14:paraId="7DA52C2A" w14:textId="24F104DB" w:rsidR="00B027AA" w:rsidRDefault="006D32C1" w:rsidP="0069421D">
      <w:pPr>
        <w:pStyle w:val="NoSpacing"/>
        <w:numPr>
          <w:ilvl w:val="0"/>
          <w:numId w:val="91"/>
        </w:numPr>
      </w:pPr>
      <w:r>
        <w:rPr>
          <w:i/>
        </w:rPr>
        <w:t xml:space="preserve">Costs agreement does not excuse – </w:t>
      </w:r>
      <w:r w:rsidRPr="00F81AE3">
        <w:t>P</w:t>
      </w:r>
      <w:r w:rsidR="005A6E36">
        <w:t>roof of a cost agreement is no bar to disciplinary proceedings agai</w:t>
      </w:r>
      <w:r w:rsidR="00B027AA">
        <w:t>nst the lawyer for overcharging</w:t>
      </w:r>
      <w:r w:rsidR="0014222F">
        <w:t xml:space="preserve"> i</w:t>
      </w:r>
      <w:r w:rsidR="00B027AA" w:rsidRPr="00A34632">
        <w:t>f the agreement is ‘so unreasonable’ or ‘excessive’</w:t>
      </w:r>
    </w:p>
    <w:p w14:paraId="6095F81C" w14:textId="2F766188" w:rsidR="00DC7C67" w:rsidRPr="00A34632" w:rsidRDefault="00DC7C67" w:rsidP="0069421D">
      <w:pPr>
        <w:pStyle w:val="NoSpacing"/>
        <w:numPr>
          <w:ilvl w:val="1"/>
          <w:numId w:val="91"/>
        </w:numPr>
      </w:pPr>
      <w:r>
        <w:rPr>
          <w:i/>
        </w:rPr>
        <w:t>Re Law Society of ACT v Roche</w:t>
      </w:r>
    </w:p>
    <w:p w14:paraId="69A385D3" w14:textId="77777777" w:rsidR="00B027AA" w:rsidRDefault="00B027AA" w:rsidP="00B027AA">
      <w:pPr>
        <w:pStyle w:val="NoSpacing"/>
        <w:ind w:left="1440"/>
      </w:pPr>
    </w:p>
    <w:p w14:paraId="0F708897" w14:textId="0CA0388F" w:rsidR="005A6E36" w:rsidRDefault="004249D2" w:rsidP="0069421D">
      <w:pPr>
        <w:pStyle w:val="NoSpacing"/>
        <w:numPr>
          <w:ilvl w:val="0"/>
          <w:numId w:val="91"/>
        </w:numPr>
      </w:pPr>
      <w:r>
        <w:rPr>
          <w:i/>
        </w:rPr>
        <w:t>Uni</w:t>
      </w:r>
      <w:r w:rsidR="00041871">
        <w:rPr>
          <w:i/>
        </w:rPr>
        <w:t xml:space="preserve">nformed Consent – </w:t>
      </w:r>
      <w:r w:rsidR="005A6E36">
        <w:t>Clients may not have given fully in</w:t>
      </w:r>
      <w:r w:rsidR="008C4FAB">
        <w:t>formed consent to the agreement</w:t>
      </w:r>
    </w:p>
    <w:p w14:paraId="36C4B391" w14:textId="77777777" w:rsidR="00A709C5" w:rsidRPr="00A34632" w:rsidRDefault="00A709C5" w:rsidP="0069421D">
      <w:pPr>
        <w:pStyle w:val="NoSpacing"/>
        <w:numPr>
          <w:ilvl w:val="1"/>
          <w:numId w:val="91"/>
        </w:numPr>
      </w:pPr>
      <w:r>
        <w:rPr>
          <w:i/>
        </w:rPr>
        <w:t>Re Law Society of ACT v Roche</w:t>
      </w:r>
    </w:p>
    <w:p w14:paraId="05DD04BE" w14:textId="77777777" w:rsidR="00D53467" w:rsidRDefault="00D53467" w:rsidP="00D53467">
      <w:pPr>
        <w:pStyle w:val="NoSpacing"/>
        <w:ind w:left="1440"/>
      </w:pPr>
    </w:p>
    <w:p w14:paraId="6B34CB2A" w14:textId="73B6E00F" w:rsidR="005A6E36" w:rsidRDefault="00D53467" w:rsidP="0069421D">
      <w:pPr>
        <w:pStyle w:val="NoSpacing"/>
        <w:numPr>
          <w:ilvl w:val="0"/>
          <w:numId w:val="91"/>
        </w:numPr>
      </w:pPr>
      <w:r>
        <w:rPr>
          <w:i/>
        </w:rPr>
        <w:t xml:space="preserve">No win, No Fee basis – </w:t>
      </w:r>
      <w:r w:rsidR="005A6E36">
        <w:t xml:space="preserve">If lawyer acting on a no win </w:t>
      </w:r>
      <w:proofErr w:type="gramStart"/>
      <w:r w:rsidR="005A6E36">
        <w:t>no</w:t>
      </w:r>
      <w:proofErr w:type="gramEnd"/>
      <w:r w:rsidR="005A6E36">
        <w:t xml:space="preserve"> fee basis has a risk of taking years of work and not succeeding and therefore short in covering disbursements. </w:t>
      </w:r>
    </w:p>
    <w:p w14:paraId="49BE922A" w14:textId="77777777" w:rsidR="00B44F1F" w:rsidRDefault="00783843" w:rsidP="0069421D">
      <w:pPr>
        <w:pStyle w:val="NoSpacing"/>
        <w:numPr>
          <w:ilvl w:val="1"/>
          <w:numId w:val="91"/>
        </w:numPr>
      </w:pPr>
      <w:r>
        <w:rPr>
          <w:i/>
          <w:u w:val="single"/>
        </w:rPr>
        <w:t xml:space="preserve">Higher Rate Permissible </w:t>
      </w:r>
      <w:r>
        <w:rPr>
          <w:u w:val="single"/>
        </w:rPr>
        <w:t>–</w:t>
      </w:r>
      <w:r w:rsidR="00B44F1F">
        <w:t xml:space="preserve"> It has been suggested that this makes it reasonable for lawyers accepting retainers to charge considerably higher rate than otherwise.</w:t>
      </w:r>
    </w:p>
    <w:p w14:paraId="05C082C3" w14:textId="77777777" w:rsidR="001223C8" w:rsidRDefault="00B44F1F" w:rsidP="0069421D">
      <w:pPr>
        <w:pStyle w:val="NoSpacing"/>
        <w:numPr>
          <w:ilvl w:val="2"/>
          <w:numId w:val="91"/>
        </w:numPr>
      </w:pPr>
      <w:r>
        <w:rPr>
          <w:i/>
        </w:rPr>
        <w:t>QLD Law Society v Roche</w:t>
      </w:r>
    </w:p>
    <w:p w14:paraId="636300F1" w14:textId="077C2C89" w:rsidR="005A6E36" w:rsidRDefault="00E929D0" w:rsidP="0069421D">
      <w:pPr>
        <w:pStyle w:val="NoSpacing"/>
        <w:numPr>
          <w:ilvl w:val="3"/>
          <w:numId w:val="91"/>
        </w:numPr>
      </w:pPr>
      <w:r>
        <w:rPr>
          <w:i/>
        </w:rPr>
        <w:t>‘</w:t>
      </w:r>
      <w:r w:rsidR="001223C8" w:rsidRPr="001223C8">
        <w:rPr>
          <w:i/>
        </w:rPr>
        <w:t xml:space="preserve">Grossly excessively’ – </w:t>
      </w:r>
      <w:r w:rsidR="001223C8" w:rsidRPr="00156200">
        <w:t>Even in these cases,</w:t>
      </w:r>
      <w:r w:rsidR="001223C8">
        <w:rPr>
          <w:i/>
        </w:rPr>
        <w:t xml:space="preserve"> </w:t>
      </w:r>
      <w:r w:rsidR="001223C8" w:rsidRPr="00CC239A">
        <w:t>f</w:t>
      </w:r>
      <w:r w:rsidR="005A6E36" w:rsidRPr="00CC239A">
        <w:t>ees</w:t>
      </w:r>
      <w:r w:rsidR="005A6E36">
        <w:t xml:space="preserve"> outside the range chargeable by a reasonable lawyer will result in disciplinary action.</w:t>
      </w:r>
    </w:p>
    <w:p w14:paraId="1801B1F8" w14:textId="77777777" w:rsidR="00F8526B" w:rsidRDefault="00F8526B" w:rsidP="00F8526B">
      <w:pPr>
        <w:pStyle w:val="NoSpacing"/>
        <w:ind w:left="3600"/>
      </w:pPr>
    </w:p>
    <w:p w14:paraId="682812F6" w14:textId="70214730" w:rsidR="005A6E36" w:rsidRPr="007A0378" w:rsidRDefault="005A6E36" w:rsidP="0069421D">
      <w:pPr>
        <w:pStyle w:val="NoSpacing"/>
        <w:numPr>
          <w:ilvl w:val="0"/>
          <w:numId w:val="86"/>
        </w:numPr>
        <w:rPr>
          <w:b/>
        </w:rPr>
      </w:pPr>
      <w:r w:rsidRPr="007A0378">
        <w:rPr>
          <w:b/>
          <w:i/>
        </w:rPr>
        <w:t>Delay or neglect</w:t>
      </w:r>
      <w:r w:rsidR="00961D0C">
        <w:rPr>
          <w:b/>
          <w:i/>
        </w:rPr>
        <w:t xml:space="preserve"> </w:t>
      </w:r>
      <w:r w:rsidR="00961D0C" w:rsidRPr="00871BF0">
        <w:rPr>
          <w:i/>
        </w:rPr>
        <w:t xml:space="preserve">– </w:t>
      </w:r>
      <w:r w:rsidR="00270587" w:rsidRPr="00871BF0">
        <w:rPr>
          <w:i/>
        </w:rPr>
        <w:t>s4.4.3(a) LPA – ‘failure to reach or maintain a reasonable standard of competence and diligence’</w:t>
      </w:r>
      <w:r w:rsidR="00714F3D">
        <w:rPr>
          <w:i/>
        </w:rPr>
        <w:t xml:space="preserve"> </w:t>
      </w:r>
      <w:r w:rsidR="00714F3D" w:rsidRPr="00FF0792">
        <w:t>–</w:t>
      </w:r>
      <w:r w:rsidR="00714F3D">
        <w:rPr>
          <w:i/>
        </w:rPr>
        <w:t xml:space="preserve"> </w:t>
      </w:r>
      <w:r w:rsidR="00714F3D" w:rsidRPr="00714F3D">
        <w:rPr>
          <w:b/>
          <w:i/>
        </w:rPr>
        <w:t>[see cost disclosures</w:t>
      </w:r>
      <w:r w:rsidR="00714F3D">
        <w:rPr>
          <w:b/>
          <w:i/>
        </w:rPr>
        <w:t xml:space="preserve"> – ‘good faith’</w:t>
      </w:r>
      <w:r w:rsidR="00714F3D" w:rsidRPr="00714F3D">
        <w:rPr>
          <w:b/>
          <w:i/>
        </w:rPr>
        <w:t>]</w:t>
      </w:r>
    </w:p>
    <w:p w14:paraId="71EF685E" w14:textId="77777777" w:rsidR="00961D0C" w:rsidRPr="00961D0C" w:rsidRDefault="00961D0C" w:rsidP="00961D0C">
      <w:pPr>
        <w:pStyle w:val="NoSpacing"/>
        <w:ind w:left="1440"/>
      </w:pPr>
    </w:p>
    <w:p w14:paraId="646C5968" w14:textId="708FEF78" w:rsidR="005A6E36" w:rsidRDefault="001B59F9" w:rsidP="0069421D">
      <w:pPr>
        <w:pStyle w:val="NoSpacing"/>
        <w:numPr>
          <w:ilvl w:val="0"/>
          <w:numId w:val="92"/>
        </w:numPr>
      </w:pPr>
      <w:r>
        <w:rPr>
          <w:i/>
        </w:rPr>
        <w:t xml:space="preserve">Gross Delay or Sustained &amp; Continual Delay – </w:t>
      </w:r>
      <w:r w:rsidR="005A6E36">
        <w:t xml:space="preserve">Gross neglect and delay </w:t>
      </w:r>
      <w:r w:rsidR="005A6E36">
        <w:rPr>
          <w:u w:val="single"/>
        </w:rPr>
        <w:t>if sustained or habitual</w:t>
      </w:r>
      <w:r w:rsidR="005A6E36">
        <w:t xml:space="preserve"> (not a singl</w:t>
      </w:r>
      <w:r w:rsidR="00F84ECF">
        <w:t>e instance of neglect or delay)</w:t>
      </w:r>
      <w:r w:rsidR="005A6E36">
        <w:t xml:space="preserve"> can constitute professional misconduct </w:t>
      </w:r>
      <w:r>
        <w:t>because</w:t>
      </w:r>
      <w:r w:rsidR="005A6E36">
        <w:t xml:space="preserve"> it endangers client interests and brings the profession into serious disrepute.</w:t>
      </w:r>
    </w:p>
    <w:p w14:paraId="2D25A070" w14:textId="77777777" w:rsidR="001B59F9" w:rsidRDefault="001B59F9" w:rsidP="001B59F9">
      <w:pPr>
        <w:pStyle w:val="NoSpacing"/>
        <w:ind w:left="1440"/>
      </w:pPr>
    </w:p>
    <w:p w14:paraId="4904AA66" w14:textId="43073D35" w:rsidR="00F84ECF" w:rsidRDefault="005A6E36" w:rsidP="0069421D">
      <w:pPr>
        <w:pStyle w:val="NoSpacing"/>
        <w:numPr>
          <w:ilvl w:val="0"/>
          <w:numId w:val="92"/>
        </w:numPr>
      </w:pPr>
      <w:r w:rsidRPr="00F84ECF">
        <w:rPr>
          <w:i/>
        </w:rPr>
        <w:t>Expected response time</w:t>
      </w:r>
      <w:r>
        <w:t xml:space="preserve"> </w:t>
      </w:r>
      <w:r w:rsidR="00F84ECF">
        <w:t xml:space="preserve">– </w:t>
      </w:r>
      <w:r>
        <w:t xml:space="preserve">7 – 10 days more than 14 is too long </w:t>
      </w:r>
    </w:p>
    <w:p w14:paraId="6D5A7B2B" w14:textId="71BF0A8D" w:rsidR="005A6E36" w:rsidRDefault="005A6E36" w:rsidP="0069421D">
      <w:pPr>
        <w:pStyle w:val="NoSpacing"/>
        <w:numPr>
          <w:ilvl w:val="1"/>
          <w:numId w:val="92"/>
        </w:numPr>
      </w:pPr>
      <w:proofErr w:type="spellStart"/>
      <w:r>
        <w:rPr>
          <w:i/>
        </w:rPr>
        <w:t>Veghelyi</w:t>
      </w:r>
      <w:proofErr w:type="spellEnd"/>
      <w:r>
        <w:rPr>
          <w:i/>
        </w:rPr>
        <w:t xml:space="preserve"> v Council of the Law Society  of NSW</w:t>
      </w:r>
      <w:r>
        <w:t>;</w:t>
      </w:r>
    </w:p>
    <w:p w14:paraId="07C3FC30" w14:textId="77777777" w:rsidR="00F84ECF" w:rsidRDefault="00F84ECF" w:rsidP="00F84ECF">
      <w:pPr>
        <w:pStyle w:val="NoSpacing"/>
        <w:ind w:left="1440"/>
      </w:pPr>
    </w:p>
    <w:p w14:paraId="29A0217E" w14:textId="77777777" w:rsidR="007A0378" w:rsidRDefault="00263D2F" w:rsidP="0069421D">
      <w:pPr>
        <w:pStyle w:val="NoSpacing"/>
        <w:numPr>
          <w:ilvl w:val="0"/>
          <w:numId w:val="92"/>
        </w:numPr>
      </w:pPr>
      <w:r>
        <w:rPr>
          <w:i/>
        </w:rPr>
        <w:t xml:space="preserve">Substandard Work – </w:t>
      </w:r>
      <w:r w:rsidR="005A6E36">
        <w:t xml:space="preserve">Substandard work consisting of gross neglect and delay in conducting the affairs of a client can be professional misconduct: </w:t>
      </w:r>
    </w:p>
    <w:p w14:paraId="43341B21" w14:textId="3B56F488" w:rsidR="005A6E36" w:rsidRDefault="005A6E36" w:rsidP="0069421D">
      <w:pPr>
        <w:pStyle w:val="NoSpacing"/>
        <w:numPr>
          <w:ilvl w:val="1"/>
          <w:numId w:val="92"/>
        </w:numPr>
      </w:pPr>
      <w:r>
        <w:rPr>
          <w:i/>
          <w:u w:val="single"/>
        </w:rPr>
        <w:t>Re Mayes</w:t>
      </w:r>
      <w:r>
        <w:t>,</w:t>
      </w:r>
    </w:p>
    <w:p w14:paraId="1B8B7E14" w14:textId="77777777" w:rsidR="007A0378" w:rsidRPr="007A0378" w:rsidRDefault="007A0378" w:rsidP="007A0378">
      <w:pPr>
        <w:pStyle w:val="NoSpacing"/>
        <w:ind w:left="1440"/>
      </w:pPr>
    </w:p>
    <w:p w14:paraId="41019A3A" w14:textId="1FB8D9D4" w:rsidR="005A6E36" w:rsidRDefault="00E67F33" w:rsidP="0069421D">
      <w:pPr>
        <w:pStyle w:val="NoSpacing"/>
        <w:numPr>
          <w:ilvl w:val="0"/>
          <w:numId w:val="92"/>
        </w:numPr>
      </w:pPr>
      <w:r>
        <w:rPr>
          <w:i/>
        </w:rPr>
        <w:t xml:space="preserve">Expect Minimum Competence – </w:t>
      </w:r>
      <w:r w:rsidR="005A6E36">
        <w:t>Clients have a right to expect a minimum standard of competence form a lawyer:</w:t>
      </w:r>
    </w:p>
    <w:p w14:paraId="758689B8" w14:textId="3574423C" w:rsidR="005A6E36" w:rsidRDefault="008C0CF6" w:rsidP="0069421D">
      <w:pPr>
        <w:pStyle w:val="NoSpacing"/>
        <w:numPr>
          <w:ilvl w:val="2"/>
          <w:numId w:val="92"/>
        </w:numPr>
      </w:pPr>
      <w:r>
        <w:rPr>
          <w:i/>
        </w:rPr>
        <w:t xml:space="preserve">Basic Knowledge – </w:t>
      </w:r>
      <w:r w:rsidR="005A6E36">
        <w:t>Minimum level means a solicitor needs to maintain a basic knowledge of the law, and keep up to date with developments in his/her field of practice;</w:t>
      </w:r>
    </w:p>
    <w:p w14:paraId="0280621F" w14:textId="77777777" w:rsidR="001E3DE0" w:rsidRDefault="001E3DE0" w:rsidP="00C645AC">
      <w:pPr>
        <w:pStyle w:val="NoSpacing"/>
      </w:pPr>
    </w:p>
    <w:p w14:paraId="6DB1C3CC" w14:textId="17B6D0D4" w:rsidR="00C645AC" w:rsidRPr="002D25A8" w:rsidRDefault="00C645AC" w:rsidP="0069421D">
      <w:pPr>
        <w:pStyle w:val="NoSpacing"/>
        <w:numPr>
          <w:ilvl w:val="0"/>
          <w:numId w:val="86"/>
        </w:numPr>
        <w:rPr>
          <w:b/>
          <w:i/>
        </w:rPr>
      </w:pPr>
      <w:r w:rsidRPr="002D25A8">
        <w:rPr>
          <w:b/>
          <w:i/>
        </w:rPr>
        <w:lastRenderedPageBreak/>
        <w:t>Failure to properly supervise</w:t>
      </w:r>
      <w:r w:rsidR="00871BF0">
        <w:rPr>
          <w:b/>
          <w:i/>
        </w:rPr>
        <w:t xml:space="preserve"> </w:t>
      </w:r>
      <w:r w:rsidR="00871BF0" w:rsidRPr="00871BF0">
        <w:rPr>
          <w:i/>
        </w:rPr>
        <w:t>– s4.4.3(a) LPA – ‘failure to reach or maintain a reasonable standard of competence and diligence’</w:t>
      </w:r>
      <w:r w:rsidR="00527EF1">
        <w:rPr>
          <w:i/>
        </w:rPr>
        <w:t>; Schedule 4 Legal Professional</w:t>
      </w:r>
      <w:r w:rsidR="000F3815">
        <w:rPr>
          <w:i/>
        </w:rPr>
        <w:t xml:space="preserve"> (Admission)</w:t>
      </w:r>
      <w:r w:rsidR="00527EF1">
        <w:rPr>
          <w:i/>
        </w:rPr>
        <w:t xml:space="preserve"> Rules 2008</w:t>
      </w:r>
      <w:r w:rsidR="0026587E">
        <w:rPr>
          <w:i/>
        </w:rPr>
        <w:t>; PCPR 29A(iii)</w:t>
      </w:r>
    </w:p>
    <w:p w14:paraId="742ECC39" w14:textId="77777777" w:rsidR="00871BF0" w:rsidRPr="00871BF0" w:rsidRDefault="00871BF0" w:rsidP="00871BF0">
      <w:pPr>
        <w:pStyle w:val="NoSpacing"/>
        <w:ind w:left="1440"/>
      </w:pPr>
    </w:p>
    <w:p w14:paraId="57B16C4F" w14:textId="7DB6E9BF" w:rsidR="00C645AC" w:rsidRDefault="00B408AD" w:rsidP="0069421D">
      <w:pPr>
        <w:pStyle w:val="NoSpacing"/>
        <w:numPr>
          <w:ilvl w:val="0"/>
          <w:numId w:val="93"/>
        </w:numPr>
      </w:pPr>
      <w:r>
        <w:rPr>
          <w:i/>
        </w:rPr>
        <w:t xml:space="preserve">Failure to Supervise Juniors – </w:t>
      </w:r>
      <w:r w:rsidR="00C645AC">
        <w:t xml:space="preserve">Serious omissions to properly </w:t>
      </w:r>
      <w:r w:rsidR="00C645AC" w:rsidRPr="00A37B94">
        <w:t>supervise juniors, or be vigilant to the activities of partners may amount to professional misconduct especially where it concerns trust funds.</w:t>
      </w:r>
    </w:p>
    <w:p w14:paraId="0BA9E9F9" w14:textId="327BA472" w:rsidR="00D4607E" w:rsidRPr="00A37B94" w:rsidRDefault="00A37B94" w:rsidP="0069421D">
      <w:pPr>
        <w:pStyle w:val="NoSpacing"/>
        <w:numPr>
          <w:ilvl w:val="1"/>
          <w:numId w:val="93"/>
        </w:numPr>
      </w:pPr>
      <w:r>
        <w:rPr>
          <w:i/>
        </w:rPr>
        <w:t>Law Society v NSW v Foreman</w:t>
      </w:r>
    </w:p>
    <w:p w14:paraId="6BFDCA62" w14:textId="77777777" w:rsidR="00A37B94" w:rsidRDefault="00A37B94" w:rsidP="00A37B94">
      <w:pPr>
        <w:pStyle w:val="NoSpacing"/>
        <w:ind w:left="2160"/>
      </w:pPr>
    </w:p>
    <w:p w14:paraId="3B3512EF" w14:textId="77777777" w:rsidR="00EB3A56" w:rsidRPr="00A37B94" w:rsidRDefault="00EB3A56" w:rsidP="00EB3A56">
      <w:pPr>
        <w:pStyle w:val="NoSpacing"/>
      </w:pPr>
      <w:r>
        <w:rPr>
          <w:i/>
        </w:rPr>
        <w:t>Law Society v NSW v Foreman</w:t>
      </w:r>
    </w:p>
    <w:p w14:paraId="4C6081C1" w14:textId="03FA76CE" w:rsidR="00A37B94" w:rsidRDefault="001B51B6" w:rsidP="00EB3A56">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Clerk employed by solicitor lent money to a company where wife had conflict of interest. Solicitor did not supervise </w:t>
      </w:r>
      <w:proofErr w:type="gramStart"/>
      <w:r>
        <w:t>clerks</w:t>
      </w:r>
      <w:proofErr w:type="gramEnd"/>
      <w:r>
        <w:t xml:space="preserve"> activities and didn’t detect transaction. </w:t>
      </w:r>
    </w:p>
    <w:p w14:paraId="3AAC813F" w14:textId="0F41E6AB" w:rsidR="001B51B6" w:rsidRPr="001B51B6" w:rsidRDefault="001B51B6" w:rsidP="00EB3A56">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rPr>
          <w:b/>
        </w:rPr>
        <w:t xml:space="preserve">Held: </w:t>
      </w:r>
      <w:proofErr w:type="spellStart"/>
      <w:r w:rsidR="00D12070">
        <w:t>Solicitior</w:t>
      </w:r>
      <w:proofErr w:type="spellEnd"/>
      <w:r w:rsidR="00D12070">
        <w:t xml:space="preserve"> should have supervised </w:t>
      </w:r>
      <w:proofErr w:type="spellStart"/>
      <w:r w:rsidR="00D12070">
        <w:t>theclerk</w:t>
      </w:r>
      <w:proofErr w:type="spellEnd"/>
      <w:r w:rsidR="00D12070">
        <w:t xml:space="preserve"> and been aware, satisfied and ensure relevant supervision of the clerk.</w:t>
      </w:r>
      <w:r w:rsidR="00150F4C">
        <w:t xml:space="preserve"> </w:t>
      </w:r>
      <w:proofErr w:type="gramStart"/>
      <w:r w:rsidR="00150F4C">
        <w:t>This amount of professional misconduct.</w:t>
      </w:r>
      <w:proofErr w:type="gramEnd"/>
    </w:p>
    <w:p w14:paraId="68663E02" w14:textId="77777777" w:rsidR="00D13116" w:rsidRPr="001E3DE0" w:rsidRDefault="00D13116" w:rsidP="00145331">
      <w:pPr>
        <w:pStyle w:val="NoSpacing"/>
        <w:rPr>
          <w:rFonts w:cs="Times New Roman"/>
          <w:szCs w:val="24"/>
        </w:rPr>
      </w:pPr>
    </w:p>
    <w:p w14:paraId="1AA6E7AA" w14:textId="24F8CCCD" w:rsidR="00BF54A3" w:rsidRDefault="005A61F1" w:rsidP="0069421D">
      <w:pPr>
        <w:pStyle w:val="NoSpacing"/>
        <w:numPr>
          <w:ilvl w:val="0"/>
          <w:numId w:val="93"/>
        </w:numPr>
      </w:pPr>
      <w:r>
        <w:rPr>
          <w:i/>
        </w:rPr>
        <w:t>Activities of Other Partners</w:t>
      </w:r>
      <w:r w:rsidR="00BF54A3">
        <w:rPr>
          <w:i/>
        </w:rPr>
        <w:t xml:space="preserve"> – </w:t>
      </w:r>
      <w:r w:rsidR="00F75E7A">
        <w:t xml:space="preserve">Lawyers must be reasonably aware of </w:t>
      </w:r>
      <w:r w:rsidR="00B761FE">
        <w:t>partner’s</w:t>
      </w:r>
      <w:r w:rsidR="00F75E7A">
        <w:t xml:space="preserve"> breaches of duties and should investigate individually if there is a breach by one partner and </w:t>
      </w:r>
      <w:r w:rsidR="00F75E7A">
        <w:rPr>
          <w:u w:val="single"/>
        </w:rPr>
        <w:t>not take verbal assurances</w:t>
      </w:r>
      <w:r w:rsidR="00F75E7A">
        <w:t>.</w:t>
      </w:r>
    </w:p>
    <w:p w14:paraId="30B08ACE" w14:textId="765D3F12" w:rsidR="00F75E7A" w:rsidRPr="00D332C1" w:rsidRDefault="00D332C1" w:rsidP="0069421D">
      <w:pPr>
        <w:pStyle w:val="NoSpacing"/>
        <w:numPr>
          <w:ilvl w:val="1"/>
          <w:numId w:val="93"/>
        </w:numPr>
      </w:pPr>
      <w:r>
        <w:rPr>
          <w:i/>
        </w:rPr>
        <w:t>Bridges v Law Society of NSW</w:t>
      </w:r>
    </w:p>
    <w:p w14:paraId="72498E2C" w14:textId="77777777" w:rsidR="00D332C1" w:rsidRPr="00D332C1" w:rsidRDefault="00D332C1" w:rsidP="00D332C1">
      <w:pPr>
        <w:pStyle w:val="NoSpacing"/>
      </w:pPr>
    </w:p>
    <w:p w14:paraId="4811150C" w14:textId="25D53DBD" w:rsidR="00D332C1" w:rsidRDefault="00B761FE" w:rsidP="0069421D">
      <w:pPr>
        <w:pStyle w:val="NoSpacing"/>
        <w:numPr>
          <w:ilvl w:val="0"/>
          <w:numId w:val="93"/>
        </w:numPr>
      </w:pPr>
      <w:r>
        <w:rPr>
          <w:i/>
        </w:rPr>
        <w:t xml:space="preserve">Trust accounts of Partners – </w:t>
      </w:r>
      <w:r w:rsidR="00593B56">
        <w:t>Partners must account to oth</w:t>
      </w:r>
      <w:r w:rsidR="00E740F8">
        <w:t>er partners of any related trust accounting and will be liable of professional misconduct if they are ignorant or indifferent.</w:t>
      </w:r>
    </w:p>
    <w:p w14:paraId="00AE501C" w14:textId="2DDD9484" w:rsidR="00E740F8" w:rsidRDefault="00E740F8" w:rsidP="0069421D">
      <w:pPr>
        <w:pStyle w:val="NoSpacing"/>
        <w:numPr>
          <w:ilvl w:val="1"/>
          <w:numId w:val="93"/>
        </w:numPr>
      </w:pPr>
      <w:r>
        <w:rPr>
          <w:i/>
        </w:rPr>
        <w:t>Re Mayes</w:t>
      </w:r>
    </w:p>
    <w:p w14:paraId="417B1967" w14:textId="77777777" w:rsidR="00402D3D" w:rsidRDefault="00402D3D" w:rsidP="00402D3D">
      <w:pPr>
        <w:pStyle w:val="NoSpacing"/>
      </w:pPr>
    </w:p>
    <w:p w14:paraId="3565D447" w14:textId="77777777" w:rsidR="00D13116" w:rsidRPr="001E3DE0" w:rsidRDefault="00D13116" w:rsidP="00145331">
      <w:pPr>
        <w:pStyle w:val="NoSpacing"/>
        <w:rPr>
          <w:rFonts w:cs="Times New Roman"/>
          <w:szCs w:val="24"/>
        </w:rPr>
      </w:pPr>
    </w:p>
    <w:p w14:paraId="1E8D83CF" w14:textId="77777777" w:rsidR="00D13116" w:rsidRPr="001E3DE0" w:rsidRDefault="00D13116" w:rsidP="00145331">
      <w:pPr>
        <w:pStyle w:val="NoSpacing"/>
        <w:rPr>
          <w:rFonts w:cs="Times New Roman"/>
          <w:szCs w:val="24"/>
        </w:rPr>
      </w:pPr>
    </w:p>
    <w:p w14:paraId="360651C6" w14:textId="77777777" w:rsidR="00D13116" w:rsidRPr="001E3DE0" w:rsidRDefault="00D13116" w:rsidP="00145331">
      <w:pPr>
        <w:pStyle w:val="NoSpacing"/>
        <w:rPr>
          <w:rFonts w:cs="Times New Roman"/>
          <w:szCs w:val="24"/>
        </w:rPr>
      </w:pPr>
    </w:p>
    <w:p w14:paraId="2B7BEDE6" w14:textId="77777777" w:rsidR="00D13116" w:rsidRPr="001E3DE0" w:rsidRDefault="00D13116" w:rsidP="00145331">
      <w:pPr>
        <w:pStyle w:val="NoSpacing"/>
        <w:rPr>
          <w:rFonts w:cs="Times New Roman"/>
          <w:szCs w:val="24"/>
        </w:rPr>
      </w:pPr>
    </w:p>
    <w:p w14:paraId="4C6269A5" w14:textId="77777777" w:rsidR="00D13116" w:rsidRPr="001E3DE0" w:rsidRDefault="00D13116" w:rsidP="00145331">
      <w:pPr>
        <w:pStyle w:val="NoSpacing"/>
        <w:rPr>
          <w:rFonts w:cs="Times New Roman"/>
          <w:szCs w:val="24"/>
        </w:rPr>
      </w:pPr>
    </w:p>
    <w:p w14:paraId="767BB7A7" w14:textId="77777777" w:rsidR="00D13116" w:rsidRDefault="00D13116" w:rsidP="00145331">
      <w:pPr>
        <w:pStyle w:val="NoSpacing"/>
        <w:rPr>
          <w:rFonts w:cs="Times New Roman"/>
          <w:szCs w:val="24"/>
        </w:rPr>
      </w:pPr>
    </w:p>
    <w:p w14:paraId="0993A49F" w14:textId="77777777" w:rsidR="001C0A8A" w:rsidRDefault="001C0A8A" w:rsidP="00145331">
      <w:pPr>
        <w:pStyle w:val="NoSpacing"/>
        <w:rPr>
          <w:rFonts w:cs="Times New Roman"/>
          <w:szCs w:val="24"/>
        </w:rPr>
      </w:pPr>
    </w:p>
    <w:p w14:paraId="001F226F" w14:textId="77777777" w:rsidR="001C0A8A" w:rsidRDefault="001C0A8A" w:rsidP="00145331">
      <w:pPr>
        <w:pStyle w:val="NoSpacing"/>
        <w:rPr>
          <w:rFonts w:cs="Times New Roman"/>
          <w:szCs w:val="24"/>
        </w:rPr>
      </w:pPr>
    </w:p>
    <w:p w14:paraId="4578B86B" w14:textId="77777777" w:rsidR="001C0A8A" w:rsidRDefault="001C0A8A" w:rsidP="00145331">
      <w:pPr>
        <w:pStyle w:val="NoSpacing"/>
        <w:rPr>
          <w:rFonts w:cs="Times New Roman"/>
          <w:szCs w:val="24"/>
        </w:rPr>
      </w:pPr>
    </w:p>
    <w:p w14:paraId="4347AE46" w14:textId="77777777" w:rsidR="001C0A8A" w:rsidRDefault="001C0A8A" w:rsidP="00145331">
      <w:pPr>
        <w:pStyle w:val="NoSpacing"/>
        <w:rPr>
          <w:rFonts w:cs="Times New Roman"/>
          <w:szCs w:val="24"/>
        </w:rPr>
      </w:pPr>
    </w:p>
    <w:p w14:paraId="2FF58DA5" w14:textId="77777777" w:rsidR="001C0A8A" w:rsidRDefault="001C0A8A" w:rsidP="00145331">
      <w:pPr>
        <w:pStyle w:val="NoSpacing"/>
        <w:rPr>
          <w:rFonts w:cs="Times New Roman"/>
          <w:szCs w:val="24"/>
        </w:rPr>
      </w:pPr>
    </w:p>
    <w:p w14:paraId="7A47C117" w14:textId="77777777" w:rsidR="001C0A8A" w:rsidRDefault="001C0A8A" w:rsidP="00145331">
      <w:pPr>
        <w:pStyle w:val="NoSpacing"/>
        <w:rPr>
          <w:rFonts w:cs="Times New Roman"/>
          <w:szCs w:val="24"/>
        </w:rPr>
      </w:pPr>
    </w:p>
    <w:p w14:paraId="2DC77A81" w14:textId="77777777" w:rsidR="001C0A8A" w:rsidRDefault="001C0A8A" w:rsidP="00145331">
      <w:pPr>
        <w:pStyle w:val="NoSpacing"/>
        <w:rPr>
          <w:rFonts w:cs="Times New Roman"/>
          <w:szCs w:val="24"/>
        </w:rPr>
      </w:pPr>
    </w:p>
    <w:p w14:paraId="58B376F6" w14:textId="77777777" w:rsidR="001C0A8A" w:rsidRDefault="001C0A8A" w:rsidP="00145331">
      <w:pPr>
        <w:pStyle w:val="NoSpacing"/>
        <w:rPr>
          <w:rFonts w:cs="Times New Roman"/>
          <w:szCs w:val="24"/>
        </w:rPr>
      </w:pPr>
    </w:p>
    <w:p w14:paraId="77E79BDF" w14:textId="77777777" w:rsidR="001C0A8A" w:rsidRDefault="001C0A8A" w:rsidP="00145331">
      <w:pPr>
        <w:pStyle w:val="NoSpacing"/>
        <w:rPr>
          <w:rFonts w:cs="Times New Roman"/>
          <w:szCs w:val="24"/>
        </w:rPr>
      </w:pPr>
    </w:p>
    <w:p w14:paraId="0B53B86B" w14:textId="77777777" w:rsidR="001C0A8A" w:rsidRDefault="001C0A8A" w:rsidP="00145331">
      <w:pPr>
        <w:pStyle w:val="NoSpacing"/>
        <w:rPr>
          <w:rFonts w:cs="Times New Roman"/>
          <w:szCs w:val="24"/>
        </w:rPr>
      </w:pPr>
    </w:p>
    <w:p w14:paraId="25D6A4D5" w14:textId="77777777" w:rsidR="001C0A8A" w:rsidRDefault="001C0A8A" w:rsidP="00145331">
      <w:pPr>
        <w:pStyle w:val="NoSpacing"/>
        <w:rPr>
          <w:rFonts w:cs="Times New Roman"/>
          <w:szCs w:val="24"/>
        </w:rPr>
      </w:pPr>
    </w:p>
    <w:p w14:paraId="367E4F8E" w14:textId="77777777" w:rsidR="001C0A8A" w:rsidRDefault="001C0A8A" w:rsidP="00145331">
      <w:pPr>
        <w:pStyle w:val="NoSpacing"/>
        <w:rPr>
          <w:rFonts w:cs="Times New Roman"/>
          <w:szCs w:val="24"/>
        </w:rPr>
      </w:pPr>
    </w:p>
    <w:p w14:paraId="26BEBBB3" w14:textId="77777777" w:rsidR="001C0A8A" w:rsidRDefault="001C0A8A" w:rsidP="00145331">
      <w:pPr>
        <w:pStyle w:val="NoSpacing"/>
        <w:rPr>
          <w:rFonts w:cs="Times New Roman"/>
          <w:szCs w:val="24"/>
        </w:rPr>
      </w:pPr>
    </w:p>
    <w:p w14:paraId="7E3395F2" w14:textId="77777777" w:rsidR="001C0A8A" w:rsidRDefault="001C0A8A" w:rsidP="00145331">
      <w:pPr>
        <w:pStyle w:val="NoSpacing"/>
        <w:rPr>
          <w:rFonts w:cs="Times New Roman"/>
          <w:szCs w:val="24"/>
        </w:rPr>
      </w:pPr>
    </w:p>
    <w:p w14:paraId="1C0C4F8A" w14:textId="77777777" w:rsidR="001C0A8A" w:rsidRDefault="001C0A8A" w:rsidP="00145331">
      <w:pPr>
        <w:pStyle w:val="NoSpacing"/>
        <w:rPr>
          <w:rFonts w:cs="Times New Roman"/>
          <w:szCs w:val="24"/>
        </w:rPr>
      </w:pPr>
    </w:p>
    <w:p w14:paraId="1F5426E5" w14:textId="77777777" w:rsidR="001C0A8A" w:rsidRDefault="001C0A8A" w:rsidP="00145331">
      <w:pPr>
        <w:pStyle w:val="NoSpacing"/>
        <w:rPr>
          <w:rFonts w:cs="Times New Roman"/>
          <w:szCs w:val="24"/>
        </w:rPr>
      </w:pPr>
    </w:p>
    <w:p w14:paraId="7A64D6C9" w14:textId="77777777" w:rsidR="001C0A8A" w:rsidRDefault="001C0A8A" w:rsidP="00145331">
      <w:pPr>
        <w:pStyle w:val="NoSpacing"/>
        <w:rPr>
          <w:rFonts w:cs="Times New Roman"/>
          <w:szCs w:val="24"/>
        </w:rPr>
      </w:pPr>
    </w:p>
    <w:p w14:paraId="7E9345E4" w14:textId="77777777" w:rsidR="003D13DB" w:rsidRDefault="003D13DB" w:rsidP="00145331">
      <w:pPr>
        <w:pStyle w:val="NoSpacing"/>
        <w:rPr>
          <w:rFonts w:cs="Times New Roman"/>
          <w:szCs w:val="24"/>
        </w:rPr>
      </w:pPr>
    </w:p>
    <w:p w14:paraId="0990D4AF" w14:textId="77777777" w:rsidR="001C0A8A" w:rsidRDefault="001C0A8A" w:rsidP="00145331">
      <w:pPr>
        <w:pStyle w:val="NoSpacing"/>
        <w:rPr>
          <w:rFonts w:cs="Times New Roman"/>
          <w:szCs w:val="24"/>
        </w:rPr>
      </w:pPr>
    </w:p>
    <w:p w14:paraId="143BF433" w14:textId="77777777" w:rsidR="001C0A8A" w:rsidRDefault="001C0A8A" w:rsidP="00145331">
      <w:pPr>
        <w:pStyle w:val="NoSpacing"/>
        <w:rPr>
          <w:rFonts w:cs="Times New Roman"/>
          <w:szCs w:val="24"/>
        </w:rPr>
      </w:pPr>
    </w:p>
    <w:p w14:paraId="5B140BF6" w14:textId="77777777" w:rsidR="001C0A8A" w:rsidRDefault="001C0A8A" w:rsidP="00145331">
      <w:pPr>
        <w:pStyle w:val="NoSpacing"/>
        <w:rPr>
          <w:rFonts w:cs="Times New Roman"/>
          <w:szCs w:val="24"/>
        </w:rPr>
      </w:pPr>
    </w:p>
    <w:p w14:paraId="2B1BC87E" w14:textId="77777777" w:rsidR="001C0A8A" w:rsidRDefault="001C0A8A" w:rsidP="00145331">
      <w:pPr>
        <w:pStyle w:val="NoSpacing"/>
        <w:rPr>
          <w:rFonts w:cs="Times New Roman"/>
          <w:szCs w:val="24"/>
        </w:rPr>
      </w:pPr>
    </w:p>
    <w:p w14:paraId="2121AF7B" w14:textId="32D8B731" w:rsidR="00F7760C" w:rsidRDefault="00F7760C" w:rsidP="00F7760C">
      <w:pPr>
        <w:pStyle w:val="NoSpacing"/>
        <w:rPr>
          <w:rFonts w:cs="Times New Roman"/>
          <w:b/>
          <w:szCs w:val="24"/>
          <w:u w:val="single"/>
        </w:rPr>
      </w:pPr>
      <w:r>
        <w:rPr>
          <w:rFonts w:cs="Times New Roman"/>
          <w:b/>
          <w:szCs w:val="24"/>
          <w:u w:val="single"/>
        </w:rPr>
        <w:t xml:space="preserve">Misconduct outside </w:t>
      </w:r>
      <w:r w:rsidR="0089355F">
        <w:rPr>
          <w:rFonts w:cs="Times New Roman"/>
          <w:b/>
          <w:szCs w:val="24"/>
          <w:u w:val="single"/>
        </w:rPr>
        <w:t xml:space="preserve">the </w:t>
      </w:r>
      <w:r>
        <w:rPr>
          <w:rFonts w:cs="Times New Roman"/>
          <w:b/>
          <w:szCs w:val="24"/>
          <w:u w:val="single"/>
        </w:rPr>
        <w:t>Course of Practice</w:t>
      </w:r>
    </w:p>
    <w:p w14:paraId="37BDD5F8" w14:textId="77777777" w:rsidR="00DE611F" w:rsidRPr="0060725B" w:rsidRDefault="00DE611F" w:rsidP="0060725B">
      <w:pPr>
        <w:pStyle w:val="NoSpacing"/>
      </w:pPr>
    </w:p>
    <w:p w14:paraId="2DDE9BBB" w14:textId="4D627AA7" w:rsidR="00827905" w:rsidRDefault="0060725B" w:rsidP="0069421D">
      <w:pPr>
        <w:pStyle w:val="NoSpacing"/>
        <w:numPr>
          <w:ilvl w:val="0"/>
          <w:numId w:val="94"/>
        </w:numPr>
      </w:pPr>
      <w:r w:rsidRPr="0060725B">
        <w:rPr>
          <w:b/>
          <w:i/>
        </w:rPr>
        <w:t>Criminal Conviction</w:t>
      </w:r>
      <w:r w:rsidR="00D35D36">
        <w:t xml:space="preserve"> </w:t>
      </w:r>
      <w:r w:rsidR="00C00588">
        <w:t xml:space="preserve">– </w:t>
      </w:r>
      <w:r w:rsidR="00BC466F">
        <w:t>A</w:t>
      </w:r>
      <w:r w:rsidR="00827905">
        <w:t xml:space="preserve"> criminal conviction may be </w:t>
      </w:r>
      <w:r w:rsidR="00827905">
        <w:rPr>
          <w:i/>
        </w:rPr>
        <w:t>prima facie</w:t>
      </w:r>
      <w:r w:rsidR="00827905">
        <w:t xml:space="preserve"> evidence of the high level of integrity expected by that of legal professionals.</w:t>
      </w:r>
    </w:p>
    <w:p w14:paraId="0163B545" w14:textId="77777777" w:rsidR="00827905" w:rsidRPr="00827905" w:rsidRDefault="00827905" w:rsidP="00827905">
      <w:pPr>
        <w:pStyle w:val="NoSpacing"/>
        <w:ind w:left="1440"/>
      </w:pPr>
    </w:p>
    <w:p w14:paraId="1B4EBDD0" w14:textId="3D5672A4" w:rsidR="0060725B" w:rsidRDefault="00827905" w:rsidP="0069421D">
      <w:pPr>
        <w:pStyle w:val="NoSpacing"/>
        <w:numPr>
          <w:ilvl w:val="1"/>
          <w:numId w:val="94"/>
        </w:numPr>
      </w:pPr>
      <w:r>
        <w:t xml:space="preserve"> </w:t>
      </w:r>
      <w:r w:rsidR="0060725B">
        <w:t xml:space="preserve"> </w:t>
      </w:r>
      <w:r>
        <w:rPr>
          <w:i/>
        </w:rPr>
        <w:t xml:space="preserve">Dishonesty </w:t>
      </w:r>
      <w:r w:rsidR="00D35D36">
        <w:rPr>
          <w:i/>
        </w:rPr>
        <w:t xml:space="preserve">– </w:t>
      </w:r>
      <w:r w:rsidR="00D35D36" w:rsidRPr="00C00588">
        <w:rPr>
          <w:i/>
        </w:rPr>
        <w:t>s4.4.4(c</w:t>
      </w:r>
      <w:proofErr w:type="gramStart"/>
      <w:r w:rsidR="00D35D36" w:rsidRPr="00C00588">
        <w:rPr>
          <w:i/>
        </w:rPr>
        <w:t>)(</w:t>
      </w:r>
      <w:proofErr w:type="gramEnd"/>
      <w:r w:rsidR="00D35D36" w:rsidRPr="00C00588">
        <w:rPr>
          <w:i/>
        </w:rPr>
        <w:t>iii) LPA</w:t>
      </w:r>
      <w:r w:rsidR="00EA2010">
        <w:rPr>
          <w:i/>
        </w:rPr>
        <w:t xml:space="preserve"> </w:t>
      </w:r>
      <w:r>
        <w:t>– Repeated acts of dishonesty is clearly a ‘probative force’ in a disciplinary matter as it bears directly on a lawyers character that is central to the admission process.</w:t>
      </w:r>
    </w:p>
    <w:p w14:paraId="73A235DF" w14:textId="1A1D9FEB" w:rsidR="00827905" w:rsidRPr="00827905" w:rsidRDefault="00BE103A" w:rsidP="0069421D">
      <w:pPr>
        <w:pStyle w:val="NoSpacing"/>
        <w:numPr>
          <w:ilvl w:val="2"/>
          <w:numId w:val="94"/>
        </w:numPr>
      </w:pPr>
      <w:r>
        <w:rPr>
          <w:i/>
        </w:rPr>
        <w:t xml:space="preserve">Bolton v Law Society; </w:t>
      </w:r>
      <w:r w:rsidR="00827905" w:rsidRPr="00827905">
        <w:rPr>
          <w:i/>
        </w:rPr>
        <w:t xml:space="preserve">NSW Bar v </w:t>
      </w:r>
      <w:proofErr w:type="spellStart"/>
      <w:r w:rsidR="00827905" w:rsidRPr="00827905">
        <w:rPr>
          <w:i/>
        </w:rPr>
        <w:t>Sahade</w:t>
      </w:r>
      <w:proofErr w:type="spellEnd"/>
    </w:p>
    <w:p w14:paraId="3C3F9589" w14:textId="77777777" w:rsidR="00827905" w:rsidRPr="00827905" w:rsidRDefault="00827905" w:rsidP="00827905">
      <w:pPr>
        <w:pStyle w:val="NoSpacing"/>
        <w:ind w:left="2160"/>
      </w:pPr>
    </w:p>
    <w:p w14:paraId="3A1B5B7A" w14:textId="1C4731F0" w:rsidR="00F567C8" w:rsidRPr="003D438A" w:rsidRDefault="00F567C8" w:rsidP="0069421D">
      <w:pPr>
        <w:pStyle w:val="NoSpacing"/>
        <w:numPr>
          <w:ilvl w:val="1"/>
          <w:numId w:val="94"/>
        </w:numPr>
      </w:pPr>
      <w:r>
        <w:rPr>
          <w:i/>
          <w:u w:val="single"/>
        </w:rPr>
        <w:t>Does the</w:t>
      </w:r>
      <w:r w:rsidR="003D438A">
        <w:rPr>
          <w:i/>
          <w:u w:val="single"/>
        </w:rPr>
        <w:t xml:space="preserve"> conviction render the lawyer unfit to practice?</w:t>
      </w:r>
    </w:p>
    <w:p w14:paraId="725378DC" w14:textId="2FEBDC64" w:rsidR="003D438A" w:rsidRPr="003D438A" w:rsidRDefault="003D438A" w:rsidP="003D438A">
      <w:pPr>
        <w:pStyle w:val="NoSpacing"/>
        <w:ind w:left="2160"/>
      </w:pPr>
    </w:p>
    <w:p w14:paraId="1E0AA63D" w14:textId="0D939255" w:rsidR="00677815" w:rsidRPr="00C52D71" w:rsidRDefault="00835D05" w:rsidP="00677815">
      <w:pPr>
        <w:pStyle w:val="NoSpacing"/>
        <w:numPr>
          <w:ilvl w:val="1"/>
          <w:numId w:val="110"/>
        </w:numPr>
      </w:pPr>
      <w:r>
        <w:rPr>
          <w:i/>
        </w:rPr>
        <w:t xml:space="preserve">Serious Offence – Yes – </w:t>
      </w:r>
      <w:r w:rsidR="00677815" w:rsidRPr="00F703D2">
        <w:rPr>
          <w:b/>
          <w:i/>
          <w:u w:val="single"/>
        </w:rPr>
        <w:t>s4.4.4(c</w:t>
      </w:r>
      <w:proofErr w:type="gramStart"/>
      <w:r w:rsidR="00677815" w:rsidRPr="00F703D2">
        <w:rPr>
          <w:b/>
          <w:i/>
          <w:u w:val="single"/>
        </w:rPr>
        <w:t>)(</w:t>
      </w:r>
      <w:proofErr w:type="gramEnd"/>
      <w:r w:rsidR="00677815" w:rsidRPr="00F703D2">
        <w:rPr>
          <w:b/>
          <w:i/>
        </w:rPr>
        <w:t xml:space="preserve">i) </w:t>
      </w:r>
      <w:r w:rsidR="00677815">
        <w:rPr>
          <w:b/>
          <w:i/>
        </w:rPr>
        <w:t>–</w:t>
      </w:r>
      <w:r w:rsidR="00677815">
        <w:rPr>
          <w:i/>
        </w:rPr>
        <w:t xml:space="preserve"> s1.2.1 LPA – Serious offence is an indictable offence in Australia, indictable offence against any other jurisdiction, indictable offence against the law of foreign country which would be indictable in Australia.</w:t>
      </w:r>
    </w:p>
    <w:p w14:paraId="54F335E6" w14:textId="77777777" w:rsidR="00835D05" w:rsidRPr="00835D05" w:rsidRDefault="00835D05" w:rsidP="00835D05">
      <w:pPr>
        <w:pStyle w:val="NoSpacing"/>
        <w:ind w:left="2160"/>
      </w:pPr>
    </w:p>
    <w:p w14:paraId="20092A85" w14:textId="26BEBFC2" w:rsidR="00592C7E" w:rsidRDefault="00973805" w:rsidP="0069421D">
      <w:pPr>
        <w:pStyle w:val="NoSpacing"/>
        <w:numPr>
          <w:ilvl w:val="2"/>
          <w:numId w:val="94"/>
        </w:numPr>
      </w:pPr>
      <w:r>
        <w:rPr>
          <w:i/>
        </w:rPr>
        <w:t>Conclusion as to character</w:t>
      </w:r>
      <w:r w:rsidR="003D438A">
        <w:rPr>
          <w:i/>
        </w:rPr>
        <w:t xml:space="preserve"> </w:t>
      </w:r>
      <w:r w:rsidR="003D438A">
        <w:t xml:space="preserve">– If the offence does not strike at the heart of the </w:t>
      </w:r>
      <w:r w:rsidR="00942C23">
        <w:t>lawyer’s</w:t>
      </w:r>
      <w:r w:rsidR="003D438A">
        <w:t xml:space="preserve"> character and does not warrant any conclusion as to the lawyers general behaviour or inherent qualities then the conviction should not</w:t>
      </w:r>
      <w:r w:rsidR="00592C7E">
        <w:t>.</w:t>
      </w:r>
    </w:p>
    <w:p w14:paraId="0750845D" w14:textId="78DC13F7" w:rsidR="003D438A" w:rsidRPr="00386EB3" w:rsidRDefault="00FA2D77" w:rsidP="0069421D">
      <w:pPr>
        <w:pStyle w:val="NoSpacing"/>
        <w:numPr>
          <w:ilvl w:val="3"/>
          <w:numId w:val="94"/>
        </w:numPr>
      </w:pPr>
      <w:proofErr w:type="spellStart"/>
      <w:r>
        <w:rPr>
          <w:i/>
        </w:rPr>
        <w:t>Ziems</w:t>
      </w:r>
      <w:proofErr w:type="spellEnd"/>
      <w:r>
        <w:rPr>
          <w:i/>
        </w:rPr>
        <w:t xml:space="preserve"> v </w:t>
      </w:r>
      <w:proofErr w:type="spellStart"/>
      <w:r>
        <w:rPr>
          <w:i/>
        </w:rPr>
        <w:t>Prothonotary</w:t>
      </w:r>
      <w:proofErr w:type="spellEnd"/>
      <w:r>
        <w:rPr>
          <w:i/>
        </w:rPr>
        <w:t xml:space="preserve"> of Supreme Court NSW</w:t>
      </w:r>
    </w:p>
    <w:p w14:paraId="7F8F2A21" w14:textId="77777777" w:rsidR="00386EB3" w:rsidRPr="00386EB3" w:rsidRDefault="00386EB3" w:rsidP="00386EB3">
      <w:pPr>
        <w:pStyle w:val="NoSpacing"/>
        <w:ind w:left="2160"/>
      </w:pPr>
    </w:p>
    <w:p w14:paraId="229E8F6D" w14:textId="77777777" w:rsidR="00386EB3" w:rsidRDefault="00386EB3" w:rsidP="0069421D">
      <w:pPr>
        <w:pStyle w:val="NoSpacing"/>
        <w:numPr>
          <w:ilvl w:val="2"/>
          <w:numId w:val="94"/>
        </w:numPr>
      </w:pPr>
      <w:r w:rsidRPr="00827905">
        <w:rPr>
          <w:i/>
        </w:rPr>
        <w:t>Evidence surrounding the conviction</w:t>
      </w:r>
      <w:r>
        <w:rPr>
          <w:b/>
          <w:i/>
        </w:rPr>
        <w:t xml:space="preserve"> </w:t>
      </w:r>
      <w:r>
        <w:t>– The tribunal or court will examine the relevant evidence surrounding the conviction and the circumstances of the offence to determine whether the lawyer is fit to practice.</w:t>
      </w:r>
    </w:p>
    <w:p w14:paraId="37F1146D" w14:textId="00B294CA" w:rsidR="00386EB3" w:rsidRPr="006E24EA" w:rsidRDefault="00386EB3" w:rsidP="0069421D">
      <w:pPr>
        <w:pStyle w:val="NoSpacing"/>
        <w:numPr>
          <w:ilvl w:val="3"/>
          <w:numId w:val="94"/>
        </w:numPr>
      </w:pPr>
      <w:proofErr w:type="spellStart"/>
      <w:r>
        <w:rPr>
          <w:i/>
        </w:rPr>
        <w:t>Ziems</w:t>
      </w:r>
      <w:proofErr w:type="spellEnd"/>
      <w:r>
        <w:rPr>
          <w:i/>
        </w:rPr>
        <w:t xml:space="preserve"> v </w:t>
      </w:r>
      <w:proofErr w:type="spellStart"/>
      <w:r>
        <w:rPr>
          <w:i/>
        </w:rPr>
        <w:t>Prothonotary</w:t>
      </w:r>
      <w:proofErr w:type="spellEnd"/>
      <w:r>
        <w:rPr>
          <w:i/>
        </w:rPr>
        <w:t xml:space="preserve"> of Supreme Court NSW</w:t>
      </w:r>
      <w:r>
        <w:t xml:space="preserve">; </w:t>
      </w:r>
      <w:r w:rsidRPr="00386EB3">
        <w:rPr>
          <w:i/>
        </w:rPr>
        <w:t xml:space="preserve">Re a </w:t>
      </w:r>
      <w:proofErr w:type="spellStart"/>
      <w:r w:rsidRPr="00386EB3">
        <w:rPr>
          <w:i/>
        </w:rPr>
        <w:t>Solicitior</w:t>
      </w:r>
      <w:proofErr w:type="spellEnd"/>
    </w:p>
    <w:p w14:paraId="2232A997" w14:textId="77777777" w:rsidR="006E24EA" w:rsidRPr="006E24EA" w:rsidRDefault="006E24EA" w:rsidP="006E24EA">
      <w:pPr>
        <w:pStyle w:val="NoSpacing"/>
        <w:ind w:left="2880"/>
      </w:pPr>
    </w:p>
    <w:p w14:paraId="6F7257CE" w14:textId="6F043343" w:rsidR="006E24EA" w:rsidRDefault="0005153C" w:rsidP="0069421D">
      <w:pPr>
        <w:pStyle w:val="NoSpacing"/>
        <w:numPr>
          <w:ilvl w:val="2"/>
          <w:numId w:val="94"/>
        </w:numPr>
      </w:pPr>
      <w:r>
        <w:rPr>
          <w:i/>
        </w:rPr>
        <w:t xml:space="preserve">Isolated Incident </w:t>
      </w:r>
      <w:r w:rsidR="0049355E">
        <w:rPr>
          <w:i/>
        </w:rPr>
        <w:t xml:space="preserve">&amp; Not Premeditated </w:t>
      </w:r>
      <w:r w:rsidR="0049355E">
        <w:t>–</w:t>
      </w:r>
      <w:r>
        <w:t xml:space="preserve"> </w:t>
      </w:r>
      <w:r w:rsidR="0049355E">
        <w:t xml:space="preserve">If the incident is an isolated incident and the lawyer has not had a repeated string of offences then this does not warrant any conclusion about a </w:t>
      </w:r>
      <w:proofErr w:type="gramStart"/>
      <w:r w:rsidR="0049355E">
        <w:t>lawyers</w:t>
      </w:r>
      <w:proofErr w:type="gramEnd"/>
      <w:r w:rsidR="0049355E">
        <w:t xml:space="preserve"> general behaviour or inherent qualities and should not prejudice them to removal from the roll. </w:t>
      </w:r>
      <w:proofErr w:type="spellStart"/>
      <w:r w:rsidR="0049355E">
        <w:t>Particuarly</w:t>
      </w:r>
      <w:proofErr w:type="spellEnd"/>
      <w:r w:rsidR="0049355E">
        <w:t xml:space="preserve"> if the offence was not premeditated.</w:t>
      </w:r>
    </w:p>
    <w:p w14:paraId="2128CA0E" w14:textId="00CA5B45" w:rsidR="0049355E" w:rsidRPr="00827905" w:rsidRDefault="0049355E" w:rsidP="0069421D">
      <w:pPr>
        <w:pStyle w:val="NoSpacing"/>
        <w:numPr>
          <w:ilvl w:val="3"/>
          <w:numId w:val="94"/>
        </w:numPr>
      </w:pPr>
      <w:proofErr w:type="spellStart"/>
      <w:r>
        <w:rPr>
          <w:i/>
        </w:rPr>
        <w:t>Ziems</w:t>
      </w:r>
      <w:proofErr w:type="spellEnd"/>
      <w:r>
        <w:rPr>
          <w:i/>
        </w:rPr>
        <w:t xml:space="preserve"> v </w:t>
      </w:r>
      <w:proofErr w:type="spellStart"/>
      <w:r>
        <w:rPr>
          <w:i/>
        </w:rPr>
        <w:t>Prothonotary</w:t>
      </w:r>
      <w:proofErr w:type="spellEnd"/>
      <w:r>
        <w:rPr>
          <w:i/>
        </w:rPr>
        <w:t xml:space="preserve"> of Supreme Court NSW</w:t>
      </w:r>
    </w:p>
    <w:p w14:paraId="0C43DDBF" w14:textId="77777777" w:rsidR="00386EB3" w:rsidRPr="00827905" w:rsidRDefault="00386EB3" w:rsidP="00386EB3">
      <w:pPr>
        <w:pStyle w:val="NoSpacing"/>
        <w:ind w:left="2160"/>
      </w:pPr>
    </w:p>
    <w:p w14:paraId="4D10296C" w14:textId="45F5E7B7" w:rsidR="000D49ED" w:rsidRPr="0049355E" w:rsidRDefault="000D49ED" w:rsidP="000D49ED">
      <w:pPr>
        <w:pStyle w:val="NoSpacing"/>
      </w:pPr>
      <w:proofErr w:type="spellStart"/>
      <w:r>
        <w:rPr>
          <w:i/>
        </w:rPr>
        <w:t>Ziems</w:t>
      </w:r>
      <w:proofErr w:type="spellEnd"/>
      <w:r>
        <w:rPr>
          <w:i/>
        </w:rPr>
        <w:t xml:space="preserve"> v </w:t>
      </w:r>
      <w:proofErr w:type="spellStart"/>
      <w:r>
        <w:rPr>
          <w:i/>
        </w:rPr>
        <w:t>Prothonotary</w:t>
      </w:r>
      <w:proofErr w:type="spellEnd"/>
      <w:r>
        <w:rPr>
          <w:i/>
        </w:rPr>
        <w:t xml:space="preserve"> of Supreme Court NSW</w:t>
      </w:r>
      <w:r w:rsidR="0049355E">
        <w:rPr>
          <w:i/>
        </w:rPr>
        <w:t xml:space="preserve"> </w:t>
      </w:r>
      <w:r w:rsidR="0049355E">
        <w:t>[HCA]</w:t>
      </w:r>
    </w:p>
    <w:p w14:paraId="5C6C2EBE" w14:textId="021CFFA7" w:rsidR="0060725B" w:rsidRDefault="00AB7BA1" w:rsidP="000D49ED">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b/>
        </w:rPr>
      </w:pPr>
      <w:r>
        <w:t>Barrister was convicted of motor manslaughter and it was alleged that the barrister was under the influence of alcohol which the barrister denied.</w:t>
      </w:r>
      <w:r w:rsidR="00B80FE3">
        <w:t xml:space="preserve"> </w:t>
      </w:r>
      <w:r w:rsidR="00313AA9">
        <w:t>Barrister was subsequently disbarred and struck off the roll. Barrister appealed to the disbarment.</w:t>
      </w:r>
    </w:p>
    <w:p w14:paraId="13CF02FC" w14:textId="1B620116" w:rsidR="00B80FE3" w:rsidRPr="00B80FE3" w:rsidRDefault="00B80FE3" w:rsidP="000D49ED">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rPr>
          <w:b/>
        </w:rPr>
        <w:t>Held:</w:t>
      </w:r>
      <w:r>
        <w:t xml:space="preserve"> Offence was not premeditated and </w:t>
      </w:r>
      <w:r w:rsidR="00313AA9">
        <w:t xml:space="preserve">there was no evidence to suggest that it struck at the core the </w:t>
      </w:r>
      <w:proofErr w:type="gramStart"/>
      <w:r w:rsidR="00313AA9">
        <w:t>barristers</w:t>
      </w:r>
      <w:proofErr w:type="gramEnd"/>
      <w:r w:rsidR="00313AA9">
        <w:t xml:space="preserve"> character. </w:t>
      </w:r>
      <w:r w:rsidR="0088211A">
        <w:t>It was not a reason towards removing the barrister right to remain in the profession once the sentence provided was served.</w:t>
      </w:r>
    </w:p>
    <w:p w14:paraId="3D4A24BC" w14:textId="77777777" w:rsidR="0060725B" w:rsidRDefault="0060725B" w:rsidP="0060725B">
      <w:pPr>
        <w:pStyle w:val="NoSpacing"/>
      </w:pPr>
    </w:p>
    <w:p w14:paraId="4A4C0A14" w14:textId="77777777" w:rsidR="00835D05" w:rsidRDefault="00835D05" w:rsidP="0060725B">
      <w:pPr>
        <w:pStyle w:val="NoSpacing"/>
      </w:pPr>
    </w:p>
    <w:p w14:paraId="622B73FC" w14:textId="77777777" w:rsidR="00835D05" w:rsidRDefault="00835D05" w:rsidP="0060725B">
      <w:pPr>
        <w:pStyle w:val="NoSpacing"/>
      </w:pPr>
    </w:p>
    <w:p w14:paraId="380D78C4" w14:textId="77777777" w:rsidR="00835D05" w:rsidRDefault="00835D05" w:rsidP="0060725B">
      <w:pPr>
        <w:pStyle w:val="NoSpacing"/>
      </w:pPr>
    </w:p>
    <w:p w14:paraId="77DED875" w14:textId="77777777" w:rsidR="00835D05" w:rsidRDefault="00835D05" w:rsidP="0060725B">
      <w:pPr>
        <w:pStyle w:val="NoSpacing"/>
      </w:pPr>
    </w:p>
    <w:p w14:paraId="3B22F7DE" w14:textId="77777777" w:rsidR="00835D05" w:rsidRDefault="00835D05" w:rsidP="0060725B">
      <w:pPr>
        <w:pStyle w:val="NoSpacing"/>
      </w:pPr>
    </w:p>
    <w:p w14:paraId="478BC0C3" w14:textId="77777777" w:rsidR="00835D05" w:rsidRDefault="00835D05" w:rsidP="0060725B">
      <w:pPr>
        <w:pStyle w:val="NoSpacing"/>
      </w:pPr>
    </w:p>
    <w:p w14:paraId="576ECCC2" w14:textId="77777777" w:rsidR="00835D05" w:rsidRDefault="00835D05" w:rsidP="0060725B">
      <w:pPr>
        <w:pStyle w:val="NoSpacing"/>
      </w:pPr>
    </w:p>
    <w:p w14:paraId="607027D9" w14:textId="45B77646" w:rsidR="0060725B" w:rsidRDefault="00BE1D92" w:rsidP="0069421D">
      <w:pPr>
        <w:pStyle w:val="NoSpacing"/>
        <w:numPr>
          <w:ilvl w:val="0"/>
          <w:numId w:val="94"/>
        </w:numPr>
      </w:pPr>
      <w:r>
        <w:rPr>
          <w:b/>
          <w:i/>
        </w:rPr>
        <w:lastRenderedPageBreak/>
        <w:t xml:space="preserve">Sexual Offences </w:t>
      </w:r>
      <w:r w:rsidR="00D05BD9">
        <w:rPr>
          <w:b/>
        </w:rPr>
        <w:t xml:space="preserve">– </w:t>
      </w:r>
      <w:r w:rsidR="00AE00E1" w:rsidRPr="004D4C23">
        <w:t>Only sex offences which carry criminal convictions are reviewed by the disciplinary tribunal.</w:t>
      </w:r>
    </w:p>
    <w:p w14:paraId="037D6DAA" w14:textId="286BA02E" w:rsidR="00741AF9" w:rsidRDefault="00741AF9" w:rsidP="0069421D">
      <w:pPr>
        <w:pStyle w:val="NoSpacing"/>
        <w:numPr>
          <w:ilvl w:val="1"/>
          <w:numId w:val="94"/>
        </w:numPr>
      </w:pPr>
      <w:r w:rsidRPr="003F3D57">
        <w:rPr>
          <w:i/>
        </w:rPr>
        <w:t>Child Sex Offences</w:t>
      </w:r>
      <w:r>
        <w:rPr>
          <w:b/>
          <w:i/>
        </w:rPr>
        <w:t xml:space="preserve"> –</w:t>
      </w:r>
      <w:r>
        <w:t xml:space="preserve"> </w:t>
      </w:r>
      <w:r w:rsidR="00C36213">
        <w:t>The disciplinary tribunal seeks to strike off criminal sex offences due to the affect that it has on a lawyer to continue to act with public trust and confidence and the effect the continuance has on the profession.</w:t>
      </w:r>
    </w:p>
    <w:p w14:paraId="4D51E95D" w14:textId="5A726B67" w:rsidR="00C36213" w:rsidRPr="003F3D57" w:rsidRDefault="00C36213" w:rsidP="0069421D">
      <w:pPr>
        <w:pStyle w:val="NoSpacing"/>
        <w:numPr>
          <w:ilvl w:val="2"/>
          <w:numId w:val="94"/>
        </w:numPr>
      </w:pPr>
      <w:r w:rsidRPr="003F3D57">
        <w:rPr>
          <w:i/>
        </w:rPr>
        <w:t xml:space="preserve">Law Society of SA v </w:t>
      </w:r>
      <w:proofErr w:type="spellStart"/>
      <w:r w:rsidRPr="003F3D57">
        <w:rPr>
          <w:i/>
        </w:rPr>
        <w:t>Rodda</w:t>
      </w:r>
      <w:proofErr w:type="spellEnd"/>
    </w:p>
    <w:p w14:paraId="78131CCF" w14:textId="53A003C9" w:rsidR="003F3D57" w:rsidRDefault="004144E4" w:rsidP="0069421D">
      <w:pPr>
        <w:pStyle w:val="NoSpacing"/>
        <w:numPr>
          <w:ilvl w:val="3"/>
          <w:numId w:val="94"/>
        </w:numPr>
      </w:pPr>
      <w:r>
        <w:rPr>
          <w:i/>
        </w:rPr>
        <w:t xml:space="preserve">Loss of trust in Profession </w:t>
      </w:r>
      <w:r>
        <w:t xml:space="preserve">– Court also held fears for the ability of other lawyers in the profession to place trust and confidence in the </w:t>
      </w:r>
      <w:proofErr w:type="gramStart"/>
      <w:r>
        <w:t>lawyers</w:t>
      </w:r>
      <w:proofErr w:type="gramEnd"/>
      <w:r>
        <w:t xml:space="preserve"> ability to continue to practice.</w:t>
      </w:r>
    </w:p>
    <w:p w14:paraId="1C067A83" w14:textId="77777777" w:rsidR="00970F2D" w:rsidRPr="00970F2D" w:rsidRDefault="00970F2D" w:rsidP="00970F2D">
      <w:pPr>
        <w:pStyle w:val="NoSpacing"/>
        <w:ind w:left="1440"/>
      </w:pPr>
    </w:p>
    <w:p w14:paraId="3CBE08D1" w14:textId="569B2EF7" w:rsidR="004144E4" w:rsidRDefault="00970F2D" w:rsidP="0069421D">
      <w:pPr>
        <w:pStyle w:val="NoSpacing"/>
        <w:numPr>
          <w:ilvl w:val="1"/>
          <w:numId w:val="94"/>
        </w:numPr>
      </w:pPr>
      <w:r>
        <w:rPr>
          <w:i/>
        </w:rPr>
        <w:t xml:space="preserve">Repeat Offences – </w:t>
      </w:r>
      <w:r>
        <w:t xml:space="preserve">A lawyer who has repeated sex offences will most likely be struck off </w:t>
      </w:r>
      <w:r w:rsidR="00F210B4">
        <w:t>because it displays their lack of respect of the law, integrity, trustworthiness and common decency.</w:t>
      </w:r>
    </w:p>
    <w:p w14:paraId="788A0FA7" w14:textId="31AC7E1B" w:rsidR="00F210B4" w:rsidRPr="004A301A" w:rsidRDefault="008C649D" w:rsidP="0069421D">
      <w:pPr>
        <w:pStyle w:val="NoSpacing"/>
        <w:numPr>
          <w:ilvl w:val="2"/>
          <w:numId w:val="94"/>
        </w:numPr>
      </w:pPr>
      <w:r>
        <w:rPr>
          <w:i/>
        </w:rPr>
        <w:t xml:space="preserve">Law Society of SA v </w:t>
      </w:r>
      <w:proofErr w:type="spellStart"/>
      <w:r>
        <w:rPr>
          <w:i/>
        </w:rPr>
        <w:t>Liddy</w:t>
      </w:r>
      <w:proofErr w:type="spellEnd"/>
    </w:p>
    <w:p w14:paraId="52F4F607" w14:textId="77777777" w:rsidR="004A301A" w:rsidRPr="004A301A" w:rsidRDefault="004A301A" w:rsidP="004A301A">
      <w:pPr>
        <w:pStyle w:val="NoSpacing"/>
        <w:ind w:left="2160"/>
      </w:pPr>
    </w:p>
    <w:p w14:paraId="0D5A0EC3" w14:textId="6933AC08" w:rsidR="004A301A" w:rsidRPr="00835D05" w:rsidRDefault="004A301A" w:rsidP="0069421D">
      <w:pPr>
        <w:pStyle w:val="NoSpacing"/>
        <w:numPr>
          <w:ilvl w:val="1"/>
          <w:numId w:val="94"/>
        </w:numPr>
      </w:pPr>
      <w:r>
        <w:rPr>
          <w:i/>
        </w:rPr>
        <w:t xml:space="preserve">Probability of reoffending, circumstances relevant </w:t>
      </w:r>
      <w:r>
        <w:t xml:space="preserve">– If the tribunal believes the offences was an isolated incident the lawyer won’t reoffend then they might not strike off – </w:t>
      </w:r>
      <w:r w:rsidR="00A45B48">
        <w:rPr>
          <w:i/>
        </w:rPr>
        <w:t>A Solicitor v Law Society of NSW</w:t>
      </w:r>
    </w:p>
    <w:p w14:paraId="7332F2EF" w14:textId="77777777" w:rsidR="00835D05" w:rsidRPr="00BF328D" w:rsidRDefault="00835D05" w:rsidP="00835D05">
      <w:pPr>
        <w:pStyle w:val="NoSpacing"/>
        <w:ind w:left="1440"/>
      </w:pPr>
    </w:p>
    <w:p w14:paraId="14EC816F" w14:textId="4797B44D" w:rsidR="00BF328D" w:rsidRDefault="00287810" w:rsidP="0069421D">
      <w:pPr>
        <w:pStyle w:val="NoSpacing"/>
        <w:numPr>
          <w:ilvl w:val="0"/>
          <w:numId w:val="94"/>
        </w:numPr>
      </w:pPr>
      <w:r>
        <w:rPr>
          <w:b/>
          <w:i/>
        </w:rPr>
        <w:t xml:space="preserve">Tax Indiscretions </w:t>
      </w:r>
      <w:r>
        <w:t xml:space="preserve">– </w:t>
      </w:r>
      <w:r w:rsidR="00D378C3" w:rsidRPr="00C00588">
        <w:rPr>
          <w:i/>
        </w:rPr>
        <w:t>s4.4.4(c)(ii) LPA</w:t>
      </w:r>
      <w:r w:rsidR="00D378C3">
        <w:t xml:space="preserve"> – </w:t>
      </w:r>
      <w:r w:rsidR="00C83FC4">
        <w:t>Tax indiscretions for personal gain are of</w:t>
      </w:r>
    </w:p>
    <w:p w14:paraId="43A6788E" w14:textId="659C5130" w:rsidR="00C83FC4" w:rsidRPr="001A07E0" w:rsidRDefault="00C83FC4" w:rsidP="00C83FC4">
      <w:pPr>
        <w:pStyle w:val="NoSpacing"/>
        <w:ind w:left="1440"/>
        <w:rPr>
          <w:i/>
        </w:rPr>
      </w:pPr>
      <w:r w:rsidRPr="001A07E0">
        <w:rPr>
          <w:i/>
        </w:rPr>
        <w:t>‘</w:t>
      </w:r>
      <w:proofErr w:type="gramStart"/>
      <w:r w:rsidRPr="001A07E0">
        <w:rPr>
          <w:i/>
        </w:rPr>
        <w:t>no</w:t>
      </w:r>
      <w:proofErr w:type="gramEnd"/>
      <w:r w:rsidRPr="001A07E0">
        <w:rPr>
          <w:i/>
        </w:rPr>
        <w:t xml:space="preserve"> lesser seriousness than defrauding a client, a member of the public or a corporation. The demonstrated unfitness to be trusted in a serious matter is identical’</w:t>
      </w:r>
      <w:r w:rsidRPr="001A07E0">
        <w:rPr>
          <w:i/>
        </w:rPr>
        <w:tab/>
      </w:r>
    </w:p>
    <w:p w14:paraId="2BBE9F05" w14:textId="69224089" w:rsidR="00C83FC4" w:rsidRPr="0070583F" w:rsidRDefault="00652DA9" w:rsidP="0069421D">
      <w:pPr>
        <w:pStyle w:val="NoSpacing"/>
        <w:numPr>
          <w:ilvl w:val="2"/>
          <w:numId w:val="94"/>
        </w:numPr>
      </w:pPr>
      <w:r>
        <w:rPr>
          <w:i/>
        </w:rPr>
        <w:t xml:space="preserve">NSW Bar v </w:t>
      </w:r>
      <w:proofErr w:type="spellStart"/>
      <w:r>
        <w:rPr>
          <w:i/>
        </w:rPr>
        <w:t>Hamman</w:t>
      </w:r>
      <w:proofErr w:type="spellEnd"/>
    </w:p>
    <w:p w14:paraId="3F1B9580" w14:textId="77777777" w:rsidR="0070583F" w:rsidRDefault="0070583F" w:rsidP="0070583F">
      <w:pPr>
        <w:pStyle w:val="NoSpacing"/>
        <w:ind w:left="2160"/>
      </w:pPr>
    </w:p>
    <w:p w14:paraId="14E32EB1" w14:textId="75B854E7" w:rsidR="00C83FC4" w:rsidRDefault="0070583F" w:rsidP="0069421D">
      <w:pPr>
        <w:pStyle w:val="NoSpacing"/>
        <w:numPr>
          <w:ilvl w:val="0"/>
          <w:numId w:val="95"/>
        </w:numPr>
      </w:pPr>
      <w:r>
        <w:rPr>
          <w:i/>
        </w:rPr>
        <w:t xml:space="preserve">Lawyers cannot flout law </w:t>
      </w:r>
      <w:r>
        <w:t>– The serious is upheld with tax evasion because of the public perception that lawyers cannot flout the revenue laws in order to increase their personal revenues.</w:t>
      </w:r>
    </w:p>
    <w:p w14:paraId="3FF303FB" w14:textId="68EC9823" w:rsidR="0070583F" w:rsidRPr="0070583F" w:rsidRDefault="0070583F" w:rsidP="0069421D">
      <w:pPr>
        <w:pStyle w:val="NoSpacing"/>
        <w:numPr>
          <w:ilvl w:val="1"/>
          <w:numId w:val="95"/>
        </w:numPr>
      </w:pPr>
      <w:r>
        <w:rPr>
          <w:i/>
        </w:rPr>
        <w:t xml:space="preserve">NSW bar v </w:t>
      </w:r>
      <w:proofErr w:type="spellStart"/>
      <w:r>
        <w:rPr>
          <w:i/>
        </w:rPr>
        <w:t>Somosi</w:t>
      </w:r>
      <w:proofErr w:type="spellEnd"/>
    </w:p>
    <w:p w14:paraId="74A920ED" w14:textId="77777777" w:rsidR="0070583F" w:rsidRDefault="0070583F" w:rsidP="0070583F">
      <w:pPr>
        <w:pStyle w:val="NoSpacing"/>
        <w:ind w:left="2160"/>
      </w:pPr>
    </w:p>
    <w:p w14:paraId="57955C64" w14:textId="4A296660" w:rsidR="0070583F" w:rsidRDefault="00906D14" w:rsidP="0069421D">
      <w:pPr>
        <w:pStyle w:val="NoSpacing"/>
        <w:numPr>
          <w:ilvl w:val="0"/>
          <w:numId w:val="94"/>
        </w:numPr>
      </w:pPr>
      <w:r>
        <w:rPr>
          <w:b/>
          <w:i/>
        </w:rPr>
        <w:t xml:space="preserve">Sexual Relations with Clients </w:t>
      </w:r>
      <w:r>
        <w:rPr>
          <w:b/>
        </w:rPr>
        <w:t xml:space="preserve">– </w:t>
      </w:r>
      <w:r>
        <w:t>Less strict standard applied than to that of doctors.</w:t>
      </w:r>
    </w:p>
    <w:p w14:paraId="7D50BC30" w14:textId="77777777" w:rsidR="00906D14" w:rsidRDefault="00906D14" w:rsidP="0069421D">
      <w:pPr>
        <w:pStyle w:val="NoSpacing"/>
        <w:numPr>
          <w:ilvl w:val="1"/>
          <w:numId w:val="94"/>
        </w:numPr>
      </w:pPr>
      <w:r>
        <w:rPr>
          <w:i/>
        </w:rPr>
        <w:t xml:space="preserve">Feel short of misconduct – </w:t>
      </w:r>
      <w:r w:rsidRPr="00906D14">
        <w:t>The High Court has held that sexual relations with a client prior to the completion of matrimonial proceedings, although reprehensible, fell short of professional misconduct showing unfit</w:t>
      </w:r>
      <w:r>
        <w:t xml:space="preserve">ness to practise </w:t>
      </w:r>
    </w:p>
    <w:p w14:paraId="2F98B35B" w14:textId="77777777" w:rsidR="000F1D5D" w:rsidRDefault="00906D14" w:rsidP="0069421D">
      <w:pPr>
        <w:pStyle w:val="NoSpacing"/>
        <w:numPr>
          <w:ilvl w:val="2"/>
          <w:numId w:val="94"/>
        </w:numPr>
      </w:pPr>
      <w:r w:rsidRPr="00906D14">
        <w:rPr>
          <w:i/>
        </w:rPr>
        <w:t>QLD Bar v Lamb</w:t>
      </w:r>
      <w:r>
        <w:rPr>
          <w:i/>
        </w:rPr>
        <w:t xml:space="preserve"> </w:t>
      </w:r>
      <w:r w:rsidRPr="00906D14">
        <w:rPr>
          <w:i/>
        </w:rPr>
        <w:t>[1972]</w:t>
      </w:r>
    </w:p>
    <w:p w14:paraId="6A57C7E7" w14:textId="77777777" w:rsidR="000F1D5D" w:rsidRDefault="000F1D5D" w:rsidP="000F1D5D">
      <w:pPr>
        <w:pStyle w:val="NoSpacing"/>
        <w:ind w:left="1440"/>
      </w:pPr>
    </w:p>
    <w:p w14:paraId="1CD2898F" w14:textId="77777777" w:rsidR="00516D74" w:rsidRDefault="000F1D5D" w:rsidP="0069421D">
      <w:pPr>
        <w:pStyle w:val="NoSpacing"/>
        <w:numPr>
          <w:ilvl w:val="1"/>
          <w:numId w:val="94"/>
        </w:numPr>
      </w:pPr>
      <w:r>
        <w:rPr>
          <w:i/>
        </w:rPr>
        <w:t xml:space="preserve">Practitioner is at Risk – </w:t>
      </w:r>
      <w:r w:rsidR="00DD51DE" w:rsidRPr="00DD51DE">
        <w:t>A</w:t>
      </w:r>
      <w:r w:rsidR="00906D14" w:rsidRPr="00906D14">
        <w:t xml:space="preserve"> sexual relationship with a client could potentially be the subject of disciplinary action under the LPA as: </w:t>
      </w:r>
    </w:p>
    <w:p w14:paraId="13E7DCEF" w14:textId="77777777" w:rsidR="000207D8" w:rsidRPr="000207D8" w:rsidRDefault="000207D8" w:rsidP="000207D8">
      <w:pPr>
        <w:pStyle w:val="NoSpacing"/>
        <w:ind w:left="2160"/>
      </w:pPr>
    </w:p>
    <w:p w14:paraId="20BEF5E8" w14:textId="77777777" w:rsidR="00516D74" w:rsidRDefault="00906D14" w:rsidP="0069421D">
      <w:pPr>
        <w:pStyle w:val="NoSpacing"/>
        <w:numPr>
          <w:ilvl w:val="2"/>
          <w:numId w:val="94"/>
        </w:numPr>
      </w:pPr>
      <w:r w:rsidRPr="000207D8">
        <w:rPr>
          <w:i/>
        </w:rPr>
        <w:t>involving a conflict of interest</w:t>
      </w:r>
      <w:r w:rsidRPr="00906D14">
        <w:t xml:space="preserve"> (independent professional judgment being affected by personal interest)</w:t>
      </w:r>
    </w:p>
    <w:p w14:paraId="0CFE53F7" w14:textId="77777777" w:rsidR="000207D8" w:rsidRPr="000207D8" w:rsidRDefault="000207D8" w:rsidP="000207D8">
      <w:pPr>
        <w:pStyle w:val="NoSpacing"/>
        <w:ind w:left="2160"/>
      </w:pPr>
    </w:p>
    <w:p w14:paraId="4C570EAF" w14:textId="082579D1" w:rsidR="00906D14" w:rsidRPr="000207D8" w:rsidRDefault="00906D14" w:rsidP="0069421D">
      <w:pPr>
        <w:pStyle w:val="NoSpacing"/>
        <w:numPr>
          <w:ilvl w:val="2"/>
          <w:numId w:val="94"/>
        </w:numPr>
      </w:pPr>
      <w:r w:rsidRPr="000207D8">
        <w:rPr>
          <w:i/>
        </w:rPr>
        <w:t>an abuse of a position of trust</w:t>
      </w:r>
    </w:p>
    <w:p w14:paraId="5137AECC" w14:textId="77777777" w:rsidR="0060725B" w:rsidRPr="0060725B" w:rsidRDefault="0060725B" w:rsidP="0060725B">
      <w:pPr>
        <w:pStyle w:val="NoSpacing"/>
      </w:pPr>
    </w:p>
    <w:p w14:paraId="6039AF49" w14:textId="77777777" w:rsidR="0060725B" w:rsidRPr="0060725B" w:rsidRDefault="0060725B" w:rsidP="0060725B">
      <w:pPr>
        <w:pStyle w:val="NoSpacing"/>
      </w:pPr>
    </w:p>
    <w:p w14:paraId="200661EE" w14:textId="77777777" w:rsidR="0060725B" w:rsidRPr="0060725B" w:rsidRDefault="0060725B" w:rsidP="0060725B">
      <w:pPr>
        <w:pStyle w:val="NoSpacing"/>
      </w:pPr>
    </w:p>
    <w:p w14:paraId="2FE7BC35" w14:textId="77777777" w:rsidR="0060725B" w:rsidRPr="0060725B" w:rsidRDefault="0060725B" w:rsidP="0060725B">
      <w:pPr>
        <w:pStyle w:val="NoSpacing"/>
      </w:pPr>
    </w:p>
    <w:p w14:paraId="682C0170" w14:textId="77777777" w:rsidR="0060725B" w:rsidRPr="0060725B" w:rsidRDefault="0060725B" w:rsidP="0060725B">
      <w:pPr>
        <w:pStyle w:val="NoSpacing"/>
      </w:pPr>
    </w:p>
    <w:p w14:paraId="7B400AC3" w14:textId="77777777" w:rsidR="0060725B" w:rsidRPr="0060725B" w:rsidRDefault="0060725B" w:rsidP="0060725B">
      <w:pPr>
        <w:pStyle w:val="NoSpacing"/>
      </w:pPr>
    </w:p>
    <w:p w14:paraId="62E9DC50" w14:textId="77777777" w:rsidR="0060725B" w:rsidRPr="0060725B" w:rsidRDefault="0060725B" w:rsidP="0060725B">
      <w:pPr>
        <w:pStyle w:val="NoSpacing"/>
      </w:pPr>
    </w:p>
    <w:p w14:paraId="40B5E478" w14:textId="77777777" w:rsidR="0060725B" w:rsidRPr="0060725B" w:rsidRDefault="0060725B" w:rsidP="0060725B">
      <w:pPr>
        <w:pStyle w:val="NoSpacing"/>
      </w:pPr>
    </w:p>
    <w:p w14:paraId="4A78855A" w14:textId="1BADB273" w:rsidR="00470CAA" w:rsidRPr="00DD1F81" w:rsidRDefault="00522061" w:rsidP="0079364B">
      <w:pPr>
        <w:pStyle w:val="NoSpacing"/>
        <w:rPr>
          <w:rFonts w:cs="Times New Roman"/>
          <w:b/>
          <w:sz w:val="34"/>
          <w:szCs w:val="34"/>
          <w:u w:val="single"/>
        </w:rPr>
      </w:pPr>
      <w:r w:rsidRPr="00DD1F81">
        <w:rPr>
          <w:rFonts w:cs="Times New Roman"/>
          <w:b/>
          <w:sz w:val="34"/>
          <w:szCs w:val="34"/>
          <w:u w:val="single"/>
        </w:rPr>
        <w:lastRenderedPageBreak/>
        <w:t xml:space="preserve">Retainer, </w:t>
      </w:r>
      <w:r w:rsidR="004957A0" w:rsidRPr="00DD1F81">
        <w:rPr>
          <w:rFonts w:cs="Times New Roman"/>
          <w:b/>
          <w:sz w:val="34"/>
          <w:szCs w:val="34"/>
          <w:u w:val="single"/>
        </w:rPr>
        <w:t xml:space="preserve">Authority, </w:t>
      </w:r>
      <w:r w:rsidRPr="00DD1F81">
        <w:rPr>
          <w:rFonts w:cs="Times New Roman"/>
          <w:b/>
          <w:sz w:val="34"/>
          <w:szCs w:val="34"/>
          <w:u w:val="single"/>
        </w:rPr>
        <w:t>Cab</w:t>
      </w:r>
      <w:r w:rsidR="00F97190">
        <w:rPr>
          <w:rFonts w:cs="Times New Roman"/>
          <w:b/>
          <w:sz w:val="34"/>
          <w:szCs w:val="34"/>
          <w:u w:val="single"/>
        </w:rPr>
        <w:t>–</w:t>
      </w:r>
      <w:r w:rsidRPr="00DD1F81">
        <w:rPr>
          <w:rFonts w:cs="Times New Roman"/>
          <w:b/>
          <w:sz w:val="34"/>
          <w:szCs w:val="34"/>
          <w:u w:val="single"/>
        </w:rPr>
        <w:t>Rank &amp; Termination</w:t>
      </w:r>
      <w:r w:rsidR="00992053" w:rsidRPr="00DD1F81">
        <w:rPr>
          <w:rFonts w:cs="Times New Roman"/>
          <w:b/>
          <w:sz w:val="34"/>
          <w:szCs w:val="34"/>
          <w:u w:val="single"/>
        </w:rPr>
        <w:t xml:space="preserve"> of Retainer</w:t>
      </w:r>
    </w:p>
    <w:p w14:paraId="53E7C877" w14:textId="77777777" w:rsidR="00692014" w:rsidRDefault="00692014" w:rsidP="0079364B">
      <w:pPr>
        <w:pStyle w:val="NoSpacing"/>
        <w:rPr>
          <w:rFonts w:cs="Times New Roman"/>
          <w:szCs w:val="24"/>
        </w:rPr>
      </w:pPr>
    </w:p>
    <w:p w14:paraId="67321D5C" w14:textId="77777777" w:rsidR="00234250" w:rsidRPr="00234250" w:rsidRDefault="00234250" w:rsidP="0079364B">
      <w:pPr>
        <w:pStyle w:val="NoSpacing"/>
        <w:rPr>
          <w:rFonts w:cs="Times New Roman"/>
          <w:b/>
          <w:szCs w:val="24"/>
          <w:u w:val="single"/>
        </w:rPr>
      </w:pPr>
      <w:r w:rsidRPr="00234250">
        <w:rPr>
          <w:rFonts w:cs="Times New Roman"/>
          <w:b/>
          <w:szCs w:val="24"/>
          <w:u w:val="single"/>
        </w:rPr>
        <w:t>Right to Legal Representation</w:t>
      </w:r>
    </w:p>
    <w:p w14:paraId="127843D7" w14:textId="77777777" w:rsidR="00234250" w:rsidRDefault="00234250" w:rsidP="0079364B">
      <w:pPr>
        <w:pStyle w:val="NoSpacing"/>
        <w:rPr>
          <w:rFonts w:cs="Times New Roman"/>
          <w:szCs w:val="24"/>
        </w:rPr>
      </w:pPr>
    </w:p>
    <w:p w14:paraId="11EECA17" w14:textId="72BD53D4" w:rsidR="00234250" w:rsidRPr="00BB587B" w:rsidRDefault="00B1136E" w:rsidP="00B21502">
      <w:pPr>
        <w:numPr>
          <w:ilvl w:val="0"/>
          <w:numId w:val="32"/>
        </w:numPr>
        <w:tabs>
          <w:tab w:val="left" w:pos="360"/>
        </w:tabs>
        <w:rPr>
          <w:lang w:val="en-AU"/>
        </w:rPr>
      </w:pPr>
      <w:r w:rsidRPr="003D6063">
        <w:rPr>
          <w:b/>
          <w:i/>
          <w:lang w:val="en-AU"/>
        </w:rPr>
        <w:t>Right</w:t>
      </w:r>
      <w:r>
        <w:rPr>
          <w:i/>
          <w:lang w:val="en-AU"/>
        </w:rPr>
        <w:t xml:space="preserve"> </w:t>
      </w:r>
      <w:r w:rsidRPr="003D6063">
        <w:rPr>
          <w:b/>
          <w:i/>
          <w:lang w:val="en-AU"/>
        </w:rPr>
        <w:t>to a Fair Trial</w:t>
      </w:r>
      <w:r>
        <w:rPr>
          <w:i/>
          <w:lang w:val="en-AU"/>
        </w:rPr>
        <w:t xml:space="preserve"> – </w:t>
      </w:r>
      <w:r w:rsidR="00CB49A9">
        <w:rPr>
          <w:lang w:val="en-AU"/>
        </w:rPr>
        <w:t xml:space="preserve">High Court </w:t>
      </w:r>
      <w:r w:rsidR="00CB5E82">
        <w:rPr>
          <w:lang w:val="en-AU"/>
        </w:rPr>
        <w:t xml:space="preserve">in </w:t>
      </w:r>
      <w:r w:rsidR="00234250" w:rsidRPr="00BB587B">
        <w:rPr>
          <w:b/>
          <w:i/>
          <w:iCs/>
          <w:lang w:val="en-AU"/>
        </w:rPr>
        <w:t>Dietrich v R</w:t>
      </w:r>
      <w:r w:rsidR="00234250" w:rsidRPr="00BB587B">
        <w:rPr>
          <w:i/>
          <w:iCs/>
          <w:lang w:val="en-AU"/>
        </w:rPr>
        <w:t xml:space="preserve"> </w:t>
      </w:r>
      <w:r w:rsidR="00234250" w:rsidRPr="00BB587B">
        <w:rPr>
          <w:lang w:val="en-AU"/>
        </w:rPr>
        <w:t xml:space="preserve">held that Australian law recognises </w:t>
      </w:r>
      <w:r w:rsidR="00234250" w:rsidRPr="00BB587B">
        <w:rPr>
          <w:u w:val="single"/>
          <w:lang w:val="en-AU"/>
        </w:rPr>
        <w:t>a right to a fair trial</w:t>
      </w:r>
      <w:r w:rsidR="00234250" w:rsidRPr="00BB587B">
        <w:rPr>
          <w:lang w:val="en-AU"/>
        </w:rPr>
        <w:t xml:space="preserve"> and depending on all the circumstances of the particular case, legal representation may mean an accused is unable to receive a fair trial. </w:t>
      </w:r>
    </w:p>
    <w:p w14:paraId="617B45DD" w14:textId="77777777" w:rsidR="00941AF2" w:rsidRDefault="00941AF2" w:rsidP="00941AF2">
      <w:pPr>
        <w:tabs>
          <w:tab w:val="left" w:pos="360"/>
        </w:tabs>
        <w:ind w:left="720"/>
        <w:rPr>
          <w:lang w:val="en-AU"/>
        </w:rPr>
      </w:pPr>
    </w:p>
    <w:p w14:paraId="10CB9C4A" w14:textId="52CD7549" w:rsidR="00234250" w:rsidRPr="00BB587B" w:rsidRDefault="00941AF2" w:rsidP="00B21502">
      <w:pPr>
        <w:numPr>
          <w:ilvl w:val="1"/>
          <w:numId w:val="32"/>
        </w:numPr>
        <w:tabs>
          <w:tab w:val="left" w:pos="360"/>
        </w:tabs>
        <w:rPr>
          <w:lang w:val="en-AU"/>
        </w:rPr>
      </w:pPr>
      <w:r>
        <w:rPr>
          <w:i/>
          <w:lang w:val="en-AU"/>
        </w:rPr>
        <w:t xml:space="preserve">Serious Trial must have Legal Representation – </w:t>
      </w:r>
      <w:r w:rsidR="00234250" w:rsidRPr="00BB587B">
        <w:rPr>
          <w:lang w:val="en-AU"/>
        </w:rPr>
        <w:t>Accordingly, other than in exceptional circumstances, a serious criminal trial should not proceed without representation.</w:t>
      </w:r>
    </w:p>
    <w:p w14:paraId="51342239" w14:textId="77777777" w:rsidR="00941AF2" w:rsidRDefault="00941AF2" w:rsidP="00941AF2">
      <w:pPr>
        <w:tabs>
          <w:tab w:val="left" w:pos="360"/>
        </w:tabs>
        <w:ind w:left="720"/>
        <w:rPr>
          <w:lang w:val="en-AU"/>
        </w:rPr>
      </w:pPr>
    </w:p>
    <w:p w14:paraId="6E3784BE" w14:textId="6178420A" w:rsidR="00234250" w:rsidRDefault="003467F7" w:rsidP="00B21502">
      <w:pPr>
        <w:numPr>
          <w:ilvl w:val="1"/>
          <w:numId w:val="32"/>
        </w:numPr>
        <w:tabs>
          <w:tab w:val="left" w:pos="360"/>
        </w:tabs>
        <w:rPr>
          <w:lang w:val="en-AU"/>
        </w:rPr>
      </w:pPr>
      <w:r>
        <w:rPr>
          <w:i/>
          <w:lang w:val="en-AU"/>
        </w:rPr>
        <w:t xml:space="preserve">Adjournment until Representation is Provided – </w:t>
      </w:r>
      <w:r w:rsidR="00234250" w:rsidRPr="00BB587B">
        <w:rPr>
          <w:lang w:val="en-AU"/>
        </w:rPr>
        <w:t xml:space="preserve">In all other cases of serious crimes, the remedy of </w:t>
      </w:r>
      <w:r w:rsidR="00234250" w:rsidRPr="00BB587B">
        <w:rPr>
          <w:u w:val="single"/>
          <w:lang w:val="en-AU"/>
        </w:rPr>
        <w:t>adjournment</w:t>
      </w:r>
      <w:r w:rsidR="00234250" w:rsidRPr="00BB587B">
        <w:rPr>
          <w:lang w:val="en-AU"/>
        </w:rPr>
        <w:t xml:space="preserve"> should be granted so that representation can be obtained.  </w:t>
      </w:r>
    </w:p>
    <w:p w14:paraId="731803F2" w14:textId="77777777" w:rsidR="00E53020" w:rsidRDefault="00E53020" w:rsidP="00E53020">
      <w:pPr>
        <w:pStyle w:val="ListParagraph"/>
        <w:rPr>
          <w:lang w:val="en-AU"/>
        </w:rPr>
      </w:pPr>
    </w:p>
    <w:p w14:paraId="62EC6043" w14:textId="38EC3E5E" w:rsidR="00234250" w:rsidRPr="0035304C" w:rsidRDefault="00E53020" w:rsidP="00B21502">
      <w:pPr>
        <w:numPr>
          <w:ilvl w:val="1"/>
          <w:numId w:val="32"/>
        </w:numPr>
        <w:tabs>
          <w:tab w:val="left" w:pos="360"/>
        </w:tabs>
        <w:rPr>
          <w:iCs/>
          <w:lang w:val="en-AU"/>
        </w:rPr>
      </w:pPr>
      <w:r w:rsidRPr="0035304C">
        <w:rPr>
          <w:i/>
          <w:lang w:val="en-AU"/>
        </w:rPr>
        <w:t xml:space="preserve">Mistrial if not a fair trial – </w:t>
      </w:r>
      <w:r w:rsidR="00234250" w:rsidRPr="0035304C">
        <w:rPr>
          <w:iCs/>
          <w:lang w:val="en-AU"/>
        </w:rPr>
        <w:t>In</w:t>
      </w:r>
      <w:r w:rsidR="00234250" w:rsidRPr="0035304C">
        <w:rPr>
          <w:i/>
          <w:iCs/>
          <w:lang w:val="en-AU"/>
        </w:rPr>
        <w:t xml:space="preserve"> </w:t>
      </w:r>
      <w:r w:rsidR="00234250" w:rsidRPr="0035304C">
        <w:rPr>
          <w:b/>
          <w:i/>
          <w:iCs/>
          <w:lang w:val="en-AU"/>
        </w:rPr>
        <w:t xml:space="preserve">Dietrich </w:t>
      </w:r>
      <w:r w:rsidR="00234250" w:rsidRPr="0035304C">
        <w:rPr>
          <w:iCs/>
          <w:lang w:val="en-AU"/>
        </w:rPr>
        <w:t>the accused was denied counsel for a serious offence and thus a m</w:t>
      </w:r>
      <w:r w:rsidR="00837805">
        <w:rPr>
          <w:iCs/>
          <w:lang w:val="en-AU"/>
        </w:rPr>
        <w:t>iscarriage of justice occurred because</w:t>
      </w:r>
      <w:r w:rsidR="002245BC">
        <w:rPr>
          <w:iCs/>
          <w:lang w:val="en-AU"/>
        </w:rPr>
        <w:t xml:space="preserve"> he was convicted without</w:t>
      </w:r>
      <w:r w:rsidR="00234250" w:rsidRPr="0035304C">
        <w:rPr>
          <w:iCs/>
          <w:lang w:val="en-AU"/>
        </w:rPr>
        <w:t xml:space="preserve"> a trial. HC ordered a new trial.</w:t>
      </w:r>
    </w:p>
    <w:p w14:paraId="2E6B7F5B" w14:textId="77777777" w:rsidR="00E53020" w:rsidRDefault="00E53020" w:rsidP="00E53020">
      <w:pPr>
        <w:tabs>
          <w:tab w:val="left" w:pos="360"/>
        </w:tabs>
        <w:ind w:left="720"/>
        <w:rPr>
          <w:iCs/>
          <w:lang w:val="en-AU"/>
        </w:rPr>
      </w:pPr>
    </w:p>
    <w:p w14:paraId="28CA9254" w14:textId="2AB5246D" w:rsidR="00234250" w:rsidRPr="00BB587B" w:rsidRDefault="00234250" w:rsidP="00B21502">
      <w:pPr>
        <w:numPr>
          <w:ilvl w:val="0"/>
          <w:numId w:val="32"/>
        </w:numPr>
        <w:tabs>
          <w:tab w:val="left" w:pos="360"/>
        </w:tabs>
        <w:rPr>
          <w:iCs/>
          <w:lang w:val="en-AU"/>
        </w:rPr>
      </w:pPr>
      <w:r w:rsidRPr="00BB587B">
        <w:rPr>
          <w:lang w:val="en-AU"/>
        </w:rPr>
        <w:t xml:space="preserve">s360A </w:t>
      </w:r>
      <w:r w:rsidRPr="00BB587B">
        <w:rPr>
          <w:i/>
          <w:iCs/>
          <w:lang w:val="en-AU"/>
        </w:rPr>
        <w:t>Crimes Act</w:t>
      </w:r>
      <w:r w:rsidR="00B70A39">
        <w:rPr>
          <w:i/>
          <w:iCs/>
          <w:lang w:val="en-AU"/>
        </w:rPr>
        <w:t xml:space="preserve"> Vic</w:t>
      </w:r>
      <w:r w:rsidRPr="00BB587B">
        <w:rPr>
          <w:iCs/>
          <w:lang w:val="en-AU"/>
        </w:rPr>
        <w:t xml:space="preserve"> – overturned </w:t>
      </w:r>
      <w:r w:rsidRPr="00BB587B">
        <w:rPr>
          <w:b/>
          <w:i/>
          <w:iCs/>
          <w:lang w:val="en-AU"/>
        </w:rPr>
        <w:t>Dietrich</w:t>
      </w:r>
      <w:r w:rsidRPr="00BB587B">
        <w:rPr>
          <w:iCs/>
          <w:lang w:val="en-AU"/>
        </w:rPr>
        <w:t xml:space="preserve"> </w:t>
      </w:r>
    </w:p>
    <w:p w14:paraId="3600FED5" w14:textId="77777777" w:rsidR="008D5BEC" w:rsidRDefault="008D5BEC" w:rsidP="008D5BEC">
      <w:pPr>
        <w:pStyle w:val="ListParagraph"/>
        <w:tabs>
          <w:tab w:val="left" w:pos="1350"/>
        </w:tabs>
        <w:ind w:left="1440"/>
        <w:rPr>
          <w:b/>
        </w:rPr>
      </w:pPr>
    </w:p>
    <w:p w14:paraId="7E5C7AA7" w14:textId="77777777" w:rsidR="00234250" w:rsidRPr="00BB587B" w:rsidRDefault="00234250" w:rsidP="00B21502">
      <w:pPr>
        <w:pStyle w:val="ListParagraph"/>
        <w:numPr>
          <w:ilvl w:val="1"/>
          <w:numId w:val="32"/>
        </w:numPr>
        <w:tabs>
          <w:tab w:val="left" w:pos="1350"/>
        </w:tabs>
        <w:rPr>
          <w:b/>
        </w:rPr>
      </w:pPr>
      <w:r w:rsidRPr="00BB587B">
        <w:rPr>
          <w:b/>
        </w:rPr>
        <w:t>Section 360A</w:t>
      </w:r>
    </w:p>
    <w:p w14:paraId="3CDA4637" w14:textId="0C4554CB" w:rsidR="00234250" w:rsidRPr="00BB587B" w:rsidRDefault="00D81FAF" w:rsidP="00B21502">
      <w:pPr>
        <w:numPr>
          <w:ilvl w:val="2"/>
          <w:numId w:val="32"/>
        </w:numPr>
      </w:pPr>
      <w:r>
        <w:rPr>
          <w:i/>
        </w:rPr>
        <w:t xml:space="preserve">Refused Legal Assistance is not grounds for adjournment or stay – </w:t>
      </w:r>
      <w:r w:rsidR="00234250" w:rsidRPr="00BB587B">
        <w:t>The fact an accused has been refused legal assistance for a trial is not a ground for an adjournment or stay of trial</w:t>
      </w:r>
    </w:p>
    <w:p w14:paraId="47EBFC7E" w14:textId="77777777" w:rsidR="00D81FAF" w:rsidRDefault="00D81FAF" w:rsidP="00D81FAF">
      <w:pPr>
        <w:ind w:left="2160"/>
      </w:pPr>
    </w:p>
    <w:p w14:paraId="1CC474E3" w14:textId="62791609" w:rsidR="00234250" w:rsidRPr="00BB587B" w:rsidRDefault="00D81FAF" w:rsidP="00B21502">
      <w:pPr>
        <w:numPr>
          <w:ilvl w:val="2"/>
          <w:numId w:val="32"/>
        </w:numPr>
      </w:pPr>
      <w:r>
        <w:rPr>
          <w:i/>
        </w:rPr>
        <w:t xml:space="preserve">Court can order legal assistance – </w:t>
      </w:r>
      <w:r w:rsidR="00234250" w:rsidRPr="00BB587B">
        <w:t xml:space="preserve">If a court will be unable to ensure a fair trial unless the accused is legally represented and the accused is in need of legal assistance because he is unable to afford a private practitioner </w:t>
      </w:r>
      <w:r w:rsidR="00234250" w:rsidRPr="00BB587B">
        <w:rPr>
          <w:u w:val="single"/>
        </w:rPr>
        <w:t>the court may order Victoria legal aid to provide assistance</w:t>
      </w:r>
      <w:r w:rsidR="00234250" w:rsidRPr="00BB587B">
        <w:t xml:space="preserve"> </w:t>
      </w:r>
    </w:p>
    <w:p w14:paraId="25018F87" w14:textId="77777777" w:rsidR="00D81FAF" w:rsidRPr="00D81FAF" w:rsidRDefault="00D81FAF" w:rsidP="00D81FAF">
      <w:pPr>
        <w:ind w:left="2160"/>
      </w:pPr>
    </w:p>
    <w:p w14:paraId="37C4F830" w14:textId="47CC9BE3" w:rsidR="00234250" w:rsidRPr="00BB587B" w:rsidRDefault="00115A71" w:rsidP="00B21502">
      <w:pPr>
        <w:numPr>
          <w:ilvl w:val="2"/>
          <w:numId w:val="32"/>
        </w:numPr>
      </w:pPr>
      <w:r>
        <w:rPr>
          <w:i/>
          <w:lang w:val="en-AU"/>
        </w:rPr>
        <w:t xml:space="preserve">Must give Legal Aid opportunity to be heard – </w:t>
      </w:r>
      <w:r w:rsidR="00234250" w:rsidRPr="00BB587B">
        <w:rPr>
          <w:lang w:val="en-AU"/>
        </w:rPr>
        <w:t>The court must give Victoria Legal Aid an opportunity to appear and be heard before an order is made.</w:t>
      </w:r>
    </w:p>
    <w:p w14:paraId="2ACF4B6D" w14:textId="77777777" w:rsidR="00234250" w:rsidRDefault="00234250" w:rsidP="0079364B">
      <w:pPr>
        <w:pStyle w:val="NoSpacing"/>
        <w:rPr>
          <w:rFonts w:cs="Times New Roman"/>
          <w:szCs w:val="24"/>
        </w:rPr>
      </w:pPr>
    </w:p>
    <w:p w14:paraId="1A3C15F2" w14:textId="77777777" w:rsidR="00E53020" w:rsidRDefault="00E53020" w:rsidP="0079364B">
      <w:pPr>
        <w:pStyle w:val="NoSpacing"/>
        <w:rPr>
          <w:rFonts w:cs="Times New Roman"/>
          <w:szCs w:val="24"/>
        </w:rPr>
      </w:pPr>
    </w:p>
    <w:p w14:paraId="0E22A9C7" w14:textId="77777777" w:rsidR="00E53020" w:rsidRDefault="00E53020" w:rsidP="0079364B">
      <w:pPr>
        <w:pStyle w:val="NoSpacing"/>
        <w:rPr>
          <w:rFonts w:cs="Times New Roman"/>
          <w:szCs w:val="24"/>
        </w:rPr>
      </w:pPr>
    </w:p>
    <w:p w14:paraId="62D7E7FF" w14:textId="77777777" w:rsidR="00E53020" w:rsidRDefault="00E53020" w:rsidP="0079364B">
      <w:pPr>
        <w:pStyle w:val="NoSpacing"/>
        <w:rPr>
          <w:rFonts w:cs="Times New Roman"/>
          <w:szCs w:val="24"/>
        </w:rPr>
      </w:pPr>
    </w:p>
    <w:p w14:paraId="0FEBFE07" w14:textId="77777777" w:rsidR="00E53020" w:rsidRDefault="00E53020" w:rsidP="0079364B">
      <w:pPr>
        <w:pStyle w:val="NoSpacing"/>
        <w:rPr>
          <w:rFonts w:cs="Times New Roman"/>
          <w:szCs w:val="24"/>
        </w:rPr>
      </w:pPr>
    </w:p>
    <w:p w14:paraId="6B7D0498" w14:textId="77777777" w:rsidR="00E53020" w:rsidRDefault="00E53020" w:rsidP="0079364B">
      <w:pPr>
        <w:pStyle w:val="NoSpacing"/>
        <w:rPr>
          <w:rFonts w:cs="Times New Roman"/>
          <w:szCs w:val="24"/>
        </w:rPr>
      </w:pPr>
    </w:p>
    <w:p w14:paraId="362621F2" w14:textId="77777777" w:rsidR="00E53020" w:rsidRDefault="00E53020" w:rsidP="0079364B">
      <w:pPr>
        <w:pStyle w:val="NoSpacing"/>
        <w:rPr>
          <w:rFonts w:cs="Times New Roman"/>
          <w:szCs w:val="24"/>
        </w:rPr>
      </w:pPr>
    </w:p>
    <w:p w14:paraId="6FF11BF3" w14:textId="77777777" w:rsidR="00E53020" w:rsidRDefault="00E53020" w:rsidP="0079364B">
      <w:pPr>
        <w:pStyle w:val="NoSpacing"/>
        <w:rPr>
          <w:rFonts w:cs="Times New Roman"/>
          <w:szCs w:val="24"/>
        </w:rPr>
      </w:pPr>
    </w:p>
    <w:p w14:paraId="0FCA2DB8" w14:textId="77777777" w:rsidR="00E53020" w:rsidRDefault="00E53020" w:rsidP="0079364B">
      <w:pPr>
        <w:pStyle w:val="NoSpacing"/>
        <w:rPr>
          <w:rFonts w:cs="Times New Roman"/>
          <w:szCs w:val="24"/>
        </w:rPr>
      </w:pPr>
    </w:p>
    <w:p w14:paraId="5A48A9A9" w14:textId="77777777" w:rsidR="00E53020" w:rsidRDefault="00E53020" w:rsidP="0079364B">
      <w:pPr>
        <w:pStyle w:val="NoSpacing"/>
        <w:rPr>
          <w:rFonts w:cs="Times New Roman"/>
          <w:szCs w:val="24"/>
        </w:rPr>
      </w:pPr>
    </w:p>
    <w:p w14:paraId="30A18C9D" w14:textId="77777777" w:rsidR="00E53020" w:rsidRDefault="00E53020" w:rsidP="0079364B">
      <w:pPr>
        <w:pStyle w:val="NoSpacing"/>
        <w:rPr>
          <w:rFonts w:cs="Times New Roman"/>
          <w:szCs w:val="24"/>
        </w:rPr>
      </w:pPr>
    </w:p>
    <w:p w14:paraId="409C432B" w14:textId="77777777" w:rsidR="00E53020" w:rsidRDefault="00E53020" w:rsidP="0079364B">
      <w:pPr>
        <w:pStyle w:val="NoSpacing"/>
        <w:rPr>
          <w:rFonts w:cs="Times New Roman"/>
          <w:szCs w:val="24"/>
        </w:rPr>
      </w:pPr>
    </w:p>
    <w:p w14:paraId="45C9A42F" w14:textId="77777777" w:rsidR="00E53020" w:rsidRDefault="00E53020" w:rsidP="0079364B">
      <w:pPr>
        <w:pStyle w:val="NoSpacing"/>
        <w:rPr>
          <w:rFonts w:cs="Times New Roman"/>
          <w:szCs w:val="24"/>
        </w:rPr>
      </w:pPr>
    </w:p>
    <w:p w14:paraId="63AC7790" w14:textId="77777777" w:rsidR="00E53020" w:rsidRDefault="00E53020" w:rsidP="0079364B">
      <w:pPr>
        <w:pStyle w:val="NoSpacing"/>
        <w:rPr>
          <w:rFonts w:cs="Times New Roman"/>
          <w:szCs w:val="24"/>
        </w:rPr>
      </w:pPr>
    </w:p>
    <w:p w14:paraId="72ED36EF" w14:textId="77777777" w:rsidR="003D13DB" w:rsidRDefault="003D13DB" w:rsidP="0079364B">
      <w:pPr>
        <w:pStyle w:val="NoSpacing"/>
        <w:rPr>
          <w:rFonts w:cs="Times New Roman"/>
          <w:szCs w:val="24"/>
        </w:rPr>
      </w:pPr>
    </w:p>
    <w:p w14:paraId="6A73BD01" w14:textId="77777777" w:rsidR="00E53020" w:rsidRDefault="00E53020" w:rsidP="0079364B">
      <w:pPr>
        <w:pStyle w:val="NoSpacing"/>
        <w:rPr>
          <w:rFonts w:cs="Times New Roman"/>
          <w:szCs w:val="24"/>
        </w:rPr>
      </w:pPr>
    </w:p>
    <w:p w14:paraId="7526CC91" w14:textId="77777777" w:rsidR="00E53020" w:rsidRDefault="00E53020" w:rsidP="0079364B">
      <w:pPr>
        <w:pStyle w:val="NoSpacing"/>
        <w:rPr>
          <w:rFonts w:cs="Times New Roman"/>
          <w:szCs w:val="24"/>
        </w:rPr>
      </w:pPr>
    </w:p>
    <w:p w14:paraId="25AE1ADF" w14:textId="56BF1FF8" w:rsidR="0027107F" w:rsidRPr="00703D1D" w:rsidRDefault="00A7001D" w:rsidP="0079364B">
      <w:pPr>
        <w:pStyle w:val="NoSpacing"/>
        <w:rPr>
          <w:rFonts w:cs="Times New Roman"/>
          <w:b/>
          <w:szCs w:val="24"/>
          <w:u w:val="single"/>
        </w:rPr>
      </w:pPr>
      <w:r w:rsidRPr="00703D1D">
        <w:rPr>
          <w:rFonts w:cs="Times New Roman"/>
          <w:b/>
          <w:szCs w:val="24"/>
          <w:u w:val="single"/>
        </w:rPr>
        <w:lastRenderedPageBreak/>
        <w:t>Retainer</w:t>
      </w:r>
    </w:p>
    <w:p w14:paraId="34AC807D" w14:textId="76A4DE83" w:rsidR="00A7001D" w:rsidRDefault="00A7001D" w:rsidP="00703D1D">
      <w:pPr>
        <w:pStyle w:val="NoSpacing"/>
        <w:rPr>
          <w:rFonts w:cs="Times New Roman"/>
          <w:szCs w:val="24"/>
        </w:rPr>
      </w:pPr>
    </w:p>
    <w:p w14:paraId="7D3A643A" w14:textId="2E3DAD23" w:rsidR="00703D1D" w:rsidRDefault="001B737E" w:rsidP="00B21502">
      <w:pPr>
        <w:pStyle w:val="NoSpacing"/>
        <w:numPr>
          <w:ilvl w:val="0"/>
          <w:numId w:val="15"/>
        </w:numPr>
        <w:rPr>
          <w:rFonts w:cs="Times New Roman"/>
          <w:szCs w:val="24"/>
        </w:rPr>
      </w:pPr>
      <w:r w:rsidRPr="007D6AA0">
        <w:rPr>
          <w:rFonts w:cs="Times New Roman"/>
          <w:b/>
          <w:i/>
          <w:szCs w:val="24"/>
        </w:rPr>
        <w:t>Retainer</w:t>
      </w:r>
      <w:r>
        <w:rPr>
          <w:rFonts w:cs="Times New Roman"/>
          <w:i/>
          <w:szCs w:val="24"/>
        </w:rPr>
        <w:t xml:space="preserve"> </w:t>
      </w:r>
      <w:r>
        <w:rPr>
          <w:rFonts w:cs="Times New Roman"/>
          <w:szCs w:val="24"/>
        </w:rPr>
        <w:t>– Identifies the various aspects of the lawyer</w:t>
      </w:r>
      <w:r w:rsidR="00F97190">
        <w:rPr>
          <w:rFonts w:cs="Times New Roman"/>
          <w:szCs w:val="24"/>
        </w:rPr>
        <w:t>–</w:t>
      </w:r>
      <w:r>
        <w:rPr>
          <w:rFonts w:cs="Times New Roman"/>
          <w:szCs w:val="24"/>
        </w:rPr>
        <w:t>client and fundamentally:</w:t>
      </w:r>
    </w:p>
    <w:p w14:paraId="01C1162F" w14:textId="677CAACA" w:rsidR="00C16F12" w:rsidRPr="00CC1F82" w:rsidRDefault="00C16F12" w:rsidP="00B21502">
      <w:pPr>
        <w:pStyle w:val="NoSpacing"/>
        <w:numPr>
          <w:ilvl w:val="1"/>
          <w:numId w:val="15"/>
        </w:numPr>
        <w:rPr>
          <w:rFonts w:cs="Times New Roman"/>
          <w:b/>
          <w:szCs w:val="24"/>
        </w:rPr>
      </w:pPr>
      <w:r w:rsidRPr="00CC1F82">
        <w:rPr>
          <w:rFonts w:cs="Times New Roman"/>
          <w:b/>
          <w:szCs w:val="24"/>
        </w:rPr>
        <w:t>Primary</w:t>
      </w:r>
    </w:p>
    <w:p w14:paraId="05E5C382" w14:textId="77777777" w:rsidR="001B737E" w:rsidRDefault="001B737E" w:rsidP="00B21502">
      <w:pPr>
        <w:pStyle w:val="NoSpacing"/>
        <w:numPr>
          <w:ilvl w:val="2"/>
          <w:numId w:val="15"/>
        </w:numPr>
        <w:rPr>
          <w:rFonts w:cs="Times New Roman"/>
          <w:szCs w:val="24"/>
        </w:rPr>
      </w:pPr>
      <w:r w:rsidRPr="00CF4384">
        <w:rPr>
          <w:rFonts w:cs="Times New Roman"/>
          <w:szCs w:val="24"/>
        </w:rPr>
        <w:t>Identifies the client</w:t>
      </w:r>
      <w:r w:rsidR="00DB58B8">
        <w:rPr>
          <w:rFonts w:cs="Times New Roman"/>
          <w:szCs w:val="24"/>
        </w:rPr>
        <w:t>.</w:t>
      </w:r>
    </w:p>
    <w:p w14:paraId="22B5A77B" w14:textId="2DE6D34E" w:rsidR="00DB58B8" w:rsidRPr="00CF4384" w:rsidRDefault="00DB58B8" w:rsidP="00B21502">
      <w:pPr>
        <w:pStyle w:val="NoSpacing"/>
        <w:numPr>
          <w:ilvl w:val="2"/>
          <w:numId w:val="15"/>
        </w:numPr>
        <w:rPr>
          <w:rFonts w:cs="Times New Roman"/>
          <w:szCs w:val="24"/>
        </w:rPr>
      </w:pPr>
      <w:r>
        <w:rPr>
          <w:rFonts w:cs="Times New Roman"/>
          <w:szCs w:val="24"/>
        </w:rPr>
        <w:t>Whose instructions the lawyer acts upon.</w:t>
      </w:r>
    </w:p>
    <w:p w14:paraId="11F48824" w14:textId="6D178D5D" w:rsidR="001B737E" w:rsidRDefault="001B737E" w:rsidP="00B21502">
      <w:pPr>
        <w:pStyle w:val="NoSpacing"/>
        <w:numPr>
          <w:ilvl w:val="2"/>
          <w:numId w:val="15"/>
        </w:numPr>
        <w:rPr>
          <w:rFonts w:cs="Times New Roman"/>
          <w:szCs w:val="24"/>
        </w:rPr>
      </w:pPr>
      <w:r w:rsidRPr="00CF4384">
        <w:rPr>
          <w:rFonts w:cs="Times New Roman"/>
          <w:szCs w:val="24"/>
        </w:rPr>
        <w:t>Prescribes the services expected of the lawyer.</w:t>
      </w:r>
    </w:p>
    <w:p w14:paraId="5FA0464B" w14:textId="0B4524F7" w:rsidR="00DB58B8" w:rsidRDefault="00DB58B8" w:rsidP="00B21502">
      <w:pPr>
        <w:pStyle w:val="NoSpacing"/>
        <w:numPr>
          <w:ilvl w:val="2"/>
          <w:numId w:val="15"/>
        </w:numPr>
        <w:rPr>
          <w:rFonts w:cs="Times New Roman"/>
          <w:szCs w:val="24"/>
        </w:rPr>
      </w:pPr>
      <w:r>
        <w:rPr>
          <w:rFonts w:cs="Times New Roman"/>
          <w:szCs w:val="24"/>
        </w:rPr>
        <w:t xml:space="preserve">Scope of </w:t>
      </w:r>
      <w:proofErr w:type="gramStart"/>
      <w:r>
        <w:rPr>
          <w:rFonts w:cs="Times New Roman"/>
          <w:szCs w:val="24"/>
        </w:rPr>
        <w:t>lawyers</w:t>
      </w:r>
      <w:proofErr w:type="gramEnd"/>
      <w:r>
        <w:rPr>
          <w:rFonts w:cs="Times New Roman"/>
          <w:szCs w:val="24"/>
        </w:rPr>
        <w:t xml:space="preserve"> responsibilities and duties.</w:t>
      </w:r>
    </w:p>
    <w:p w14:paraId="474CFB02" w14:textId="77777777" w:rsidR="00835918" w:rsidRDefault="00835918" w:rsidP="00B21502">
      <w:pPr>
        <w:pStyle w:val="NoSpacing"/>
        <w:numPr>
          <w:ilvl w:val="2"/>
          <w:numId w:val="15"/>
        </w:numPr>
        <w:rPr>
          <w:rFonts w:cs="Times New Roman"/>
          <w:szCs w:val="24"/>
        </w:rPr>
      </w:pPr>
      <w:r>
        <w:rPr>
          <w:rFonts w:cs="Times New Roman"/>
          <w:szCs w:val="24"/>
        </w:rPr>
        <w:t>Liability in Tort to the client</w:t>
      </w:r>
    </w:p>
    <w:p w14:paraId="34B0FD8C" w14:textId="77777777" w:rsidR="00C16F12" w:rsidRDefault="00C16F12" w:rsidP="00CD6CD6">
      <w:pPr>
        <w:pStyle w:val="NoSpacing"/>
        <w:rPr>
          <w:rFonts w:cs="Times New Roman"/>
          <w:szCs w:val="24"/>
        </w:rPr>
      </w:pPr>
    </w:p>
    <w:p w14:paraId="0B1362C7" w14:textId="28FC4CF7" w:rsidR="00C16F12" w:rsidRPr="00CC1F82" w:rsidRDefault="00C16F12" w:rsidP="00B21502">
      <w:pPr>
        <w:pStyle w:val="NoSpacing"/>
        <w:numPr>
          <w:ilvl w:val="1"/>
          <w:numId w:val="15"/>
        </w:numPr>
        <w:rPr>
          <w:rFonts w:cs="Times New Roman"/>
          <w:b/>
          <w:szCs w:val="24"/>
        </w:rPr>
      </w:pPr>
      <w:r w:rsidRPr="00CC1F82">
        <w:rPr>
          <w:rFonts w:cs="Times New Roman"/>
          <w:b/>
          <w:szCs w:val="24"/>
        </w:rPr>
        <w:t>Secondary</w:t>
      </w:r>
    </w:p>
    <w:p w14:paraId="013B1F50" w14:textId="155B7FB9" w:rsidR="00C16F12" w:rsidRDefault="00C16F12" w:rsidP="00B21502">
      <w:pPr>
        <w:pStyle w:val="NoSpacing"/>
        <w:numPr>
          <w:ilvl w:val="2"/>
          <w:numId w:val="15"/>
        </w:numPr>
        <w:rPr>
          <w:rFonts w:cs="Times New Roman"/>
          <w:szCs w:val="24"/>
        </w:rPr>
      </w:pPr>
      <w:r>
        <w:rPr>
          <w:rFonts w:cs="Times New Roman"/>
          <w:szCs w:val="24"/>
        </w:rPr>
        <w:t>Scope of retainer assist professional liability insurance</w:t>
      </w:r>
    </w:p>
    <w:p w14:paraId="45684FE0" w14:textId="57AC02BD" w:rsidR="00835918" w:rsidRPr="00CF4384" w:rsidRDefault="00835918" w:rsidP="00B21502">
      <w:pPr>
        <w:pStyle w:val="NoSpacing"/>
        <w:numPr>
          <w:ilvl w:val="2"/>
          <w:numId w:val="15"/>
        </w:numPr>
        <w:rPr>
          <w:rFonts w:cs="Times New Roman"/>
          <w:szCs w:val="24"/>
        </w:rPr>
      </w:pPr>
      <w:r>
        <w:rPr>
          <w:rFonts w:cs="Times New Roman"/>
          <w:szCs w:val="24"/>
        </w:rPr>
        <w:t>Fiduciary duties and duties of confidentiality</w:t>
      </w:r>
      <w:r w:rsidR="00771C17">
        <w:rPr>
          <w:rFonts w:cs="Times New Roman"/>
          <w:szCs w:val="24"/>
        </w:rPr>
        <w:t xml:space="preserve"> [implied</w:t>
      </w:r>
      <w:r w:rsidR="00517AF8">
        <w:rPr>
          <w:rFonts w:cs="Times New Roman"/>
          <w:szCs w:val="24"/>
        </w:rPr>
        <w:t xml:space="preserve"> terms usually</w:t>
      </w:r>
      <w:r w:rsidR="00771C17">
        <w:rPr>
          <w:rFonts w:cs="Times New Roman"/>
          <w:szCs w:val="24"/>
        </w:rPr>
        <w:t>]</w:t>
      </w:r>
    </w:p>
    <w:p w14:paraId="1E348300" w14:textId="77777777" w:rsidR="00B71747" w:rsidRPr="00B71747" w:rsidRDefault="00B71747" w:rsidP="00B71747">
      <w:pPr>
        <w:pStyle w:val="NoSpacing"/>
        <w:ind w:left="1440"/>
        <w:rPr>
          <w:rFonts w:cs="Times New Roman"/>
          <w:szCs w:val="24"/>
        </w:rPr>
      </w:pPr>
    </w:p>
    <w:p w14:paraId="43F80DC1" w14:textId="3A11EA1B" w:rsidR="00B71747" w:rsidRDefault="00C16F12" w:rsidP="00B21502">
      <w:pPr>
        <w:pStyle w:val="NoSpacing"/>
        <w:numPr>
          <w:ilvl w:val="0"/>
          <w:numId w:val="15"/>
        </w:numPr>
        <w:rPr>
          <w:rFonts w:cs="Times New Roman"/>
          <w:szCs w:val="24"/>
        </w:rPr>
      </w:pPr>
      <w:r w:rsidRPr="007D6AA0">
        <w:rPr>
          <w:rFonts w:cs="Times New Roman"/>
          <w:b/>
          <w:i/>
          <w:szCs w:val="24"/>
        </w:rPr>
        <w:t>No Retainer</w:t>
      </w:r>
      <w:r>
        <w:rPr>
          <w:rFonts w:cs="Times New Roman"/>
          <w:i/>
          <w:szCs w:val="24"/>
        </w:rPr>
        <w:t xml:space="preserve"> </w:t>
      </w:r>
      <w:r>
        <w:rPr>
          <w:rFonts w:cs="Times New Roman"/>
          <w:szCs w:val="24"/>
        </w:rPr>
        <w:t xml:space="preserve">– The absence of a </w:t>
      </w:r>
      <w:r w:rsidR="00140DF6">
        <w:rPr>
          <w:rFonts w:cs="Times New Roman"/>
          <w:szCs w:val="24"/>
        </w:rPr>
        <w:t>retainer</w:t>
      </w:r>
      <w:r>
        <w:rPr>
          <w:rFonts w:cs="Times New Roman"/>
          <w:szCs w:val="24"/>
        </w:rPr>
        <w:t xml:space="preserve"> infers that the lawyer has no contractual claim to costs and disbursements from an alleged client.</w:t>
      </w:r>
      <w:r w:rsidR="00F33924">
        <w:rPr>
          <w:rFonts w:cs="Times New Roman"/>
          <w:szCs w:val="24"/>
        </w:rPr>
        <w:t xml:space="preserve"> This adversely affects any </w:t>
      </w:r>
      <w:r w:rsidR="004F31BB">
        <w:rPr>
          <w:rFonts w:cs="Times New Roman"/>
          <w:szCs w:val="24"/>
        </w:rPr>
        <w:t xml:space="preserve">professional indemnity </w:t>
      </w:r>
      <w:r w:rsidR="00F33924">
        <w:rPr>
          <w:rFonts w:cs="Times New Roman"/>
          <w:szCs w:val="24"/>
        </w:rPr>
        <w:t>insurance claim.</w:t>
      </w:r>
    </w:p>
    <w:p w14:paraId="0AFFD452" w14:textId="77777777" w:rsidR="00D07993" w:rsidRDefault="00D07993" w:rsidP="00B21502">
      <w:pPr>
        <w:pStyle w:val="NoSpacing"/>
        <w:numPr>
          <w:ilvl w:val="1"/>
          <w:numId w:val="15"/>
        </w:numPr>
        <w:rPr>
          <w:rFonts w:cs="Times New Roman"/>
          <w:szCs w:val="24"/>
        </w:rPr>
      </w:pPr>
      <w:r w:rsidRPr="0061444E">
        <w:rPr>
          <w:rFonts w:cs="Times New Roman"/>
          <w:b/>
          <w:i/>
          <w:szCs w:val="24"/>
        </w:rPr>
        <w:t>Client is Favoured</w:t>
      </w:r>
      <w:r>
        <w:rPr>
          <w:rFonts w:cs="Times New Roman"/>
          <w:i/>
          <w:szCs w:val="24"/>
        </w:rPr>
        <w:t xml:space="preserve"> </w:t>
      </w:r>
      <w:r w:rsidRPr="001B3172">
        <w:rPr>
          <w:rFonts w:cs="Times New Roman"/>
          <w:i/>
          <w:szCs w:val="24"/>
        </w:rPr>
        <w:t>per</w:t>
      </w:r>
      <w:r>
        <w:rPr>
          <w:rFonts w:cs="Times New Roman"/>
          <w:szCs w:val="24"/>
        </w:rPr>
        <w:t xml:space="preserve"> </w:t>
      </w:r>
      <w:r w:rsidRPr="00D07993">
        <w:rPr>
          <w:rFonts w:cs="Times New Roman"/>
          <w:i/>
          <w:szCs w:val="24"/>
        </w:rPr>
        <w:t>Griffiths v Evans</w:t>
      </w:r>
      <w:r>
        <w:rPr>
          <w:rFonts w:cs="Times New Roman"/>
          <w:szCs w:val="24"/>
        </w:rPr>
        <w:t xml:space="preserve"> </w:t>
      </w:r>
    </w:p>
    <w:p w14:paraId="03C107F4" w14:textId="77777777" w:rsidR="00450CAA" w:rsidRDefault="00450CAA" w:rsidP="00D07993">
      <w:pPr>
        <w:pStyle w:val="NoSpacing"/>
        <w:rPr>
          <w:rFonts w:cs="Times New Roman"/>
          <w:i/>
          <w:szCs w:val="24"/>
        </w:rPr>
      </w:pPr>
    </w:p>
    <w:p w14:paraId="13811340" w14:textId="095101DC" w:rsidR="00D07993" w:rsidRDefault="00450CAA" w:rsidP="00D07993">
      <w:pPr>
        <w:pStyle w:val="NoSpacing"/>
        <w:rPr>
          <w:rFonts w:cs="Times New Roman"/>
          <w:szCs w:val="24"/>
        </w:rPr>
      </w:pPr>
      <w:proofErr w:type="gramStart"/>
      <w:r w:rsidRPr="00D07993">
        <w:rPr>
          <w:rFonts w:cs="Times New Roman"/>
          <w:i/>
          <w:szCs w:val="24"/>
        </w:rPr>
        <w:t>Griffiths</w:t>
      </w:r>
      <w:proofErr w:type="gramEnd"/>
      <w:r w:rsidRPr="00D07993">
        <w:rPr>
          <w:rFonts w:cs="Times New Roman"/>
          <w:i/>
          <w:szCs w:val="24"/>
        </w:rPr>
        <w:t xml:space="preserve"> v Evans</w:t>
      </w:r>
    </w:p>
    <w:p w14:paraId="4707EB48" w14:textId="034827C3" w:rsidR="00D07993" w:rsidRDefault="00450CAA" w:rsidP="00F04DEE">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imes New Roman"/>
          <w:szCs w:val="24"/>
        </w:rPr>
      </w:pPr>
      <w:r>
        <w:rPr>
          <w:rFonts w:cs="Times New Roman"/>
          <w:szCs w:val="24"/>
        </w:rPr>
        <w:t>It</w:t>
      </w:r>
      <w:r w:rsidR="00D07993">
        <w:rPr>
          <w:rFonts w:cs="Times New Roman"/>
          <w:szCs w:val="24"/>
        </w:rPr>
        <w:t xml:space="preserve"> was held that the words of the client is to be preferred to </w:t>
      </w:r>
      <w:r w:rsidR="00D07993" w:rsidRPr="001D1CAC">
        <w:rPr>
          <w:rFonts w:cs="Times New Roman"/>
          <w:b/>
          <w:szCs w:val="24"/>
        </w:rPr>
        <w:t>the word of the solicitor because the client is ignorant and the solicitor is or should be learned and that a lawyer who</w:t>
      </w:r>
      <w:r w:rsidR="00D07993">
        <w:rPr>
          <w:rFonts w:cs="Times New Roman"/>
          <w:szCs w:val="24"/>
        </w:rPr>
        <w:t xml:space="preserve"> </w:t>
      </w:r>
      <w:r w:rsidR="00D07993" w:rsidRPr="001D1CAC">
        <w:rPr>
          <w:rFonts w:cs="Times New Roman"/>
          <w:b/>
          <w:szCs w:val="24"/>
        </w:rPr>
        <w:t>does not take the precaution of getting a written</w:t>
      </w:r>
      <w:r w:rsidR="00D07993">
        <w:rPr>
          <w:rFonts w:cs="Times New Roman"/>
          <w:szCs w:val="24"/>
        </w:rPr>
        <w:t xml:space="preserve"> retainer had only himself to thank for being at variance with his client over it and must take the consequences</w:t>
      </w:r>
      <w:r>
        <w:rPr>
          <w:rFonts w:cs="Times New Roman"/>
          <w:szCs w:val="24"/>
        </w:rPr>
        <w:t>.</w:t>
      </w:r>
    </w:p>
    <w:p w14:paraId="3338E6FA" w14:textId="77777777" w:rsidR="00416A69" w:rsidRDefault="00416A69" w:rsidP="00416A69">
      <w:pPr>
        <w:pStyle w:val="NoSpacing"/>
        <w:ind w:left="720"/>
        <w:rPr>
          <w:rFonts w:cs="Times New Roman"/>
          <w:szCs w:val="24"/>
        </w:rPr>
      </w:pPr>
    </w:p>
    <w:p w14:paraId="3BBC5791" w14:textId="3186354C" w:rsidR="006E2FC4" w:rsidRPr="00935272" w:rsidRDefault="00416A69" w:rsidP="00B21502">
      <w:pPr>
        <w:pStyle w:val="NoSpacing"/>
        <w:numPr>
          <w:ilvl w:val="0"/>
          <w:numId w:val="15"/>
        </w:numPr>
        <w:rPr>
          <w:rFonts w:cs="Times New Roman"/>
          <w:szCs w:val="24"/>
        </w:rPr>
      </w:pPr>
      <w:r w:rsidRPr="00935272">
        <w:rPr>
          <w:rFonts w:cs="Times New Roman"/>
          <w:b/>
          <w:i/>
          <w:szCs w:val="24"/>
        </w:rPr>
        <w:t>Oral Retainer</w:t>
      </w:r>
      <w:r w:rsidRPr="00935272">
        <w:rPr>
          <w:rFonts w:cs="Times New Roman"/>
          <w:i/>
          <w:szCs w:val="24"/>
        </w:rPr>
        <w:t xml:space="preserve"> </w:t>
      </w:r>
      <w:r w:rsidRPr="00935272">
        <w:rPr>
          <w:rFonts w:cs="Times New Roman"/>
          <w:szCs w:val="24"/>
        </w:rPr>
        <w:t xml:space="preserve">– </w:t>
      </w:r>
      <w:r w:rsidR="006E2FC4" w:rsidRPr="00935272">
        <w:rPr>
          <w:rFonts w:cs="Times New Roman"/>
          <w:szCs w:val="24"/>
        </w:rPr>
        <w:t>The person alleging the existence of a contract bears the onus of proof a lawyer alleging the existence of a retainer that is not in writing must adduce evidence in the form of words and or conduct of the parties sufficient to satisfy a court th</w:t>
      </w:r>
      <w:r w:rsidR="00935272" w:rsidRPr="00935272">
        <w:rPr>
          <w:rFonts w:cs="Times New Roman"/>
          <w:szCs w:val="24"/>
        </w:rPr>
        <w:t>at the retainer alleged existed</w:t>
      </w:r>
      <w:r w:rsidR="00935272">
        <w:rPr>
          <w:rFonts w:cs="Times New Roman"/>
          <w:szCs w:val="24"/>
        </w:rPr>
        <w:t xml:space="preserve"> – </w:t>
      </w:r>
      <w:proofErr w:type="spellStart"/>
      <w:r w:rsidR="006E2FC4" w:rsidRPr="00935272">
        <w:rPr>
          <w:rFonts w:cs="Times New Roman"/>
          <w:i/>
          <w:szCs w:val="24"/>
        </w:rPr>
        <w:t>Comlaw</w:t>
      </w:r>
      <w:proofErr w:type="spellEnd"/>
      <w:r w:rsidR="006E2FC4" w:rsidRPr="00935272">
        <w:rPr>
          <w:rFonts w:cs="Times New Roman"/>
          <w:i/>
          <w:szCs w:val="24"/>
        </w:rPr>
        <w:t xml:space="preserve"> (No 62) v Owens (2003)</w:t>
      </w:r>
    </w:p>
    <w:p w14:paraId="20FEC217" w14:textId="72E431B3" w:rsidR="00935272" w:rsidRDefault="00C21FC5" w:rsidP="00B21502">
      <w:pPr>
        <w:pStyle w:val="NoSpacing"/>
        <w:numPr>
          <w:ilvl w:val="1"/>
          <w:numId w:val="15"/>
        </w:numPr>
        <w:rPr>
          <w:rFonts w:cs="Times New Roman"/>
          <w:szCs w:val="24"/>
        </w:rPr>
      </w:pPr>
      <w:r>
        <w:rPr>
          <w:rFonts w:cs="Times New Roman"/>
          <w:szCs w:val="24"/>
        </w:rPr>
        <w:t>Or, alternatively, was varied in some way</w:t>
      </w:r>
    </w:p>
    <w:p w14:paraId="3753A2DA" w14:textId="447D3DD4" w:rsidR="00C21FC5" w:rsidRPr="006E2FC4" w:rsidRDefault="004D65B3" w:rsidP="00B21502">
      <w:pPr>
        <w:pStyle w:val="NoSpacing"/>
        <w:numPr>
          <w:ilvl w:val="2"/>
          <w:numId w:val="15"/>
        </w:numPr>
        <w:rPr>
          <w:rFonts w:cs="Times New Roman"/>
          <w:szCs w:val="24"/>
        </w:rPr>
      </w:pPr>
      <w:r>
        <w:rPr>
          <w:rFonts w:cs="Times New Roman"/>
          <w:i/>
          <w:szCs w:val="24"/>
        </w:rPr>
        <w:t>Symonds v Vass (2007)</w:t>
      </w:r>
    </w:p>
    <w:p w14:paraId="1A51EFD4" w14:textId="77777777" w:rsidR="006E2FC4" w:rsidRDefault="006E2FC4" w:rsidP="006E2FC4">
      <w:pPr>
        <w:pStyle w:val="NoSpacing"/>
        <w:ind w:left="1440"/>
        <w:rPr>
          <w:rFonts w:cs="Times New Roman"/>
          <w:szCs w:val="24"/>
        </w:rPr>
      </w:pPr>
    </w:p>
    <w:p w14:paraId="7EF28B52" w14:textId="18CA4F33" w:rsidR="00BB3AB9" w:rsidRDefault="00DB74E5" w:rsidP="00B21502">
      <w:pPr>
        <w:pStyle w:val="NoSpacing"/>
        <w:numPr>
          <w:ilvl w:val="0"/>
          <w:numId w:val="15"/>
        </w:numPr>
        <w:rPr>
          <w:rFonts w:cs="Times New Roman"/>
          <w:szCs w:val="24"/>
        </w:rPr>
      </w:pPr>
      <w:r w:rsidRPr="007D6AA0">
        <w:rPr>
          <w:rFonts w:cs="Times New Roman"/>
          <w:b/>
          <w:i/>
          <w:szCs w:val="24"/>
        </w:rPr>
        <w:t>Implied Terms</w:t>
      </w:r>
      <w:r>
        <w:rPr>
          <w:rFonts w:cs="Times New Roman"/>
          <w:szCs w:val="24"/>
        </w:rPr>
        <w:t xml:space="preserve"> –</w:t>
      </w:r>
      <w:r w:rsidR="00CE3ED5">
        <w:rPr>
          <w:rFonts w:cs="Times New Roman"/>
          <w:szCs w:val="24"/>
        </w:rPr>
        <w:t xml:space="preserve"> </w:t>
      </w:r>
      <w:r w:rsidR="00CE3ED5">
        <w:rPr>
          <w:rFonts w:cs="Times New Roman"/>
          <w:i/>
          <w:szCs w:val="24"/>
        </w:rPr>
        <w:t>[</w:t>
      </w:r>
      <w:r w:rsidR="00CE3ED5" w:rsidRPr="00CE3ED5">
        <w:rPr>
          <w:rFonts w:cs="Times New Roman"/>
          <w:b/>
          <w:i/>
          <w:szCs w:val="24"/>
        </w:rPr>
        <w:t>refer to Tort liability as well</w:t>
      </w:r>
      <w:r w:rsidR="00CE3ED5">
        <w:rPr>
          <w:rFonts w:cs="Times New Roman"/>
          <w:i/>
          <w:szCs w:val="24"/>
        </w:rPr>
        <w:t>]</w:t>
      </w:r>
    </w:p>
    <w:p w14:paraId="471E588D" w14:textId="77777777" w:rsidR="00DB74E5" w:rsidRDefault="00DB74E5" w:rsidP="00DB74E5">
      <w:pPr>
        <w:pStyle w:val="ListParagraph"/>
      </w:pPr>
    </w:p>
    <w:p w14:paraId="41525F28" w14:textId="67212A54" w:rsidR="00DB74E5" w:rsidRDefault="00477AF1" w:rsidP="00B21502">
      <w:pPr>
        <w:pStyle w:val="NoSpacing"/>
        <w:numPr>
          <w:ilvl w:val="1"/>
          <w:numId w:val="15"/>
        </w:numPr>
        <w:rPr>
          <w:rFonts w:cs="Times New Roman"/>
          <w:szCs w:val="24"/>
        </w:rPr>
      </w:pPr>
      <w:r w:rsidRPr="00477AF1">
        <w:rPr>
          <w:rFonts w:cs="Times New Roman"/>
          <w:i/>
          <w:szCs w:val="24"/>
        </w:rPr>
        <w:t>Best Endeavours</w:t>
      </w:r>
      <w:r>
        <w:rPr>
          <w:rFonts w:cs="Times New Roman"/>
          <w:szCs w:val="24"/>
        </w:rPr>
        <w:t xml:space="preserve"> – Use their best endeavours to protect the client’s interest and to exercise reasonable care and skill in carrying out by all proper means the client’s instructions in the matters to which the retainer relates.</w:t>
      </w:r>
    </w:p>
    <w:p w14:paraId="5C0D19BF" w14:textId="19A7B3F3" w:rsidR="00CA6F4E" w:rsidRDefault="00CA6F4E" w:rsidP="00B21502">
      <w:pPr>
        <w:pStyle w:val="NoSpacing"/>
        <w:numPr>
          <w:ilvl w:val="2"/>
          <w:numId w:val="15"/>
        </w:numPr>
        <w:rPr>
          <w:rFonts w:cs="Times New Roman"/>
          <w:szCs w:val="24"/>
        </w:rPr>
      </w:pPr>
      <w:r w:rsidRPr="00CA6F4E">
        <w:rPr>
          <w:rFonts w:cs="Times New Roman"/>
          <w:i/>
          <w:szCs w:val="24"/>
        </w:rPr>
        <w:t xml:space="preserve">Groom v Crocker; </w:t>
      </w:r>
      <w:proofErr w:type="spellStart"/>
      <w:r w:rsidRPr="00CA6F4E">
        <w:rPr>
          <w:rFonts w:cs="Times New Roman"/>
          <w:i/>
          <w:szCs w:val="24"/>
        </w:rPr>
        <w:t>Astley</w:t>
      </w:r>
      <w:proofErr w:type="spellEnd"/>
      <w:r w:rsidRPr="00CA6F4E">
        <w:rPr>
          <w:rFonts w:cs="Times New Roman"/>
          <w:i/>
          <w:szCs w:val="24"/>
        </w:rPr>
        <w:t xml:space="preserve"> v </w:t>
      </w:r>
      <w:proofErr w:type="spellStart"/>
      <w:r w:rsidRPr="00CA6F4E">
        <w:rPr>
          <w:rFonts w:cs="Times New Roman"/>
          <w:i/>
          <w:szCs w:val="24"/>
        </w:rPr>
        <w:t>Austrust</w:t>
      </w:r>
      <w:proofErr w:type="spellEnd"/>
      <w:r w:rsidRPr="00CA6F4E">
        <w:rPr>
          <w:rFonts w:cs="Times New Roman"/>
          <w:i/>
          <w:szCs w:val="24"/>
        </w:rPr>
        <w:t xml:space="preserve"> Ltd</w:t>
      </w:r>
      <w:r>
        <w:rPr>
          <w:rFonts w:cs="Times New Roman"/>
          <w:szCs w:val="24"/>
        </w:rPr>
        <w:t xml:space="preserve"> (1999)</w:t>
      </w:r>
    </w:p>
    <w:p w14:paraId="247993A0" w14:textId="77777777" w:rsidR="00477AF1" w:rsidRDefault="00477AF1" w:rsidP="00477AF1">
      <w:pPr>
        <w:pStyle w:val="NoSpacing"/>
        <w:ind w:left="1440"/>
        <w:rPr>
          <w:rFonts w:cs="Times New Roman"/>
          <w:szCs w:val="24"/>
        </w:rPr>
      </w:pPr>
    </w:p>
    <w:p w14:paraId="04B61CF6" w14:textId="645569A4" w:rsidR="00C47AD8" w:rsidRDefault="00BA1544" w:rsidP="00B21502">
      <w:pPr>
        <w:pStyle w:val="NoSpacing"/>
        <w:numPr>
          <w:ilvl w:val="1"/>
          <w:numId w:val="15"/>
        </w:numPr>
        <w:rPr>
          <w:rFonts w:cs="Times New Roman"/>
          <w:szCs w:val="24"/>
        </w:rPr>
      </w:pPr>
      <w:r>
        <w:rPr>
          <w:rFonts w:cs="Times New Roman"/>
          <w:i/>
          <w:szCs w:val="24"/>
        </w:rPr>
        <w:t xml:space="preserve">Proof of </w:t>
      </w:r>
      <w:r w:rsidR="00E66112">
        <w:rPr>
          <w:rFonts w:cs="Times New Roman"/>
          <w:i/>
          <w:szCs w:val="24"/>
        </w:rPr>
        <w:t xml:space="preserve">Implied Retainer from </w:t>
      </w:r>
      <w:r>
        <w:rPr>
          <w:rFonts w:cs="Times New Roman"/>
          <w:i/>
          <w:szCs w:val="24"/>
        </w:rPr>
        <w:t xml:space="preserve">Facts and Circumstances </w:t>
      </w:r>
      <w:r>
        <w:rPr>
          <w:rFonts w:cs="Times New Roman"/>
          <w:szCs w:val="24"/>
        </w:rPr>
        <w:t xml:space="preserve">– </w:t>
      </w:r>
      <w:r w:rsidR="00B04119">
        <w:rPr>
          <w:rFonts w:cs="Times New Roman"/>
          <w:szCs w:val="24"/>
        </w:rPr>
        <w:t>Proof of an implied retainer rests on proof of facts and circumstances sufficient to establish a tacit agree</w:t>
      </w:r>
      <w:r w:rsidR="0080177C">
        <w:rPr>
          <w:rFonts w:cs="Times New Roman"/>
          <w:szCs w:val="24"/>
        </w:rPr>
        <w:t xml:space="preserve">ment to provide legal services </w:t>
      </w:r>
      <w:proofErr w:type="spellStart"/>
      <w:r w:rsidR="00B04119" w:rsidRPr="0080177C">
        <w:rPr>
          <w:rFonts w:cs="Times New Roman"/>
          <w:i/>
          <w:szCs w:val="24"/>
        </w:rPr>
        <w:t>Pegrum</w:t>
      </w:r>
      <w:proofErr w:type="spellEnd"/>
      <w:r w:rsidR="00B04119" w:rsidRPr="0080177C">
        <w:rPr>
          <w:rFonts w:cs="Times New Roman"/>
          <w:i/>
          <w:szCs w:val="24"/>
        </w:rPr>
        <w:t xml:space="preserve"> v </w:t>
      </w:r>
      <w:proofErr w:type="spellStart"/>
      <w:r w:rsidR="00B04119" w:rsidRPr="0080177C">
        <w:rPr>
          <w:rFonts w:cs="Times New Roman"/>
          <w:i/>
          <w:szCs w:val="24"/>
        </w:rPr>
        <w:t>Fatharly</w:t>
      </w:r>
      <w:proofErr w:type="spellEnd"/>
      <w:r w:rsidR="00B04119" w:rsidRPr="0080177C">
        <w:rPr>
          <w:rFonts w:cs="Times New Roman"/>
          <w:i/>
          <w:szCs w:val="24"/>
        </w:rPr>
        <w:t xml:space="preserve"> (1996)</w:t>
      </w:r>
    </w:p>
    <w:p w14:paraId="409745E3" w14:textId="2508B4BF" w:rsidR="004875AA" w:rsidRPr="00C47AD8" w:rsidRDefault="004875AA" w:rsidP="00B21502">
      <w:pPr>
        <w:pStyle w:val="NoSpacing"/>
        <w:numPr>
          <w:ilvl w:val="2"/>
          <w:numId w:val="15"/>
        </w:numPr>
        <w:rPr>
          <w:rFonts w:cs="Times New Roman"/>
          <w:szCs w:val="24"/>
        </w:rPr>
      </w:pPr>
      <w:r>
        <w:rPr>
          <w:rFonts w:cs="Times New Roman"/>
          <w:szCs w:val="24"/>
        </w:rPr>
        <w:t>Its existence is determined by inference from objective facts not merely by the lawyer’s belief as to which clients he or she was acting for</w:t>
      </w:r>
      <w:r w:rsidR="008B2D7F">
        <w:rPr>
          <w:rFonts w:cs="Times New Roman"/>
          <w:szCs w:val="24"/>
        </w:rPr>
        <w:t xml:space="preserve"> per </w:t>
      </w:r>
      <w:r w:rsidR="008B2D7F" w:rsidRPr="008B2D7F">
        <w:rPr>
          <w:rFonts w:cs="Times New Roman"/>
          <w:i/>
          <w:szCs w:val="24"/>
        </w:rPr>
        <w:t>Burke v LFOT (2000)</w:t>
      </w:r>
    </w:p>
    <w:p w14:paraId="5981C2B0" w14:textId="77777777" w:rsidR="00C47AD8" w:rsidRDefault="00C47AD8" w:rsidP="00C47AD8">
      <w:pPr>
        <w:pStyle w:val="NoSpacing"/>
        <w:ind w:left="1440"/>
        <w:rPr>
          <w:rFonts w:cs="Times New Roman"/>
          <w:szCs w:val="24"/>
        </w:rPr>
      </w:pPr>
    </w:p>
    <w:p w14:paraId="4DFB1E85" w14:textId="3D7942C0" w:rsidR="00B027C8" w:rsidRDefault="00B027C8" w:rsidP="00B027C8">
      <w:pPr>
        <w:pStyle w:val="NoSpacing"/>
        <w:rPr>
          <w:rFonts w:cs="Times New Roman"/>
          <w:szCs w:val="24"/>
        </w:rPr>
      </w:pPr>
      <w:proofErr w:type="spellStart"/>
      <w:r w:rsidRPr="0080177C">
        <w:rPr>
          <w:rFonts w:cs="Times New Roman"/>
          <w:i/>
          <w:szCs w:val="24"/>
        </w:rPr>
        <w:t>Pegrum</w:t>
      </w:r>
      <w:proofErr w:type="spellEnd"/>
      <w:r w:rsidRPr="0080177C">
        <w:rPr>
          <w:rFonts w:cs="Times New Roman"/>
          <w:i/>
          <w:szCs w:val="24"/>
        </w:rPr>
        <w:t xml:space="preserve"> v </w:t>
      </w:r>
      <w:proofErr w:type="spellStart"/>
      <w:r w:rsidRPr="0080177C">
        <w:rPr>
          <w:rFonts w:cs="Times New Roman"/>
          <w:i/>
          <w:szCs w:val="24"/>
        </w:rPr>
        <w:t>Fatharly</w:t>
      </w:r>
      <w:proofErr w:type="spellEnd"/>
    </w:p>
    <w:p w14:paraId="4A10A675" w14:textId="299BCF98" w:rsidR="00B027C8" w:rsidRDefault="000B4A46" w:rsidP="00B027C8">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imes New Roman"/>
          <w:szCs w:val="24"/>
        </w:rPr>
      </w:pPr>
      <w:r>
        <w:rPr>
          <w:rFonts w:cs="Times New Roman"/>
          <w:szCs w:val="24"/>
        </w:rPr>
        <w:t xml:space="preserve">The alleged client </w:t>
      </w:r>
      <w:r w:rsidRPr="00D07C35">
        <w:rPr>
          <w:rFonts w:cs="Times New Roman"/>
          <w:b/>
          <w:szCs w:val="24"/>
        </w:rPr>
        <w:t>bears the onus of proving the retainer where he or she wishes to make the lawyer accountable for breaching a duty, whether legal or equitable</w:t>
      </w:r>
      <w:r>
        <w:rPr>
          <w:rFonts w:cs="Times New Roman"/>
          <w:szCs w:val="24"/>
        </w:rPr>
        <w:t xml:space="preserve">. </w:t>
      </w:r>
      <w:r w:rsidR="00316A54">
        <w:rPr>
          <w:rFonts w:cs="Times New Roman"/>
          <w:szCs w:val="24"/>
        </w:rPr>
        <w:t xml:space="preserve">A client succeeds in </w:t>
      </w:r>
      <w:r w:rsidR="00D07C35">
        <w:rPr>
          <w:rFonts w:cs="Times New Roman"/>
          <w:szCs w:val="24"/>
        </w:rPr>
        <w:t>substantiating</w:t>
      </w:r>
      <w:r w:rsidR="00316A54">
        <w:rPr>
          <w:rFonts w:cs="Times New Roman"/>
          <w:szCs w:val="24"/>
        </w:rPr>
        <w:t xml:space="preserve"> a retainer does not guarantee relief unless they can also establish a </w:t>
      </w:r>
      <w:proofErr w:type="spellStart"/>
      <w:r w:rsidR="00316A54">
        <w:rPr>
          <w:rFonts w:cs="Times New Roman"/>
          <w:szCs w:val="24"/>
        </w:rPr>
        <w:t>casual</w:t>
      </w:r>
      <w:proofErr w:type="spellEnd"/>
      <w:r w:rsidR="00316A54">
        <w:rPr>
          <w:rFonts w:cs="Times New Roman"/>
          <w:szCs w:val="24"/>
        </w:rPr>
        <w:t xml:space="preserve"> link between breach and loss the client has suffered. </w:t>
      </w:r>
    </w:p>
    <w:p w14:paraId="6BFAAE70" w14:textId="090BF60A" w:rsidR="00316A54" w:rsidRDefault="00316A54" w:rsidP="00B027C8">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imes New Roman"/>
          <w:szCs w:val="24"/>
        </w:rPr>
      </w:pPr>
      <w:r>
        <w:rPr>
          <w:rFonts w:cs="Times New Roman"/>
          <w:szCs w:val="24"/>
        </w:rPr>
        <w:t>Held: A solicitor</w:t>
      </w:r>
      <w:r w:rsidR="00F97190">
        <w:rPr>
          <w:rFonts w:cs="Times New Roman"/>
          <w:szCs w:val="24"/>
        </w:rPr>
        <w:t>–</w:t>
      </w:r>
      <w:r>
        <w:rPr>
          <w:rFonts w:cs="Times New Roman"/>
          <w:szCs w:val="24"/>
        </w:rPr>
        <w:t>client relationship did exist.</w:t>
      </w:r>
    </w:p>
    <w:p w14:paraId="764E9D2E" w14:textId="77777777" w:rsidR="006073BE" w:rsidRDefault="007D6AA0" w:rsidP="00B21502">
      <w:pPr>
        <w:pStyle w:val="NoSpacing"/>
        <w:numPr>
          <w:ilvl w:val="0"/>
          <w:numId w:val="15"/>
        </w:numPr>
        <w:rPr>
          <w:rFonts w:cs="Times New Roman"/>
          <w:szCs w:val="24"/>
        </w:rPr>
      </w:pPr>
      <w:r w:rsidRPr="00AA4660">
        <w:rPr>
          <w:rFonts w:cs="Times New Roman"/>
          <w:b/>
          <w:i/>
          <w:szCs w:val="24"/>
        </w:rPr>
        <w:lastRenderedPageBreak/>
        <w:t>Multiple Lawyers</w:t>
      </w:r>
      <w:r>
        <w:rPr>
          <w:rFonts w:cs="Times New Roman"/>
          <w:i/>
          <w:szCs w:val="24"/>
        </w:rPr>
        <w:t xml:space="preserve"> </w:t>
      </w:r>
      <w:r>
        <w:rPr>
          <w:rFonts w:cs="Times New Roman"/>
          <w:szCs w:val="24"/>
        </w:rPr>
        <w:t xml:space="preserve">– Where multiple persons are involved in instructing the lawyer it is important to be clear regarding the identity of the clients. </w:t>
      </w:r>
    </w:p>
    <w:p w14:paraId="5336B6DD" w14:textId="1FAACB86" w:rsidR="007D6AA0" w:rsidRDefault="007D6AA0" w:rsidP="00B21502">
      <w:pPr>
        <w:pStyle w:val="NoSpacing"/>
        <w:numPr>
          <w:ilvl w:val="1"/>
          <w:numId w:val="15"/>
        </w:numPr>
        <w:rPr>
          <w:rFonts w:cs="Times New Roman"/>
          <w:szCs w:val="24"/>
        </w:rPr>
      </w:pPr>
      <w:r>
        <w:rPr>
          <w:rFonts w:cs="Times New Roman"/>
          <w:szCs w:val="24"/>
        </w:rPr>
        <w:t>Particularly where there may be conflict between two or more persons giving that instruction the lawyer should make it clear for whom he or she acts and actively dispel any impression that he or she has assumed a retainer with any other person in the matter</w:t>
      </w:r>
      <w:r w:rsidR="006073BE">
        <w:rPr>
          <w:rFonts w:cs="Times New Roman"/>
          <w:szCs w:val="24"/>
        </w:rPr>
        <w:t>.</w:t>
      </w:r>
    </w:p>
    <w:p w14:paraId="11561D34" w14:textId="77777777" w:rsidR="00C47AD8" w:rsidRDefault="00C47AD8" w:rsidP="00AB536C">
      <w:pPr>
        <w:pStyle w:val="NoSpacing"/>
      </w:pPr>
    </w:p>
    <w:p w14:paraId="2D2B8DA5" w14:textId="0457AAA4" w:rsidR="00AB536C" w:rsidRPr="00167C9E" w:rsidRDefault="00447CF9" w:rsidP="00B21502">
      <w:pPr>
        <w:pStyle w:val="NoSpacing"/>
        <w:numPr>
          <w:ilvl w:val="0"/>
          <w:numId w:val="15"/>
        </w:numPr>
        <w:rPr>
          <w:rFonts w:cs="Times New Roman"/>
          <w:szCs w:val="24"/>
        </w:rPr>
      </w:pPr>
      <w:r w:rsidRPr="00C520C0">
        <w:rPr>
          <w:rFonts w:cs="Times New Roman"/>
          <w:b/>
          <w:i/>
          <w:szCs w:val="24"/>
        </w:rPr>
        <w:t>Client Access</w:t>
      </w:r>
      <w:r>
        <w:rPr>
          <w:rFonts w:cs="Times New Roman"/>
          <w:i/>
          <w:szCs w:val="24"/>
        </w:rPr>
        <w:t xml:space="preserve"> </w:t>
      </w:r>
      <w:r w:rsidR="00F97190">
        <w:rPr>
          <w:rFonts w:cs="Times New Roman"/>
          <w:szCs w:val="24"/>
        </w:rPr>
        <w:t>–</w:t>
      </w:r>
      <w:r>
        <w:rPr>
          <w:rFonts w:cs="Times New Roman"/>
          <w:szCs w:val="24"/>
        </w:rPr>
        <w:t xml:space="preserve"> </w:t>
      </w:r>
      <w:r w:rsidR="00167C9E" w:rsidRPr="008B4EEF">
        <w:rPr>
          <w:rFonts w:cs="Times New Roman"/>
          <w:i/>
          <w:szCs w:val="24"/>
        </w:rPr>
        <w:t>3.2.3(1) LPA 2004</w:t>
      </w:r>
      <w:r w:rsidR="00167C9E">
        <w:rPr>
          <w:rFonts w:cs="Times New Roman"/>
          <w:szCs w:val="24"/>
        </w:rPr>
        <w:t xml:space="preserve"> – </w:t>
      </w:r>
      <w:r w:rsidR="008B4EEF" w:rsidRPr="00167C9E">
        <w:rPr>
          <w:rFonts w:cs="Times New Roman"/>
          <w:szCs w:val="24"/>
        </w:rPr>
        <w:t>Allows a lawyer including counsel to accept instructions in a matter from a client whether or not the client has retained another lawyer in that matter</w:t>
      </w:r>
    </w:p>
    <w:p w14:paraId="64D7F625" w14:textId="77777777" w:rsidR="0070173E" w:rsidRPr="0070173E" w:rsidRDefault="0070173E" w:rsidP="0070173E">
      <w:pPr>
        <w:pStyle w:val="NoSpacing"/>
        <w:ind w:left="1440"/>
        <w:rPr>
          <w:rFonts w:cs="Times New Roman"/>
          <w:szCs w:val="24"/>
        </w:rPr>
      </w:pPr>
    </w:p>
    <w:p w14:paraId="420265B8" w14:textId="56FA2478" w:rsidR="008B4EEF" w:rsidRDefault="00167C9E" w:rsidP="00B21502">
      <w:pPr>
        <w:pStyle w:val="NoSpacing"/>
        <w:numPr>
          <w:ilvl w:val="1"/>
          <w:numId w:val="15"/>
        </w:numPr>
        <w:rPr>
          <w:rFonts w:cs="Times New Roman"/>
          <w:szCs w:val="24"/>
        </w:rPr>
      </w:pPr>
      <w:r>
        <w:rPr>
          <w:rFonts w:cs="Times New Roman"/>
          <w:i/>
          <w:szCs w:val="24"/>
        </w:rPr>
        <w:t xml:space="preserve">No statutory contract </w:t>
      </w:r>
      <w:r>
        <w:rPr>
          <w:rFonts w:cs="Times New Roman"/>
          <w:szCs w:val="24"/>
        </w:rPr>
        <w:t xml:space="preserve">– this does not establish a statutory contract between barrister and solicitor or between barrister and client, the </w:t>
      </w:r>
      <w:r w:rsidR="00FD1A29">
        <w:rPr>
          <w:rFonts w:cs="Times New Roman"/>
          <w:szCs w:val="24"/>
        </w:rPr>
        <w:t>identity</w:t>
      </w:r>
      <w:r>
        <w:rPr>
          <w:rFonts w:cs="Times New Roman"/>
          <w:szCs w:val="24"/>
        </w:rPr>
        <w:t xml:space="preserve"> of the contracting parties and the terms of the contract are determined upon the circumstances.</w:t>
      </w:r>
    </w:p>
    <w:p w14:paraId="2B85601E" w14:textId="470D3D1C" w:rsidR="00167C9E" w:rsidRPr="00A67EFD" w:rsidRDefault="00167C9E" w:rsidP="00B21502">
      <w:pPr>
        <w:pStyle w:val="NoSpacing"/>
        <w:numPr>
          <w:ilvl w:val="3"/>
          <w:numId w:val="15"/>
        </w:numPr>
        <w:rPr>
          <w:rFonts w:cs="Times New Roman"/>
          <w:szCs w:val="24"/>
        </w:rPr>
      </w:pPr>
      <w:proofErr w:type="spellStart"/>
      <w:r>
        <w:rPr>
          <w:rFonts w:cs="Times New Roman"/>
          <w:i/>
          <w:szCs w:val="24"/>
        </w:rPr>
        <w:t>Dimos</w:t>
      </w:r>
      <w:proofErr w:type="spellEnd"/>
      <w:r>
        <w:rPr>
          <w:rFonts w:cs="Times New Roman"/>
          <w:i/>
          <w:szCs w:val="24"/>
        </w:rPr>
        <w:t xml:space="preserve"> v </w:t>
      </w:r>
      <w:proofErr w:type="spellStart"/>
      <w:r>
        <w:rPr>
          <w:rFonts w:cs="Times New Roman"/>
          <w:i/>
          <w:szCs w:val="24"/>
        </w:rPr>
        <w:t>Hanos</w:t>
      </w:r>
      <w:proofErr w:type="spellEnd"/>
      <w:r>
        <w:rPr>
          <w:rFonts w:cs="Times New Roman"/>
          <w:i/>
          <w:szCs w:val="24"/>
        </w:rPr>
        <w:t xml:space="preserve"> </w:t>
      </w:r>
      <w:r>
        <w:rPr>
          <w:rFonts w:cs="Times New Roman"/>
          <w:szCs w:val="24"/>
        </w:rPr>
        <w:t>(2001)</w:t>
      </w:r>
    </w:p>
    <w:p w14:paraId="6BC97A52" w14:textId="77777777" w:rsidR="008B4EEF" w:rsidRDefault="008B4EEF" w:rsidP="008B4EEF">
      <w:pPr>
        <w:pStyle w:val="NoSpacing"/>
        <w:ind w:left="2160"/>
        <w:rPr>
          <w:rFonts w:cs="Times New Roman"/>
          <w:szCs w:val="24"/>
        </w:rPr>
      </w:pPr>
    </w:p>
    <w:p w14:paraId="3CE3CF7A" w14:textId="45660179" w:rsidR="006D7043" w:rsidRDefault="0070173E" w:rsidP="00B21502">
      <w:pPr>
        <w:pStyle w:val="NoSpacing"/>
        <w:numPr>
          <w:ilvl w:val="1"/>
          <w:numId w:val="15"/>
        </w:numPr>
        <w:rPr>
          <w:rFonts w:cs="Times New Roman"/>
          <w:szCs w:val="24"/>
        </w:rPr>
      </w:pPr>
      <w:r>
        <w:rPr>
          <w:rFonts w:cs="Times New Roman"/>
          <w:i/>
          <w:szCs w:val="24"/>
        </w:rPr>
        <w:t xml:space="preserve">Barristers Rule </w:t>
      </w:r>
      <w:r>
        <w:rPr>
          <w:rFonts w:cs="Times New Roman"/>
          <w:szCs w:val="24"/>
        </w:rPr>
        <w:t xml:space="preserve">– Impose equivalent </w:t>
      </w:r>
      <w:r w:rsidR="006D7043">
        <w:rPr>
          <w:rFonts w:cs="Times New Roman"/>
          <w:szCs w:val="24"/>
        </w:rPr>
        <w:t xml:space="preserve">requirements on barristers who consider that the </w:t>
      </w:r>
      <w:proofErr w:type="spellStart"/>
      <w:r w:rsidR="006D7043">
        <w:rPr>
          <w:rFonts w:cs="Times New Roman"/>
          <w:szCs w:val="24"/>
        </w:rPr>
        <w:t>clients</w:t>
      </w:r>
      <w:proofErr w:type="spellEnd"/>
      <w:r w:rsidR="006D7043">
        <w:rPr>
          <w:rFonts w:cs="Times New Roman"/>
          <w:szCs w:val="24"/>
        </w:rPr>
        <w:t xml:space="preserve"> interests dictate that a </w:t>
      </w:r>
      <w:r w:rsidR="0035163B">
        <w:rPr>
          <w:rFonts w:cs="Times New Roman"/>
          <w:szCs w:val="24"/>
        </w:rPr>
        <w:t>solicitor</w:t>
      </w:r>
      <w:r w:rsidR="006D7043">
        <w:rPr>
          <w:rFonts w:cs="Times New Roman"/>
          <w:szCs w:val="24"/>
        </w:rPr>
        <w:t xml:space="preserve"> be instructed [</w:t>
      </w:r>
      <w:r w:rsidR="00763AA6">
        <w:rPr>
          <w:rFonts w:cs="Times New Roman"/>
          <w:szCs w:val="24"/>
        </w:rPr>
        <w:t>Vic Bar</w:t>
      </w:r>
      <w:r w:rsidR="006D7043">
        <w:rPr>
          <w:rFonts w:cs="Times New Roman"/>
          <w:szCs w:val="24"/>
        </w:rPr>
        <w:t xml:space="preserve"> 168] and so far as record keeping is concerned </w:t>
      </w:r>
      <w:r w:rsidR="006D7043" w:rsidRPr="009E3C23">
        <w:rPr>
          <w:rFonts w:cs="Times New Roman"/>
          <w:szCs w:val="24"/>
        </w:rPr>
        <w:t>[</w:t>
      </w:r>
      <w:r w:rsidR="006D7043" w:rsidRPr="009E3C23">
        <w:rPr>
          <w:rFonts w:cs="Times New Roman"/>
          <w:i/>
          <w:szCs w:val="24"/>
        </w:rPr>
        <w:t>Vic</w:t>
      </w:r>
      <w:r w:rsidR="00892604" w:rsidRPr="009E3C23">
        <w:rPr>
          <w:rFonts w:cs="Times New Roman"/>
          <w:i/>
          <w:szCs w:val="24"/>
        </w:rPr>
        <w:t xml:space="preserve"> Bar</w:t>
      </w:r>
      <w:r w:rsidR="006D7043" w:rsidRPr="009E3C23">
        <w:rPr>
          <w:rFonts w:cs="Times New Roman"/>
          <w:i/>
          <w:szCs w:val="24"/>
        </w:rPr>
        <w:t xml:space="preserve"> </w:t>
      </w:r>
      <w:r w:rsidR="009E3C23" w:rsidRPr="009E3C23">
        <w:rPr>
          <w:rFonts w:cs="Times New Roman"/>
          <w:i/>
          <w:szCs w:val="24"/>
        </w:rPr>
        <w:t>R</w:t>
      </w:r>
      <w:r w:rsidR="006D7043" w:rsidRPr="009E3C23">
        <w:rPr>
          <w:rFonts w:cs="Times New Roman"/>
          <w:szCs w:val="24"/>
        </w:rPr>
        <w:t>174]</w:t>
      </w:r>
    </w:p>
    <w:p w14:paraId="7348F351" w14:textId="77777777" w:rsidR="00BB587B" w:rsidRDefault="00BB587B" w:rsidP="0035163B">
      <w:pPr>
        <w:pStyle w:val="NoSpacing"/>
        <w:ind w:left="1440"/>
        <w:rPr>
          <w:rFonts w:cs="Times New Roman"/>
          <w:szCs w:val="24"/>
        </w:rPr>
      </w:pPr>
    </w:p>
    <w:p w14:paraId="5ABD4724" w14:textId="1A5CF5EF" w:rsidR="00844F56" w:rsidRDefault="00844F56" w:rsidP="00844F56">
      <w:pPr>
        <w:pStyle w:val="NoSpacing"/>
        <w:rPr>
          <w:rFonts w:cs="Times New Roman"/>
          <w:b/>
          <w:szCs w:val="24"/>
          <w:u w:val="single"/>
        </w:rPr>
      </w:pPr>
      <w:r>
        <w:rPr>
          <w:rFonts w:cs="Times New Roman"/>
          <w:b/>
          <w:szCs w:val="24"/>
          <w:u w:val="single"/>
        </w:rPr>
        <w:t>Authority of Lawyers under the Retainer</w:t>
      </w:r>
    </w:p>
    <w:p w14:paraId="7B539A0D" w14:textId="77777777" w:rsidR="00844F56" w:rsidRDefault="00844F56" w:rsidP="00844F56">
      <w:pPr>
        <w:pStyle w:val="NoSpacing"/>
        <w:rPr>
          <w:rFonts w:cs="Times New Roman"/>
          <w:b/>
          <w:szCs w:val="24"/>
          <w:u w:val="single"/>
        </w:rPr>
      </w:pPr>
    </w:p>
    <w:p w14:paraId="02A12456" w14:textId="2BA31B03" w:rsidR="00266459" w:rsidRDefault="00266459" w:rsidP="007536E9">
      <w:pPr>
        <w:pStyle w:val="NoSpacing"/>
        <w:rPr>
          <w:rFonts w:cs="Times New Roman"/>
          <w:szCs w:val="24"/>
        </w:rPr>
      </w:pPr>
      <w:r w:rsidRPr="00BE7E23">
        <w:rPr>
          <w:rFonts w:cs="Times New Roman"/>
          <w:b/>
          <w:i/>
          <w:szCs w:val="24"/>
        </w:rPr>
        <w:t>Actual Authority</w:t>
      </w:r>
      <w:r>
        <w:rPr>
          <w:rFonts w:cs="Times New Roman"/>
          <w:i/>
          <w:szCs w:val="24"/>
        </w:rPr>
        <w:t xml:space="preserve"> </w:t>
      </w:r>
      <w:r>
        <w:rPr>
          <w:rFonts w:cs="Times New Roman"/>
          <w:szCs w:val="24"/>
        </w:rPr>
        <w:t xml:space="preserve">– </w:t>
      </w:r>
    </w:p>
    <w:p w14:paraId="4E1CA3E8" w14:textId="6545F972" w:rsidR="00266459" w:rsidRDefault="00266459" w:rsidP="00BE7E23">
      <w:pPr>
        <w:pStyle w:val="NoSpacing"/>
        <w:ind w:left="1440"/>
        <w:rPr>
          <w:rFonts w:cs="Times New Roman"/>
          <w:szCs w:val="24"/>
        </w:rPr>
      </w:pPr>
    </w:p>
    <w:p w14:paraId="4BE01E51" w14:textId="0234BF7A" w:rsidR="00BE7E23" w:rsidRDefault="005C42C9" w:rsidP="00B21502">
      <w:pPr>
        <w:pStyle w:val="NoSpacing"/>
        <w:numPr>
          <w:ilvl w:val="0"/>
          <w:numId w:val="16"/>
        </w:numPr>
        <w:rPr>
          <w:rFonts w:cs="Times New Roman"/>
          <w:szCs w:val="24"/>
        </w:rPr>
      </w:pPr>
      <w:r>
        <w:rPr>
          <w:rFonts w:cs="Times New Roman"/>
          <w:i/>
          <w:szCs w:val="24"/>
        </w:rPr>
        <w:t xml:space="preserve">Definition – </w:t>
      </w:r>
      <w:r>
        <w:rPr>
          <w:rFonts w:cs="Times New Roman"/>
          <w:szCs w:val="24"/>
        </w:rPr>
        <w:t>A legal relationship between principal and agent created by a consensual agreement to which they alone are the parties</w:t>
      </w:r>
    </w:p>
    <w:p w14:paraId="3CA24FBC" w14:textId="5AC3D90D" w:rsidR="005C42C9" w:rsidRPr="0076734F" w:rsidRDefault="00ED64BD" w:rsidP="00B21502">
      <w:pPr>
        <w:pStyle w:val="NoSpacing"/>
        <w:numPr>
          <w:ilvl w:val="2"/>
          <w:numId w:val="16"/>
        </w:numPr>
        <w:rPr>
          <w:rFonts w:cs="Times New Roman"/>
          <w:szCs w:val="24"/>
        </w:rPr>
      </w:pPr>
      <w:r w:rsidRPr="00ED64BD">
        <w:rPr>
          <w:rFonts w:cs="Times New Roman"/>
          <w:i/>
          <w:szCs w:val="24"/>
        </w:rPr>
        <w:t xml:space="preserve">Freeman &amp; Lockyer v </w:t>
      </w:r>
      <w:proofErr w:type="spellStart"/>
      <w:r w:rsidRPr="00ED64BD">
        <w:rPr>
          <w:rFonts w:cs="Times New Roman"/>
          <w:i/>
          <w:szCs w:val="24"/>
        </w:rPr>
        <w:t>Buckhurt</w:t>
      </w:r>
      <w:proofErr w:type="spellEnd"/>
      <w:r w:rsidRPr="00ED64BD">
        <w:rPr>
          <w:rFonts w:cs="Times New Roman"/>
          <w:i/>
          <w:szCs w:val="24"/>
        </w:rPr>
        <w:t xml:space="preserve"> Park Properties</w:t>
      </w:r>
    </w:p>
    <w:p w14:paraId="77DE9114" w14:textId="77777777" w:rsidR="0076734F" w:rsidRPr="0076734F" w:rsidRDefault="0076734F" w:rsidP="0076734F">
      <w:pPr>
        <w:pStyle w:val="NoSpacing"/>
        <w:ind w:left="2160"/>
        <w:rPr>
          <w:rFonts w:cs="Times New Roman"/>
          <w:szCs w:val="24"/>
        </w:rPr>
      </w:pPr>
    </w:p>
    <w:p w14:paraId="413D807B" w14:textId="254B7BB9" w:rsidR="0076734F" w:rsidRPr="00795E07" w:rsidRDefault="0076734F" w:rsidP="00B21502">
      <w:pPr>
        <w:pStyle w:val="ListParagraph"/>
        <w:numPr>
          <w:ilvl w:val="0"/>
          <w:numId w:val="16"/>
        </w:numPr>
      </w:pPr>
      <w:r w:rsidRPr="000800DD">
        <w:rPr>
          <w:i/>
        </w:rPr>
        <w:t>Professional Rules</w:t>
      </w:r>
      <w:r w:rsidR="000800DD">
        <w:t xml:space="preserve"> </w:t>
      </w:r>
      <w:r w:rsidR="000800DD" w:rsidRPr="007E64EA">
        <w:rPr>
          <w:i/>
        </w:rPr>
        <w:t>–</w:t>
      </w:r>
      <w:r w:rsidR="007E64EA">
        <w:rPr>
          <w:i/>
        </w:rPr>
        <w:t xml:space="preserve"> </w:t>
      </w:r>
      <w:r w:rsidRPr="007E64EA">
        <w:rPr>
          <w:i/>
        </w:rPr>
        <w:t xml:space="preserve">PCPR </w:t>
      </w:r>
      <w:r w:rsidR="00795E07" w:rsidRPr="007E64EA">
        <w:rPr>
          <w:i/>
        </w:rPr>
        <w:t>R</w:t>
      </w:r>
      <w:r w:rsidRPr="007E64EA">
        <w:rPr>
          <w:i/>
        </w:rPr>
        <w:t xml:space="preserve">12 – </w:t>
      </w:r>
      <w:r w:rsidRPr="00795E07">
        <w:t xml:space="preserve">A practitioner has an obligation to follow their client’s instructions and cannot act without their instructions, unless to do so would involve acting unlawfully or would be in breach of their overriding duty to the court: </w:t>
      </w:r>
    </w:p>
    <w:p w14:paraId="7F91034F" w14:textId="77777777" w:rsidR="009A76C6" w:rsidRPr="009A76C6" w:rsidRDefault="009A76C6" w:rsidP="009A76C6">
      <w:pPr>
        <w:pStyle w:val="NoSpacing"/>
        <w:ind w:left="2160"/>
        <w:rPr>
          <w:rFonts w:cs="Times New Roman"/>
          <w:szCs w:val="24"/>
        </w:rPr>
      </w:pPr>
    </w:p>
    <w:p w14:paraId="078D0068" w14:textId="77777777" w:rsidR="00826BCD" w:rsidRDefault="00826BCD" w:rsidP="00B21502">
      <w:pPr>
        <w:pStyle w:val="NoSpacing"/>
        <w:numPr>
          <w:ilvl w:val="0"/>
          <w:numId w:val="16"/>
        </w:numPr>
        <w:rPr>
          <w:rFonts w:cs="Times New Roman"/>
          <w:szCs w:val="24"/>
        </w:rPr>
      </w:pPr>
      <w:r>
        <w:rPr>
          <w:rFonts w:cs="Times New Roman"/>
          <w:i/>
          <w:szCs w:val="24"/>
        </w:rPr>
        <w:t xml:space="preserve">Scope </w:t>
      </w:r>
      <w:r>
        <w:rPr>
          <w:rFonts w:cs="Times New Roman"/>
          <w:szCs w:val="24"/>
        </w:rPr>
        <w:t>– Ascertained through the application of normal contract principles, the express words used and any associated conduct between the parties.</w:t>
      </w:r>
    </w:p>
    <w:p w14:paraId="4542BF9F" w14:textId="77777777" w:rsidR="00826BCD" w:rsidRDefault="00826BCD" w:rsidP="00826BCD">
      <w:pPr>
        <w:pStyle w:val="NoSpacing"/>
        <w:ind w:left="1440"/>
        <w:rPr>
          <w:rFonts w:cs="Times New Roman"/>
          <w:szCs w:val="24"/>
        </w:rPr>
      </w:pPr>
    </w:p>
    <w:p w14:paraId="1E997101" w14:textId="610BC2BE" w:rsidR="009A76C6" w:rsidRDefault="009767A1" w:rsidP="00B21502">
      <w:pPr>
        <w:pStyle w:val="NoSpacing"/>
        <w:numPr>
          <w:ilvl w:val="0"/>
          <w:numId w:val="16"/>
        </w:numPr>
        <w:rPr>
          <w:rFonts w:cs="Times New Roman"/>
          <w:szCs w:val="24"/>
        </w:rPr>
      </w:pPr>
      <w:r>
        <w:rPr>
          <w:rFonts w:cs="Times New Roman"/>
          <w:i/>
          <w:szCs w:val="24"/>
        </w:rPr>
        <w:t xml:space="preserve">Agent binds principal </w:t>
      </w:r>
      <w:r w:rsidR="00086F62">
        <w:rPr>
          <w:rFonts w:cs="Times New Roman"/>
          <w:szCs w:val="24"/>
        </w:rPr>
        <w:t>–</w:t>
      </w:r>
      <w:r>
        <w:rPr>
          <w:rFonts w:cs="Times New Roman"/>
          <w:szCs w:val="24"/>
        </w:rPr>
        <w:t xml:space="preserve"> </w:t>
      </w:r>
      <w:r w:rsidR="00086F62">
        <w:rPr>
          <w:rFonts w:cs="Times New Roman"/>
          <w:szCs w:val="24"/>
        </w:rPr>
        <w:t xml:space="preserve">An agent who acts within their actual authority binds the principal </w:t>
      </w:r>
      <w:r w:rsidR="00FA33DC">
        <w:rPr>
          <w:rFonts w:cs="Times New Roman"/>
          <w:szCs w:val="24"/>
        </w:rPr>
        <w:t xml:space="preserve">as they have </w:t>
      </w:r>
      <w:r w:rsidR="002B57E1">
        <w:rPr>
          <w:rFonts w:cs="Times New Roman"/>
          <w:szCs w:val="24"/>
        </w:rPr>
        <w:t>provided</w:t>
      </w:r>
      <w:r w:rsidR="00FA33DC">
        <w:rPr>
          <w:rFonts w:cs="Times New Roman"/>
          <w:szCs w:val="24"/>
        </w:rPr>
        <w:t xml:space="preserve"> express authorisation </w:t>
      </w:r>
      <w:r w:rsidR="00764CF2">
        <w:rPr>
          <w:rFonts w:cs="Times New Roman"/>
          <w:szCs w:val="24"/>
        </w:rPr>
        <w:t xml:space="preserve">for the agent </w:t>
      </w:r>
      <w:r w:rsidR="00FA33DC">
        <w:rPr>
          <w:rFonts w:cs="Times New Roman"/>
          <w:szCs w:val="24"/>
        </w:rPr>
        <w:t xml:space="preserve">to act in a </w:t>
      </w:r>
      <w:r w:rsidR="00150A63">
        <w:rPr>
          <w:rFonts w:cs="Times New Roman"/>
          <w:szCs w:val="24"/>
        </w:rPr>
        <w:t>particular</w:t>
      </w:r>
      <w:r w:rsidR="00FA33DC">
        <w:rPr>
          <w:rFonts w:cs="Times New Roman"/>
          <w:szCs w:val="24"/>
        </w:rPr>
        <w:t xml:space="preserve"> way which the principal cannot dispute if they have agreed to such conduct.</w:t>
      </w:r>
      <w:r w:rsidR="00826BCD">
        <w:rPr>
          <w:rFonts w:cs="Times New Roman"/>
          <w:szCs w:val="24"/>
        </w:rPr>
        <w:t xml:space="preserve"> </w:t>
      </w:r>
    </w:p>
    <w:p w14:paraId="21215A40" w14:textId="77777777" w:rsidR="0096298B" w:rsidRDefault="0096298B" w:rsidP="0096298B">
      <w:pPr>
        <w:pStyle w:val="ListParagraph"/>
      </w:pPr>
    </w:p>
    <w:p w14:paraId="03B7115A" w14:textId="68E1951E" w:rsidR="0096298B" w:rsidRDefault="0096298B" w:rsidP="00B21502">
      <w:pPr>
        <w:pStyle w:val="NoSpacing"/>
        <w:numPr>
          <w:ilvl w:val="0"/>
          <w:numId w:val="16"/>
        </w:numPr>
        <w:rPr>
          <w:rFonts w:cs="Times New Roman"/>
          <w:szCs w:val="24"/>
        </w:rPr>
      </w:pPr>
      <w:r>
        <w:rPr>
          <w:rFonts w:cs="Times New Roman"/>
          <w:i/>
          <w:szCs w:val="24"/>
        </w:rPr>
        <w:t xml:space="preserve">Lawyer </w:t>
      </w:r>
      <w:r w:rsidRPr="0096298B">
        <w:rPr>
          <w:rFonts w:cs="Times New Roman"/>
          <w:i/>
          <w:szCs w:val="24"/>
        </w:rPr>
        <w:t>Unsure?</w:t>
      </w:r>
      <w:r>
        <w:rPr>
          <w:rFonts w:cs="Times New Roman"/>
          <w:szCs w:val="24"/>
        </w:rPr>
        <w:t xml:space="preserve"> – The lawyer should seek advice from the client as to whether they are within their actual authority and relevantly seek prospective written authority from their client per </w:t>
      </w:r>
      <w:r>
        <w:rPr>
          <w:rFonts w:cs="Times New Roman"/>
          <w:i/>
          <w:szCs w:val="24"/>
        </w:rPr>
        <w:t>Groom v Crocker</w:t>
      </w:r>
    </w:p>
    <w:p w14:paraId="63238C53" w14:textId="77777777" w:rsidR="00427853" w:rsidRDefault="00427853" w:rsidP="00427853">
      <w:pPr>
        <w:pStyle w:val="ListParagraph"/>
      </w:pPr>
    </w:p>
    <w:p w14:paraId="283407D5" w14:textId="77777777" w:rsidR="00514E1C" w:rsidRPr="00514E1C" w:rsidRDefault="00514E1C" w:rsidP="00B21502">
      <w:pPr>
        <w:pStyle w:val="NoSpacing"/>
        <w:numPr>
          <w:ilvl w:val="0"/>
          <w:numId w:val="16"/>
        </w:numPr>
        <w:rPr>
          <w:rFonts w:cs="Times New Roman"/>
          <w:szCs w:val="24"/>
        </w:rPr>
      </w:pPr>
      <w:r w:rsidRPr="00514E1C">
        <w:rPr>
          <w:rFonts w:cs="Times New Roman"/>
          <w:b/>
          <w:i/>
          <w:szCs w:val="24"/>
        </w:rPr>
        <w:t>Implied Authority</w:t>
      </w:r>
      <w:r>
        <w:rPr>
          <w:rFonts w:cs="Times New Roman"/>
          <w:i/>
          <w:szCs w:val="24"/>
        </w:rPr>
        <w:t xml:space="preserve"> – </w:t>
      </w:r>
    </w:p>
    <w:p w14:paraId="5161F41D" w14:textId="77777777" w:rsidR="00514E1C" w:rsidRDefault="00514E1C" w:rsidP="00514E1C">
      <w:pPr>
        <w:pStyle w:val="NoSpacing"/>
        <w:ind w:left="1440"/>
        <w:rPr>
          <w:rFonts w:cs="Times New Roman"/>
          <w:szCs w:val="24"/>
        </w:rPr>
      </w:pPr>
    </w:p>
    <w:p w14:paraId="5149E8D2" w14:textId="2F714A16" w:rsidR="00844F56" w:rsidRDefault="002B591E" w:rsidP="00B21502">
      <w:pPr>
        <w:pStyle w:val="NoSpacing"/>
        <w:numPr>
          <w:ilvl w:val="1"/>
          <w:numId w:val="16"/>
        </w:numPr>
        <w:rPr>
          <w:rFonts w:cs="Times New Roman"/>
          <w:szCs w:val="24"/>
        </w:rPr>
      </w:pPr>
      <w:r>
        <w:rPr>
          <w:rFonts w:cs="Times New Roman"/>
          <w:i/>
          <w:szCs w:val="24"/>
        </w:rPr>
        <w:t>All things ‘</w:t>
      </w:r>
      <w:proofErr w:type="spellStart"/>
      <w:r>
        <w:rPr>
          <w:rFonts w:cs="Times New Roman"/>
          <w:i/>
          <w:szCs w:val="24"/>
        </w:rPr>
        <w:t>incidential</w:t>
      </w:r>
      <w:proofErr w:type="spellEnd"/>
      <w:r>
        <w:rPr>
          <w:rFonts w:cs="Times New Roman"/>
          <w:i/>
          <w:szCs w:val="24"/>
        </w:rPr>
        <w:t xml:space="preserve"> to the object of representation’</w:t>
      </w:r>
    </w:p>
    <w:p w14:paraId="0E9CAC26" w14:textId="77777777" w:rsidR="00220E79" w:rsidRDefault="009A4202" w:rsidP="00B21502">
      <w:pPr>
        <w:pStyle w:val="NoSpacing"/>
        <w:numPr>
          <w:ilvl w:val="2"/>
          <w:numId w:val="16"/>
        </w:numPr>
        <w:rPr>
          <w:rFonts w:cs="Times New Roman"/>
          <w:szCs w:val="24"/>
        </w:rPr>
      </w:pPr>
      <w:r>
        <w:rPr>
          <w:rFonts w:cs="Times New Roman"/>
          <w:szCs w:val="24"/>
        </w:rPr>
        <w:t xml:space="preserve">An implied authority exists to do all things </w:t>
      </w:r>
      <w:r w:rsidR="00220E79">
        <w:rPr>
          <w:rFonts w:cs="Times New Roman"/>
          <w:szCs w:val="24"/>
        </w:rPr>
        <w:t>incidental</w:t>
      </w:r>
      <w:r>
        <w:rPr>
          <w:rFonts w:cs="Times New Roman"/>
          <w:szCs w:val="24"/>
        </w:rPr>
        <w:t xml:space="preserve"> to the object of the </w:t>
      </w:r>
      <w:r w:rsidR="00220E79">
        <w:rPr>
          <w:rFonts w:cs="Times New Roman"/>
          <w:szCs w:val="24"/>
        </w:rPr>
        <w:t xml:space="preserve">representation </w:t>
      </w:r>
    </w:p>
    <w:p w14:paraId="648DF42D" w14:textId="22B804DC" w:rsidR="002B591E" w:rsidRPr="00220E79" w:rsidRDefault="00220E79" w:rsidP="00B21502">
      <w:pPr>
        <w:pStyle w:val="NoSpacing"/>
        <w:numPr>
          <w:ilvl w:val="3"/>
          <w:numId w:val="16"/>
        </w:numPr>
        <w:rPr>
          <w:rFonts w:cs="Times New Roman"/>
          <w:szCs w:val="24"/>
        </w:rPr>
      </w:pPr>
      <w:proofErr w:type="spellStart"/>
      <w:r>
        <w:rPr>
          <w:rFonts w:cs="Times New Roman"/>
          <w:i/>
          <w:szCs w:val="24"/>
        </w:rPr>
        <w:t>Polinghorne</w:t>
      </w:r>
      <w:proofErr w:type="spellEnd"/>
      <w:r>
        <w:rPr>
          <w:rFonts w:cs="Times New Roman"/>
          <w:i/>
          <w:szCs w:val="24"/>
        </w:rPr>
        <w:t xml:space="preserve"> v Holland</w:t>
      </w:r>
    </w:p>
    <w:p w14:paraId="0E444C31" w14:textId="77777777" w:rsidR="00220E79" w:rsidRPr="009A4202" w:rsidRDefault="00220E79" w:rsidP="00220E79">
      <w:pPr>
        <w:pStyle w:val="NoSpacing"/>
        <w:ind w:left="1440"/>
        <w:rPr>
          <w:rFonts w:cs="Times New Roman"/>
          <w:szCs w:val="24"/>
        </w:rPr>
      </w:pPr>
    </w:p>
    <w:p w14:paraId="55043449" w14:textId="58A46CEA" w:rsidR="009A4202" w:rsidRDefault="00832FD2" w:rsidP="00B21502">
      <w:pPr>
        <w:pStyle w:val="NoSpacing"/>
        <w:numPr>
          <w:ilvl w:val="2"/>
          <w:numId w:val="16"/>
        </w:numPr>
        <w:rPr>
          <w:rFonts w:cs="Times New Roman"/>
          <w:szCs w:val="24"/>
        </w:rPr>
      </w:pPr>
      <w:r>
        <w:rPr>
          <w:rFonts w:cs="Times New Roman"/>
          <w:szCs w:val="24"/>
        </w:rPr>
        <w:lastRenderedPageBreak/>
        <w:t>‘the general agent of the client in all matters which may reasonably be expected to arise for the decision in this cause’</w:t>
      </w:r>
    </w:p>
    <w:p w14:paraId="36F3293F" w14:textId="2982205E" w:rsidR="00832FD2" w:rsidRPr="00832FD2" w:rsidRDefault="00832FD2" w:rsidP="00B21502">
      <w:pPr>
        <w:pStyle w:val="NoSpacing"/>
        <w:numPr>
          <w:ilvl w:val="3"/>
          <w:numId w:val="16"/>
        </w:numPr>
        <w:rPr>
          <w:rFonts w:cs="Times New Roman"/>
          <w:szCs w:val="24"/>
        </w:rPr>
      </w:pPr>
      <w:r>
        <w:rPr>
          <w:rFonts w:cs="Times New Roman"/>
          <w:i/>
          <w:szCs w:val="24"/>
        </w:rPr>
        <w:t>Prestwich v Poley</w:t>
      </w:r>
    </w:p>
    <w:p w14:paraId="189C2FAE" w14:textId="77777777" w:rsidR="00832FD2" w:rsidRPr="005C42C9" w:rsidRDefault="00832FD2" w:rsidP="005C42C9">
      <w:pPr>
        <w:pStyle w:val="NoSpacing"/>
      </w:pPr>
    </w:p>
    <w:p w14:paraId="6993CFC0" w14:textId="157A9107" w:rsidR="00C10290" w:rsidRDefault="00C10290" w:rsidP="00B21502">
      <w:pPr>
        <w:pStyle w:val="NoSpacing"/>
        <w:numPr>
          <w:ilvl w:val="1"/>
          <w:numId w:val="16"/>
        </w:numPr>
        <w:rPr>
          <w:rFonts w:cs="Times New Roman"/>
          <w:szCs w:val="24"/>
        </w:rPr>
      </w:pPr>
      <w:r>
        <w:rPr>
          <w:rFonts w:cs="Times New Roman"/>
          <w:b/>
          <w:i/>
          <w:szCs w:val="24"/>
        </w:rPr>
        <w:t xml:space="preserve">Implied authority to incur costs and disbursements </w:t>
      </w:r>
      <w:r w:rsidRPr="004F0161">
        <w:rPr>
          <w:rFonts w:cs="Times New Roman"/>
          <w:i/>
          <w:szCs w:val="24"/>
        </w:rPr>
        <w:t>[next page]</w:t>
      </w:r>
    </w:p>
    <w:p w14:paraId="563A4BCB" w14:textId="77777777" w:rsidR="00C10290" w:rsidRDefault="00C10290" w:rsidP="00C10290">
      <w:pPr>
        <w:pStyle w:val="NoSpacing"/>
        <w:rPr>
          <w:rFonts w:cs="Times New Roman"/>
          <w:szCs w:val="24"/>
        </w:rPr>
      </w:pPr>
    </w:p>
    <w:p w14:paraId="38C06675" w14:textId="77777777" w:rsidR="006F2855" w:rsidRPr="00016081" w:rsidRDefault="006F2855" w:rsidP="00C10290">
      <w:pPr>
        <w:pStyle w:val="NoSpacing"/>
        <w:rPr>
          <w:rFonts w:cs="Times New Roman"/>
          <w:szCs w:val="24"/>
        </w:rPr>
      </w:pPr>
    </w:p>
    <w:p w14:paraId="00207EC2" w14:textId="5B72A92E" w:rsidR="00832FD2" w:rsidRDefault="00D66373" w:rsidP="00B21502">
      <w:pPr>
        <w:pStyle w:val="NoSpacing"/>
        <w:numPr>
          <w:ilvl w:val="1"/>
          <w:numId w:val="16"/>
        </w:numPr>
        <w:rPr>
          <w:rFonts w:cs="Times New Roman"/>
          <w:szCs w:val="24"/>
        </w:rPr>
      </w:pPr>
      <w:r>
        <w:rPr>
          <w:rFonts w:cs="Times New Roman"/>
          <w:b/>
          <w:i/>
          <w:szCs w:val="24"/>
        </w:rPr>
        <w:t xml:space="preserve">Implied authority to incur </w:t>
      </w:r>
      <w:r w:rsidR="004C15E3">
        <w:rPr>
          <w:rFonts w:cs="Times New Roman"/>
          <w:b/>
          <w:i/>
          <w:szCs w:val="24"/>
        </w:rPr>
        <w:t xml:space="preserve">or receive </w:t>
      </w:r>
      <w:r>
        <w:rPr>
          <w:rFonts w:cs="Times New Roman"/>
          <w:b/>
          <w:i/>
          <w:szCs w:val="24"/>
        </w:rPr>
        <w:t>costs and disbursements</w:t>
      </w:r>
    </w:p>
    <w:p w14:paraId="68EA3B37" w14:textId="494FFA3C" w:rsidR="00BE4BD1" w:rsidRPr="00BE4BD1" w:rsidRDefault="00BE4BD1" w:rsidP="00B21502">
      <w:pPr>
        <w:pStyle w:val="NoSpacing"/>
        <w:numPr>
          <w:ilvl w:val="2"/>
          <w:numId w:val="16"/>
        </w:numPr>
        <w:rPr>
          <w:rFonts w:cs="Times New Roman"/>
          <w:szCs w:val="24"/>
        </w:rPr>
      </w:pPr>
      <w:r w:rsidRPr="00BE4BD1">
        <w:rPr>
          <w:rFonts w:cs="Times New Roman"/>
          <w:i/>
          <w:szCs w:val="24"/>
        </w:rPr>
        <w:t>Incur</w:t>
      </w:r>
      <w:r w:rsidR="000D3325">
        <w:rPr>
          <w:rFonts w:cs="Times New Roman"/>
          <w:i/>
          <w:szCs w:val="24"/>
        </w:rPr>
        <w:t xml:space="preserve"> Costs</w:t>
      </w:r>
      <w:r>
        <w:rPr>
          <w:rFonts w:cs="Times New Roman"/>
          <w:szCs w:val="24"/>
        </w:rPr>
        <w:t xml:space="preserve"> – </w:t>
      </w:r>
    </w:p>
    <w:p w14:paraId="6C9EB187" w14:textId="6F7497DD" w:rsidR="00D66373" w:rsidRPr="009D4946" w:rsidRDefault="000100BF" w:rsidP="00B21502">
      <w:pPr>
        <w:pStyle w:val="NoSpacing"/>
        <w:numPr>
          <w:ilvl w:val="3"/>
          <w:numId w:val="16"/>
        </w:numPr>
        <w:rPr>
          <w:rFonts w:cs="Times New Roman"/>
          <w:szCs w:val="24"/>
        </w:rPr>
      </w:pPr>
      <w:r>
        <w:rPr>
          <w:rFonts w:cs="Times New Roman"/>
          <w:i/>
          <w:szCs w:val="24"/>
        </w:rPr>
        <w:t xml:space="preserve">‘Normal’ </w:t>
      </w:r>
      <w:r w:rsidR="00E82017">
        <w:rPr>
          <w:rFonts w:cs="Times New Roman"/>
          <w:i/>
          <w:szCs w:val="24"/>
        </w:rPr>
        <w:t xml:space="preserve">Costs </w:t>
      </w:r>
      <w:r w:rsidR="00E82017">
        <w:rPr>
          <w:rFonts w:cs="Times New Roman"/>
          <w:szCs w:val="24"/>
        </w:rPr>
        <w:t xml:space="preserve">– Implied authority to incur ordinary disbursements such as service fees, filing fees, photocopying fees and the like per </w:t>
      </w:r>
      <w:proofErr w:type="spellStart"/>
      <w:r w:rsidR="00E82017">
        <w:rPr>
          <w:rFonts w:cs="Times New Roman"/>
          <w:i/>
          <w:szCs w:val="24"/>
        </w:rPr>
        <w:t>Schillro</w:t>
      </w:r>
      <w:proofErr w:type="spellEnd"/>
      <w:r w:rsidR="00E82017">
        <w:rPr>
          <w:rFonts w:cs="Times New Roman"/>
          <w:i/>
          <w:szCs w:val="24"/>
        </w:rPr>
        <w:t xml:space="preserve"> &amp; </w:t>
      </w:r>
      <w:proofErr w:type="spellStart"/>
      <w:r w:rsidR="00E82017">
        <w:rPr>
          <w:rFonts w:cs="Times New Roman"/>
          <w:i/>
          <w:szCs w:val="24"/>
        </w:rPr>
        <w:t>Gadens</w:t>
      </w:r>
      <w:proofErr w:type="spellEnd"/>
      <w:r w:rsidR="00E82017">
        <w:rPr>
          <w:rFonts w:cs="Times New Roman"/>
          <w:i/>
          <w:szCs w:val="24"/>
        </w:rPr>
        <w:t xml:space="preserve"> Rid</w:t>
      </w:r>
      <w:r w:rsidR="009D4946">
        <w:rPr>
          <w:rFonts w:cs="Times New Roman"/>
          <w:i/>
          <w:szCs w:val="24"/>
        </w:rPr>
        <w:t>g</w:t>
      </w:r>
      <w:r w:rsidR="00E82017">
        <w:rPr>
          <w:rFonts w:cs="Times New Roman"/>
          <w:i/>
          <w:szCs w:val="24"/>
        </w:rPr>
        <w:t>eway</w:t>
      </w:r>
    </w:p>
    <w:p w14:paraId="5F5664D6" w14:textId="77777777" w:rsidR="009D4946" w:rsidRPr="00E82017" w:rsidRDefault="009D4946" w:rsidP="009D4946">
      <w:pPr>
        <w:pStyle w:val="NoSpacing"/>
        <w:ind w:left="2160"/>
        <w:rPr>
          <w:rFonts w:cs="Times New Roman"/>
          <w:szCs w:val="24"/>
        </w:rPr>
      </w:pPr>
    </w:p>
    <w:p w14:paraId="53D796B1" w14:textId="520035DD" w:rsidR="00E82017" w:rsidRPr="00430499" w:rsidRDefault="005F4A30" w:rsidP="00B21502">
      <w:pPr>
        <w:pStyle w:val="NoSpacing"/>
        <w:numPr>
          <w:ilvl w:val="3"/>
          <w:numId w:val="16"/>
        </w:numPr>
        <w:rPr>
          <w:rFonts w:cs="Times New Roman"/>
          <w:szCs w:val="24"/>
        </w:rPr>
      </w:pPr>
      <w:r>
        <w:rPr>
          <w:rFonts w:cs="Times New Roman"/>
          <w:i/>
          <w:szCs w:val="24"/>
        </w:rPr>
        <w:t xml:space="preserve">Unusual Expenses </w:t>
      </w:r>
      <w:r>
        <w:rPr>
          <w:rFonts w:cs="Times New Roman"/>
          <w:szCs w:val="24"/>
        </w:rPr>
        <w:t xml:space="preserve">– The position is different in the context of unusual expenses per </w:t>
      </w:r>
      <w:r>
        <w:rPr>
          <w:rFonts w:cs="Times New Roman"/>
          <w:i/>
          <w:szCs w:val="24"/>
        </w:rPr>
        <w:t xml:space="preserve">Re Blyth &amp; </w:t>
      </w:r>
      <w:proofErr w:type="spellStart"/>
      <w:r>
        <w:rPr>
          <w:rFonts w:cs="Times New Roman"/>
          <w:i/>
          <w:szCs w:val="24"/>
        </w:rPr>
        <w:t>Fanshawe</w:t>
      </w:r>
      <w:proofErr w:type="spellEnd"/>
    </w:p>
    <w:p w14:paraId="09D910D8" w14:textId="4E86671D" w:rsidR="00430499" w:rsidRDefault="0048115E" w:rsidP="00B21502">
      <w:pPr>
        <w:pStyle w:val="NoSpacing"/>
        <w:numPr>
          <w:ilvl w:val="4"/>
          <w:numId w:val="16"/>
        </w:numPr>
        <w:rPr>
          <w:rFonts w:cs="Times New Roman"/>
          <w:szCs w:val="24"/>
        </w:rPr>
      </w:pPr>
      <w:r>
        <w:rPr>
          <w:rFonts w:cs="Times New Roman"/>
          <w:i/>
          <w:szCs w:val="24"/>
        </w:rPr>
        <w:t xml:space="preserve">Adequate Notification – </w:t>
      </w:r>
      <w:r w:rsidR="008C51D7">
        <w:rPr>
          <w:rFonts w:cs="Times New Roman"/>
          <w:szCs w:val="24"/>
        </w:rPr>
        <w:t xml:space="preserve">Must keep the client fully informed of any ‘unusual expense’ and a lawyer must not be </w:t>
      </w:r>
      <w:r w:rsidR="00EB3643">
        <w:rPr>
          <w:rFonts w:cs="Times New Roman"/>
          <w:szCs w:val="24"/>
        </w:rPr>
        <w:t>satisfied</w:t>
      </w:r>
      <w:r w:rsidR="008C51D7">
        <w:rPr>
          <w:rFonts w:cs="Times New Roman"/>
          <w:szCs w:val="24"/>
        </w:rPr>
        <w:t xml:space="preserve"> simply by taking his authority to incur such additional expenses.</w:t>
      </w:r>
    </w:p>
    <w:p w14:paraId="6239550F" w14:textId="5100034D" w:rsidR="00E52515" w:rsidRPr="00D57A3C" w:rsidRDefault="00EB3643" w:rsidP="00B21502">
      <w:pPr>
        <w:pStyle w:val="NoSpacing"/>
        <w:numPr>
          <w:ilvl w:val="4"/>
          <w:numId w:val="16"/>
        </w:numPr>
        <w:rPr>
          <w:rFonts w:cs="Times New Roman"/>
          <w:szCs w:val="24"/>
        </w:rPr>
      </w:pPr>
      <w:r>
        <w:rPr>
          <w:rFonts w:cs="Times New Roman"/>
          <w:i/>
          <w:szCs w:val="24"/>
        </w:rPr>
        <w:t xml:space="preserve">Realistic Practice </w:t>
      </w:r>
      <w:r>
        <w:rPr>
          <w:rFonts w:cs="Times New Roman"/>
          <w:szCs w:val="24"/>
        </w:rPr>
        <w:t xml:space="preserve">– Discuss and assess with the client major disbursements such as an accountants or </w:t>
      </w:r>
      <w:proofErr w:type="spellStart"/>
      <w:r>
        <w:rPr>
          <w:rFonts w:cs="Times New Roman"/>
          <w:szCs w:val="24"/>
        </w:rPr>
        <w:t>valuers</w:t>
      </w:r>
      <w:proofErr w:type="spellEnd"/>
      <w:r>
        <w:rPr>
          <w:rFonts w:cs="Times New Roman"/>
          <w:szCs w:val="24"/>
        </w:rPr>
        <w:t xml:space="preserve"> fees prior to incurring them per </w:t>
      </w:r>
      <w:proofErr w:type="spellStart"/>
      <w:r>
        <w:rPr>
          <w:rFonts w:cs="Times New Roman"/>
          <w:i/>
          <w:szCs w:val="24"/>
        </w:rPr>
        <w:t>Schillro</w:t>
      </w:r>
      <w:proofErr w:type="spellEnd"/>
      <w:r>
        <w:rPr>
          <w:rFonts w:cs="Times New Roman"/>
          <w:i/>
          <w:szCs w:val="24"/>
        </w:rPr>
        <w:t xml:space="preserve"> &amp; </w:t>
      </w:r>
      <w:proofErr w:type="spellStart"/>
      <w:r>
        <w:rPr>
          <w:rFonts w:cs="Times New Roman"/>
          <w:i/>
          <w:szCs w:val="24"/>
        </w:rPr>
        <w:t>Gadens</w:t>
      </w:r>
      <w:proofErr w:type="spellEnd"/>
      <w:r>
        <w:rPr>
          <w:rFonts w:cs="Times New Roman"/>
          <w:i/>
          <w:szCs w:val="24"/>
        </w:rPr>
        <w:t>.</w:t>
      </w:r>
    </w:p>
    <w:p w14:paraId="203D610C" w14:textId="77777777" w:rsidR="00D57A3C" w:rsidRDefault="00D57A3C" w:rsidP="00D57A3C">
      <w:pPr>
        <w:pStyle w:val="NoSpacing"/>
        <w:ind w:left="2880"/>
        <w:rPr>
          <w:rFonts w:cs="Times New Roman"/>
          <w:szCs w:val="24"/>
        </w:rPr>
      </w:pPr>
    </w:p>
    <w:p w14:paraId="088B8D8C" w14:textId="50EA1247" w:rsidR="00EB3643" w:rsidRDefault="00D57A3C" w:rsidP="00B21502">
      <w:pPr>
        <w:pStyle w:val="NoSpacing"/>
        <w:numPr>
          <w:ilvl w:val="3"/>
          <w:numId w:val="16"/>
        </w:numPr>
        <w:rPr>
          <w:rFonts w:cs="Times New Roman"/>
          <w:szCs w:val="24"/>
        </w:rPr>
      </w:pPr>
      <w:r>
        <w:rPr>
          <w:rFonts w:cs="Times New Roman"/>
          <w:i/>
          <w:szCs w:val="24"/>
        </w:rPr>
        <w:t xml:space="preserve">Briefing Counsel </w:t>
      </w:r>
      <w:r>
        <w:rPr>
          <w:rFonts w:cs="Times New Roman"/>
          <w:szCs w:val="24"/>
        </w:rPr>
        <w:t>– In no manner, unless on an important and urgent basis, should a lawyer pursue a costs agreement without having obtained client instructions or approval.</w:t>
      </w:r>
    </w:p>
    <w:p w14:paraId="3ECC0B9B" w14:textId="6EF68A3A" w:rsidR="00D57A3C" w:rsidRPr="004007C8" w:rsidRDefault="00D57A3C" w:rsidP="00B21502">
      <w:pPr>
        <w:pStyle w:val="NoSpacing"/>
        <w:numPr>
          <w:ilvl w:val="4"/>
          <w:numId w:val="16"/>
        </w:numPr>
        <w:rPr>
          <w:rFonts w:cs="Times New Roman"/>
          <w:szCs w:val="24"/>
        </w:rPr>
      </w:pPr>
      <w:proofErr w:type="spellStart"/>
      <w:r>
        <w:rPr>
          <w:rFonts w:cs="Times New Roman"/>
          <w:i/>
          <w:szCs w:val="24"/>
        </w:rPr>
        <w:t>Schillro</w:t>
      </w:r>
      <w:proofErr w:type="spellEnd"/>
      <w:r>
        <w:rPr>
          <w:rFonts w:cs="Times New Roman"/>
          <w:i/>
          <w:szCs w:val="24"/>
        </w:rPr>
        <w:t xml:space="preserve"> &amp; </w:t>
      </w:r>
      <w:proofErr w:type="spellStart"/>
      <w:r>
        <w:rPr>
          <w:rFonts w:cs="Times New Roman"/>
          <w:i/>
          <w:szCs w:val="24"/>
        </w:rPr>
        <w:t>Gadens</w:t>
      </w:r>
      <w:proofErr w:type="spellEnd"/>
    </w:p>
    <w:p w14:paraId="44DBCEA4" w14:textId="77777777" w:rsidR="004007C8" w:rsidRPr="004007C8" w:rsidRDefault="004007C8" w:rsidP="004007C8">
      <w:pPr>
        <w:pStyle w:val="NoSpacing"/>
        <w:ind w:left="2880"/>
        <w:rPr>
          <w:rFonts w:cs="Times New Roman"/>
          <w:szCs w:val="24"/>
        </w:rPr>
      </w:pPr>
    </w:p>
    <w:p w14:paraId="43CAB646" w14:textId="3876BB5C" w:rsidR="004007C8" w:rsidRPr="002F34ED" w:rsidRDefault="004007C8" w:rsidP="00B21502">
      <w:pPr>
        <w:pStyle w:val="NoSpacing"/>
        <w:numPr>
          <w:ilvl w:val="2"/>
          <w:numId w:val="16"/>
        </w:numPr>
        <w:rPr>
          <w:rFonts w:cs="Times New Roman"/>
          <w:szCs w:val="24"/>
        </w:rPr>
      </w:pPr>
      <w:r>
        <w:rPr>
          <w:rFonts w:cs="Times New Roman"/>
          <w:i/>
          <w:szCs w:val="24"/>
        </w:rPr>
        <w:t xml:space="preserve">Receiving Costs </w:t>
      </w:r>
      <w:r w:rsidR="002F34ED">
        <w:rPr>
          <w:rFonts w:cs="Times New Roman"/>
          <w:i/>
          <w:szCs w:val="24"/>
        </w:rPr>
        <w:t>–</w:t>
      </w:r>
      <w:r>
        <w:rPr>
          <w:rFonts w:cs="Times New Roman"/>
          <w:i/>
          <w:szCs w:val="24"/>
        </w:rPr>
        <w:t xml:space="preserve"> </w:t>
      </w:r>
    </w:p>
    <w:p w14:paraId="33C0F384" w14:textId="03822C55" w:rsidR="000F4E83" w:rsidRDefault="00397F1F" w:rsidP="00B21502">
      <w:pPr>
        <w:pStyle w:val="NoSpacing"/>
        <w:numPr>
          <w:ilvl w:val="3"/>
          <w:numId w:val="16"/>
        </w:numPr>
        <w:rPr>
          <w:rFonts w:cs="Times New Roman"/>
          <w:szCs w:val="24"/>
        </w:rPr>
      </w:pPr>
      <w:r>
        <w:rPr>
          <w:rFonts w:cs="Times New Roman"/>
          <w:i/>
          <w:szCs w:val="24"/>
        </w:rPr>
        <w:t xml:space="preserve">Transaction Related </w:t>
      </w:r>
      <w:r>
        <w:rPr>
          <w:rFonts w:cs="Times New Roman"/>
          <w:szCs w:val="24"/>
        </w:rPr>
        <w:t xml:space="preserve">– a Lawyer who acts for a client who is </w:t>
      </w:r>
      <w:proofErr w:type="spellStart"/>
      <w:r>
        <w:rPr>
          <w:rFonts w:cs="Times New Roman"/>
          <w:szCs w:val="24"/>
        </w:rPr>
        <w:t>reciving</w:t>
      </w:r>
      <w:proofErr w:type="spellEnd"/>
      <w:r>
        <w:rPr>
          <w:rFonts w:cs="Times New Roman"/>
          <w:szCs w:val="24"/>
        </w:rPr>
        <w:t xml:space="preserve"> money from a third party can have an implied authority to accept a bank cheque for such purposes </w:t>
      </w:r>
    </w:p>
    <w:p w14:paraId="3DFE83A6" w14:textId="296434DA" w:rsidR="002F34ED" w:rsidRPr="00D25A43" w:rsidRDefault="00397F1F" w:rsidP="00B21502">
      <w:pPr>
        <w:pStyle w:val="NoSpacing"/>
        <w:numPr>
          <w:ilvl w:val="4"/>
          <w:numId w:val="16"/>
        </w:numPr>
        <w:rPr>
          <w:rFonts w:cs="Times New Roman"/>
          <w:szCs w:val="24"/>
        </w:rPr>
      </w:pPr>
      <w:r>
        <w:rPr>
          <w:rFonts w:cs="Times New Roman"/>
          <w:i/>
          <w:szCs w:val="24"/>
        </w:rPr>
        <w:t>Williams v Gibbons</w:t>
      </w:r>
    </w:p>
    <w:p w14:paraId="0EA33581" w14:textId="77777777" w:rsidR="00D25A43" w:rsidRPr="00D25A43" w:rsidRDefault="00D25A43" w:rsidP="00D25A43">
      <w:pPr>
        <w:pStyle w:val="NoSpacing"/>
      </w:pPr>
    </w:p>
    <w:p w14:paraId="6D539093" w14:textId="1C3F9CFA" w:rsidR="0001081D" w:rsidRDefault="000D3325" w:rsidP="00B21502">
      <w:pPr>
        <w:pStyle w:val="NoSpacing"/>
        <w:numPr>
          <w:ilvl w:val="1"/>
          <w:numId w:val="16"/>
        </w:numPr>
        <w:rPr>
          <w:rFonts w:cs="Times New Roman"/>
          <w:szCs w:val="24"/>
        </w:rPr>
      </w:pPr>
      <w:r>
        <w:rPr>
          <w:rFonts w:cs="Times New Roman"/>
          <w:b/>
          <w:i/>
          <w:szCs w:val="24"/>
        </w:rPr>
        <w:t>No implied authority to institute proceedings</w:t>
      </w:r>
    </w:p>
    <w:p w14:paraId="4F75D9BE" w14:textId="523B7FE4" w:rsidR="000D3325" w:rsidRDefault="003B0E13" w:rsidP="00B21502">
      <w:pPr>
        <w:pStyle w:val="NoSpacing"/>
        <w:numPr>
          <w:ilvl w:val="2"/>
          <w:numId w:val="16"/>
        </w:numPr>
        <w:rPr>
          <w:rFonts w:cs="Times New Roman"/>
          <w:szCs w:val="24"/>
        </w:rPr>
      </w:pPr>
      <w:r>
        <w:rPr>
          <w:rFonts w:cs="Times New Roman"/>
          <w:i/>
          <w:szCs w:val="24"/>
        </w:rPr>
        <w:t xml:space="preserve">No </w:t>
      </w:r>
      <w:r w:rsidR="00D73504">
        <w:rPr>
          <w:rFonts w:cs="Times New Roman"/>
          <w:i/>
          <w:szCs w:val="24"/>
        </w:rPr>
        <w:t xml:space="preserve">Implied </w:t>
      </w:r>
      <w:r>
        <w:rPr>
          <w:rFonts w:cs="Times New Roman"/>
          <w:i/>
          <w:szCs w:val="24"/>
        </w:rPr>
        <w:t xml:space="preserve">Authority </w:t>
      </w:r>
      <w:r>
        <w:rPr>
          <w:rFonts w:cs="Times New Roman"/>
          <w:szCs w:val="24"/>
        </w:rPr>
        <w:t xml:space="preserve">– The mere fact that a lawyer is representing a client does not itself confer authority to institute legal proceedings on a </w:t>
      </w:r>
      <w:r w:rsidR="00D73504">
        <w:rPr>
          <w:rFonts w:cs="Times New Roman"/>
          <w:szCs w:val="24"/>
        </w:rPr>
        <w:t>client’s</w:t>
      </w:r>
      <w:r>
        <w:rPr>
          <w:rFonts w:cs="Times New Roman"/>
          <w:szCs w:val="24"/>
        </w:rPr>
        <w:t xml:space="preserve"> behalf </w:t>
      </w:r>
    </w:p>
    <w:p w14:paraId="4070D649" w14:textId="77777777" w:rsidR="003B0E13" w:rsidRPr="00D73504" w:rsidRDefault="003B0E13" w:rsidP="00B21502">
      <w:pPr>
        <w:pStyle w:val="NoSpacing"/>
        <w:numPr>
          <w:ilvl w:val="3"/>
          <w:numId w:val="16"/>
        </w:numPr>
        <w:rPr>
          <w:rFonts w:cs="Times New Roman"/>
          <w:szCs w:val="24"/>
        </w:rPr>
      </w:pPr>
      <w:r w:rsidRPr="003B0E13">
        <w:rPr>
          <w:rFonts w:cs="Times New Roman"/>
          <w:i/>
          <w:szCs w:val="24"/>
        </w:rPr>
        <w:t>Hawkins Hill Gold Mining Co v Briscoe</w:t>
      </w:r>
    </w:p>
    <w:p w14:paraId="0567829B" w14:textId="77777777" w:rsidR="00D73504" w:rsidRPr="001B5F35" w:rsidRDefault="00D73504" w:rsidP="00D73504">
      <w:pPr>
        <w:pStyle w:val="NoSpacing"/>
        <w:ind w:left="2880"/>
        <w:rPr>
          <w:rFonts w:cs="Times New Roman"/>
          <w:szCs w:val="24"/>
        </w:rPr>
      </w:pPr>
    </w:p>
    <w:p w14:paraId="43D9794C" w14:textId="10EA25D9" w:rsidR="003B0E13" w:rsidRDefault="00D73504" w:rsidP="00B21502">
      <w:pPr>
        <w:pStyle w:val="NoSpacing"/>
        <w:numPr>
          <w:ilvl w:val="2"/>
          <w:numId w:val="16"/>
        </w:numPr>
        <w:rPr>
          <w:rFonts w:cs="Times New Roman"/>
          <w:szCs w:val="24"/>
        </w:rPr>
      </w:pPr>
      <w:r>
        <w:rPr>
          <w:rFonts w:cs="Times New Roman"/>
          <w:i/>
          <w:szCs w:val="24"/>
        </w:rPr>
        <w:t xml:space="preserve">Express Authority </w:t>
      </w:r>
      <w:r>
        <w:rPr>
          <w:rFonts w:cs="Times New Roman"/>
          <w:szCs w:val="24"/>
        </w:rPr>
        <w:t>– If a client confers on a lawyer express authority to institute legal proceedings – then no additional express authority is required to allow a lawyer to institute such proceedings</w:t>
      </w:r>
    </w:p>
    <w:p w14:paraId="2DF2C4D1" w14:textId="77777777" w:rsidR="00D73504" w:rsidRPr="00E7259E" w:rsidRDefault="00D73504" w:rsidP="00B21502">
      <w:pPr>
        <w:pStyle w:val="NoSpacing"/>
        <w:numPr>
          <w:ilvl w:val="3"/>
          <w:numId w:val="16"/>
        </w:numPr>
        <w:rPr>
          <w:rFonts w:cs="Times New Roman"/>
          <w:szCs w:val="24"/>
        </w:rPr>
      </w:pPr>
      <w:r w:rsidRPr="003B0E13">
        <w:rPr>
          <w:rFonts w:cs="Times New Roman"/>
          <w:i/>
          <w:szCs w:val="24"/>
        </w:rPr>
        <w:t>Hawkins Hill Gold Mining Co v Briscoe</w:t>
      </w:r>
    </w:p>
    <w:p w14:paraId="49329037" w14:textId="77777777" w:rsidR="00E7259E" w:rsidRPr="00D73504" w:rsidRDefault="00E7259E" w:rsidP="00E7259E">
      <w:pPr>
        <w:pStyle w:val="NoSpacing"/>
        <w:ind w:left="2880"/>
        <w:rPr>
          <w:rFonts w:cs="Times New Roman"/>
          <w:szCs w:val="24"/>
        </w:rPr>
      </w:pPr>
    </w:p>
    <w:p w14:paraId="52D871B1" w14:textId="12B8DC09" w:rsidR="00A37834" w:rsidRDefault="00A37834" w:rsidP="00B21502">
      <w:pPr>
        <w:pStyle w:val="NoSpacing"/>
        <w:numPr>
          <w:ilvl w:val="1"/>
          <w:numId w:val="16"/>
        </w:numPr>
        <w:rPr>
          <w:rFonts w:cs="Times New Roman"/>
          <w:szCs w:val="24"/>
        </w:rPr>
      </w:pPr>
      <w:r>
        <w:rPr>
          <w:rFonts w:cs="Times New Roman"/>
          <w:b/>
          <w:i/>
          <w:szCs w:val="24"/>
        </w:rPr>
        <w:t xml:space="preserve">No implied authority to </w:t>
      </w:r>
      <w:r w:rsidR="00EB326E">
        <w:rPr>
          <w:rFonts w:cs="Times New Roman"/>
          <w:b/>
          <w:i/>
          <w:szCs w:val="24"/>
        </w:rPr>
        <w:t>make</w:t>
      </w:r>
      <w:r>
        <w:rPr>
          <w:rFonts w:cs="Times New Roman"/>
          <w:b/>
          <w:i/>
          <w:szCs w:val="24"/>
        </w:rPr>
        <w:t xml:space="preserve"> contracts</w:t>
      </w:r>
    </w:p>
    <w:p w14:paraId="01BAA7BD" w14:textId="271E75C7" w:rsidR="00D73504" w:rsidRDefault="00EB326E" w:rsidP="00B21502">
      <w:pPr>
        <w:pStyle w:val="NoSpacing"/>
        <w:numPr>
          <w:ilvl w:val="2"/>
          <w:numId w:val="16"/>
        </w:numPr>
        <w:rPr>
          <w:rFonts w:cs="Times New Roman"/>
          <w:szCs w:val="24"/>
        </w:rPr>
      </w:pPr>
      <w:r>
        <w:rPr>
          <w:rFonts w:cs="Times New Roman"/>
          <w:i/>
          <w:szCs w:val="24"/>
        </w:rPr>
        <w:t xml:space="preserve">No Implied Authority – </w:t>
      </w:r>
      <w:r>
        <w:rPr>
          <w:rFonts w:cs="Times New Roman"/>
          <w:szCs w:val="24"/>
        </w:rPr>
        <w:t xml:space="preserve">There is no implied authority to make contracts on behalf of a client </w:t>
      </w:r>
    </w:p>
    <w:p w14:paraId="56990C8A" w14:textId="4882DB48" w:rsidR="00EB326E" w:rsidRPr="00522054" w:rsidRDefault="00EB326E" w:rsidP="00B21502">
      <w:pPr>
        <w:pStyle w:val="NoSpacing"/>
        <w:numPr>
          <w:ilvl w:val="3"/>
          <w:numId w:val="16"/>
        </w:numPr>
        <w:rPr>
          <w:rFonts w:cs="Times New Roman"/>
          <w:szCs w:val="24"/>
        </w:rPr>
      </w:pPr>
      <w:proofErr w:type="spellStart"/>
      <w:r>
        <w:rPr>
          <w:rFonts w:cs="Times New Roman"/>
          <w:i/>
          <w:szCs w:val="24"/>
        </w:rPr>
        <w:t>Eccles</w:t>
      </w:r>
      <w:proofErr w:type="spellEnd"/>
      <w:r>
        <w:rPr>
          <w:rFonts w:cs="Times New Roman"/>
          <w:i/>
          <w:szCs w:val="24"/>
        </w:rPr>
        <w:t xml:space="preserve"> v Bryant &amp; Pollock</w:t>
      </w:r>
    </w:p>
    <w:p w14:paraId="76683268" w14:textId="77777777" w:rsidR="00522054" w:rsidRPr="00522054" w:rsidRDefault="00522054" w:rsidP="00522054">
      <w:pPr>
        <w:pStyle w:val="NoSpacing"/>
        <w:ind w:left="2880"/>
        <w:rPr>
          <w:rFonts w:cs="Times New Roman"/>
          <w:szCs w:val="24"/>
        </w:rPr>
      </w:pPr>
    </w:p>
    <w:p w14:paraId="680F678B" w14:textId="234DA0CA" w:rsidR="00522054" w:rsidRDefault="00522054" w:rsidP="00B21502">
      <w:pPr>
        <w:pStyle w:val="NoSpacing"/>
        <w:numPr>
          <w:ilvl w:val="2"/>
          <w:numId w:val="16"/>
        </w:numPr>
        <w:rPr>
          <w:rFonts w:cs="Times New Roman"/>
          <w:szCs w:val="24"/>
        </w:rPr>
      </w:pPr>
      <w:r>
        <w:rPr>
          <w:rFonts w:cs="Times New Roman"/>
          <w:i/>
          <w:szCs w:val="24"/>
        </w:rPr>
        <w:t>Can ‘compromise’</w:t>
      </w:r>
      <w:r>
        <w:rPr>
          <w:rFonts w:cs="Times New Roman"/>
          <w:szCs w:val="24"/>
        </w:rPr>
        <w:t xml:space="preserve"> </w:t>
      </w:r>
      <w:r w:rsidR="00E975E1">
        <w:rPr>
          <w:rFonts w:cs="Times New Roman"/>
          <w:szCs w:val="24"/>
        </w:rPr>
        <w:t xml:space="preserve">on contracts </w:t>
      </w:r>
      <w:r>
        <w:rPr>
          <w:rFonts w:cs="Times New Roman"/>
          <w:szCs w:val="24"/>
        </w:rPr>
        <w:t xml:space="preserve">– A lawyer can compromise and argue terms on behalf of a client if they believe such terms are in the clients </w:t>
      </w:r>
      <w:r>
        <w:rPr>
          <w:rFonts w:cs="Times New Roman"/>
          <w:szCs w:val="24"/>
        </w:rPr>
        <w:lastRenderedPageBreak/>
        <w:t>best interests UNLESS the client provides clear instructions to the solicitors that they do not want them to act in this capacity</w:t>
      </w:r>
    </w:p>
    <w:p w14:paraId="69CD6C21" w14:textId="1AAA8DF3" w:rsidR="00522054" w:rsidRPr="00E975E1" w:rsidRDefault="00522054" w:rsidP="00B21502">
      <w:pPr>
        <w:pStyle w:val="NoSpacing"/>
        <w:numPr>
          <w:ilvl w:val="3"/>
          <w:numId w:val="16"/>
        </w:numPr>
        <w:rPr>
          <w:rFonts w:cs="Times New Roman"/>
          <w:szCs w:val="24"/>
        </w:rPr>
      </w:pPr>
      <w:r>
        <w:rPr>
          <w:rFonts w:cs="Times New Roman"/>
          <w:i/>
          <w:szCs w:val="24"/>
        </w:rPr>
        <w:t xml:space="preserve">Thompson </w:t>
      </w:r>
      <w:r w:rsidR="00836C14">
        <w:rPr>
          <w:rFonts w:cs="Times New Roman"/>
          <w:i/>
          <w:szCs w:val="24"/>
        </w:rPr>
        <w:t xml:space="preserve">v </w:t>
      </w:r>
      <w:proofErr w:type="spellStart"/>
      <w:r>
        <w:rPr>
          <w:rFonts w:cs="Times New Roman"/>
          <w:i/>
          <w:szCs w:val="24"/>
        </w:rPr>
        <w:t>Howley</w:t>
      </w:r>
      <w:proofErr w:type="spellEnd"/>
    </w:p>
    <w:p w14:paraId="0C13E53C" w14:textId="54704659" w:rsidR="00E975E1" w:rsidRDefault="00E975E1" w:rsidP="003E482C">
      <w:pPr>
        <w:pStyle w:val="NoSpacing"/>
        <w:rPr>
          <w:rFonts w:cs="Times New Roman"/>
          <w:i/>
          <w:szCs w:val="24"/>
        </w:rPr>
      </w:pPr>
    </w:p>
    <w:p w14:paraId="184E384A" w14:textId="42C2A5F9" w:rsidR="005349EB" w:rsidRDefault="00465CCF" w:rsidP="005349EB">
      <w:pPr>
        <w:pStyle w:val="NoSpacing"/>
        <w:rPr>
          <w:rFonts w:cs="Times New Roman"/>
          <w:b/>
          <w:szCs w:val="24"/>
          <w:u w:val="single"/>
        </w:rPr>
      </w:pPr>
      <w:r>
        <w:rPr>
          <w:rFonts w:cs="Times New Roman"/>
          <w:b/>
          <w:szCs w:val="24"/>
          <w:u w:val="single"/>
        </w:rPr>
        <w:t>Lawyers</w:t>
      </w:r>
      <w:r w:rsidR="008663D2">
        <w:rPr>
          <w:rFonts w:cs="Times New Roman"/>
          <w:b/>
          <w:szCs w:val="24"/>
          <w:u w:val="single"/>
        </w:rPr>
        <w:t xml:space="preserve"> </w:t>
      </w:r>
      <w:r w:rsidR="00002FC1">
        <w:rPr>
          <w:rFonts w:cs="Times New Roman"/>
          <w:b/>
          <w:szCs w:val="24"/>
          <w:u w:val="single"/>
        </w:rPr>
        <w:t>Acceptance of Work – Cab Rank Principle</w:t>
      </w:r>
      <w:r w:rsidR="001A7A8A">
        <w:rPr>
          <w:rFonts w:cs="Times New Roman"/>
          <w:b/>
          <w:szCs w:val="24"/>
          <w:u w:val="single"/>
        </w:rPr>
        <w:t xml:space="preserve"> [</w:t>
      </w:r>
      <w:r w:rsidR="00022477">
        <w:rPr>
          <w:rFonts w:cs="Times New Roman"/>
          <w:b/>
          <w:szCs w:val="24"/>
          <w:u w:val="single"/>
        </w:rPr>
        <w:t>BARRISTER</w:t>
      </w:r>
      <w:r w:rsidR="001A7A8A">
        <w:rPr>
          <w:rFonts w:cs="Times New Roman"/>
          <w:b/>
          <w:szCs w:val="24"/>
          <w:u w:val="single"/>
        </w:rPr>
        <w:t>]</w:t>
      </w:r>
    </w:p>
    <w:p w14:paraId="3B66F3E5" w14:textId="77777777" w:rsidR="00002FC1" w:rsidRDefault="00002FC1" w:rsidP="005349EB">
      <w:pPr>
        <w:pStyle w:val="NoSpacing"/>
        <w:rPr>
          <w:rFonts w:cs="Times New Roman"/>
          <w:b/>
          <w:szCs w:val="24"/>
          <w:u w:val="single"/>
        </w:rPr>
      </w:pPr>
    </w:p>
    <w:p w14:paraId="77A76B6F" w14:textId="33C1CFA4" w:rsidR="00002FC1" w:rsidRDefault="00465CCF" w:rsidP="00B21502">
      <w:pPr>
        <w:pStyle w:val="NoSpacing"/>
        <w:numPr>
          <w:ilvl w:val="0"/>
          <w:numId w:val="17"/>
        </w:numPr>
        <w:rPr>
          <w:rFonts w:cs="Times New Roman"/>
          <w:szCs w:val="24"/>
        </w:rPr>
      </w:pPr>
      <w:r w:rsidRPr="004E474F">
        <w:rPr>
          <w:rFonts w:cs="Times New Roman"/>
          <w:b/>
          <w:i/>
          <w:szCs w:val="24"/>
        </w:rPr>
        <w:t>Practising as a Barrister</w:t>
      </w:r>
      <w:r>
        <w:rPr>
          <w:rFonts w:cs="Times New Roman"/>
          <w:i/>
          <w:szCs w:val="24"/>
        </w:rPr>
        <w:t xml:space="preserve"> </w:t>
      </w:r>
      <w:r>
        <w:rPr>
          <w:rFonts w:cs="Times New Roman"/>
          <w:szCs w:val="24"/>
        </w:rPr>
        <w:t>– Lawyers who practice solely as barristers are required to accept a brief in any court in which</w:t>
      </w:r>
      <w:r w:rsidR="008D0613">
        <w:rPr>
          <w:rFonts w:cs="Times New Roman"/>
          <w:szCs w:val="24"/>
        </w:rPr>
        <w:t xml:space="preserve"> they can practice per </w:t>
      </w:r>
      <w:r w:rsidR="008D0613" w:rsidRPr="0064673A">
        <w:rPr>
          <w:rFonts w:cs="Times New Roman"/>
          <w:i/>
          <w:szCs w:val="24"/>
        </w:rPr>
        <w:t xml:space="preserve">Vic </w:t>
      </w:r>
      <w:r w:rsidR="00E316C2" w:rsidRPr="0064673A">
        <w:rPr>
          <w:rFonts w:cs="Times New Roman"/>
          <w:i/>
          <w:szCs w:val="24"/>
        </w:rPr>
        <w:t>Bar Rule</w:t>
      </w:r>
      <w:r w:rsidR="008D0613">
        <w:rPr>
          <w:rFonts w:cs="Times New Roman"/>
          <w:szCs w:val="24"/>
        </w:rPr>
        <w:t xml:space="preserve"> 86 – termed the ‘cab rank’ principle.</w:t>
      </w:r>
    </w:p>
    <w:p w14:paraId="439AF8CF" w14:textId="4AAEB579" w:rsidR="003951E3" w:rsidRPr="002F7D5A" w:rsidRDefault="002F7D5A" w:rsidP="00B21502">
      <w:pPr>
        <w:pStyle w:val="NoSpacing"/>
        <w:numPr>
          <w:ilvl w:val="1"/>
          <w:numId w:val="17"/>
        </w:numPr>
        <w:rPr>
          <w:rFonts w:cs="Times New Roman"/>
          <w:szCs w:val="24"/>
        </w:rPr>
      </w:pPr>
      <w:proofErr w:type="spellStart"/>
      <w:r>
        <w:rPr>
          <w:rFonts w:cs="Times New Roman"/>
          <w:i/>
          <w:szCs w:val="24"/>
        </w:rPr>
        <w:t>Rondel</w:t>
      </w:r>
      <w:proofErr w:type="spellEnd"/>
      <w:r>
        <w:rPr>
          <w:rFonts w:cs="Times New Roman"/>
          <w:i/>
          <w:szCs w:val="24"/>
        </w:rPr>
        <w:t xml:space="preserve"> v Worsley</w:t>
      </w:r>
    </w:p>
    <w:p w14:paraId="36388D39" w14:textId="77777777" w:rsidR="002F7D5A" w:rsidRDefault="002F7D5A" w:rsidP="002F7D5A">
      <w:pPr>
        <w:pStyle w:val="NoSpacing"/>
        <w:ind w:left="1440"/>
        <w:rPr>
          <w:rFonts w:cs="Times New Roman"/>
          <w:szCs w:val="24"/>
        </w:rPr>
      </w:pPr>
    </w:p>
    <w:p w14:paraId="3BD19856" w14:textId="77777777" w:rsidR="00B813D0" w:rsidRDefault="004D4A31" w:rsidP="00B21502">
      <w:pPr>
        <w:pStyle w:val="NoSpacing"/>
        <w:numPr>
          <w:ilvl w:val="0"/>
          <w:numId w:val="17"/>
        </w:numPr>
        <w:rPr>
          <w:rFonts w:cs="Times New Roman"/>
          <w:szCs w:val="24"/>
        </w:rPr>
      </w:pPr>
      <w:r w:rsidRPr="004E474F">
        <w:rPr>
          <w:rFonts w:cs="Times New Roman"/>
          <w:b/>
          <w:i/>
          <w:szCs w:val="24"/>
        </w:rPr>
        <w:t xml:space="preserve">Not ‘absolutely’ imposing </w:t>
      </w:r>
      <w:r>
        <w:rPr>
          <w:rFonts w:cs="Times New Roman"/>
          <w:i/>
          <w:szCs w:val="24"/>
        </w:rPr>
        <w:t xml:space="preserve">– </w:t>
      </w:r>
      <w:r>
        <w:rPr>
          <w:rFonts w:cs="Times New Roman"/>
          <w:szCs w:val="24"/>
        </w:rPr>
        <w:t xml:space="preserve">In </w:t>
      </w:r>
      <w:proofErr w:type="spellStart"/>
      <w:r w:rsidRPr="004D4A31">
        <w:rPr>
          <w:rFonts w:cs="Times New Roman"/>
          <w:i/>
          <w:szCs w:val="24"/>
        </w:rPr>
        <w:t>Giannarelli</w:t>
      </w:r>
      <w:proofErr w:type="spellEnd"/>
      <w:r w:rsidRPr="004D4A31">
        <w:rPr>
          <w:rFonts w:cs="Times New Roman"/>
          <w:i/>
          <w:szCs w:val="24"/>
        </w:rPr>
        <w:t xml:space="preserve"> v Wraith</w:t>
      </w:r>
      <w:r>
        <w:rPr>
          <w:rFonts w:cs="Times New Roman"/>
          <w:i/>
          <w:szCs w:val="24"/>
        </w:rPr>
        <w:t xml:space="preserve">, </w:t>
      </w:r>
      <w:r>
        <w:rPr>
          <w:rFonts w:cs="Times New Roman"/>
          <w:szCs w:val="24"/>
        </w:rPr>
        <w:t>Brennan J explained that while the cab rank rule requires that barrister must accept work – they could raise their fees within permissible limits to remove such briefs.</w:t>
      </w:r>
      <w:r w:rsidR="00B813D0">
        <w:rPr>
          <w:rFonts w:cs="Times New Roman"/>
          <w:szCs w:val="24"/>
        </w:rPr>
        <w:t xml:space="preserve"> </w:t>
      </w:r>
    </w:p>
    <w:p w14:paraId="38AFD485" w14:textId="59C68D3C" w:rsidR="00B813D0" w:rsidRPr="00B813D0" w:rsidRDefault="00B813D0" w:rsidP="00B21502">
      <w:pPr>
        <w:pStyle w:val="NoSpacing"/>
        <w:numPr>
          <w:ilvl w:val="1"/>
          <w:numId w:val="17"/>
        </w:numPr>
        <w:rPr>
          <w:rFonts w:cs="Times New Roman"/>
          <w:szCs w:val="24"/>
        </w:rPr>
      </w:pPr>
      <w:r>
        <w:rPr>
          <w:rFonts w:cs="Times New Roman"/>
          <w:szCs w:val="24"/>
        </w:rPr>
        <w:t>They are also entitled to ‘decline briefs’ in particular circumstances.</w:t>
      </w:r>
    </w:p>
    <w:p w14:paraId="62A0E1E0" w14:textId="77777777" w:rsidR="004D4A31" w:rsidRDefault="004D4A31" w:rsidP="004D4A31">
      <w:pPr>
        <w:pStyle w:val="NoSpacing"/>
        <w:ind w:left="720"/>
        <w:rPr>
          <w:rFonts w:cs="Times New Roman"/>
          <w:szCs w:val="24"/>
        </w:rPr>
      </w:pPr>
    </w:p>
    <w:p w14:paraId="50F41BB3" w14:textId="2E871C65" w:rsidR="00F75A0C" w:rsidRDefault="00F75A0C" w:rsidP="00B21502">
      <w:pPr>
        <w:pStyle w:val="NoSpacing"/>
        <w:numPr>
          <w:ilvl w:val="0"/>
          <w:numId w:val="17"/>
        </w:numPr>
        <w:rPr>
          <w:rFonts w:cs="Times New Roman"/>
          <w:szCs w:val="24"/>
        </w:rPr>
      </w:pPr>
      <w:r w:rsidRPr="004E474F">
        <w:rPr>
          <w:rFonts w:cs="Times New Roman"/>
          <w:b/>
          <w:i/>
          <w:szCs w:val="24"/>
        </w:rPr>
        <w:t>Practising as Barrister &amp; Solicitor</w:t>
      </w:r>
      <w:r>
        <w:rPr>
          <w:rFonts w:cs="Times New Roman"/>
          <w:i/>
          <w:szCs w:val="24"/>
        </w:rPr>
        <w:t xml:space="preserve"> </w:t>
      </w:r>
      <w:r>
        <w:rPr>
          <w:rFonts w:cs="Times New Roman"/>
          <w:szCs w:val="24"/>
        </w:rPr>
        <w:t xml:space="preserve">– Lawyers who act as both are not required to accept worth per </w:t>
      </w:r>
      <w:r w:rsidRPr="001B31DF">
        <w:rPr>
          <w:rFonts w:cs="Times New Roman"/>
          <w:i/>
          <w:szCs w:val="24"/>
        </w:rPr>
        <w:t xml:space="preserve">Vic </w:t>
      </w:r>
      <w:r w:rsidR="001B31DF" w:rsidRPr="001B31DF">
        <w:rPr>
          <w:rFonts w:cs="Times New Roman"/>
          <w:i/>
          <w:szCs w:val="24"/>
        </w:rPr>
        <w:t>Bar Rule</w:t>
      </w:r>
      <w:r>
        <w:rPr>
          <w:rFonts w:cs="Times New Roman"/>
          <w:szCs w:val="24"/>
        </w:rPr>
        <w:t xml:space="preserve"> 92(q) and which follows the </w:t>
      </w:r>
      <w:r w:rsidRPr="00421EDE">
        <w:rPr>
          <w:rFonts w:cs="Times New Roman"/>
          <w:i/>
          <w:szCs w:val="24"/>
          <w:highlight w:val="yellow"/>
        </w:rPr>
        <w:t>A</w:t>
      </w:r>
      <w:r w:rsidR="003609F1" w:rsidRPr="00421EDE">
        <w:rPr>
          <w:rFonts w:cs="Times New Roman"/>
          <w:i/>
          <w:szCs w:val="24"/>
          <w:highlight w:val="yellow"/>
        </w:rPr>
        <w:t>ustralian Bar Association Model Rules</w:t>
      </w:r>
      <w:r w:rsidR="003609F1">
        <w:rPr>
          <w:rFonts w:cs="Times New Roman"/>
          <w:szCs w:val="24"/>
        </w:rPr>
        <w:t xml:space="preserve"> </w:t>
      </w:r>
      <w:r>
        <w:rPr>
          <w:rFonts w:cs="Times New Roman"/>
          <w:szCs w:val="24"/>
        </w:rPr>
        <w:t>(1993) r 4.4(u)</w:t>
      </w:r>
    </w:p>
    <w:p w14:paraId="346026C4" w14:textId="77777777" w:rsidR="00F75A0C" w:rsidRDefault="00F75A0C" w:rsidP="00F75A0C">
      <w:pPr>
        <w:pStyle w:val="NoSpacing"/>
        <w:ind w:left="720"/>
        <w:rPr>
          <w:rFonts w:cs="Times New Roman"/>
          <w:szCs w:val="24"/>
        </w:rPr>
      </w:pPr>
    </w:p>
    <w:p w14:paraId="65A2DF5F" w14:textId="272245F8" w:rsidR="00F75A0C" w:rsidRPr="004E474F" w:rsidRDefault="0069551D" w:rsidP="00B21502">
      <w:pPr>
        <w:pStyle w:val="NoSpacing"/>
        <w:numPr>
          <w:ilvl w:val="0"/>
          <w:numId w:val="17"/>
        </w:numPr>
        <w:rPr>
          <w:rFonts w:cs="Times New Roman"/>
          <w:szCs w:val="24"/>
        </w:rPr>
      </w:pPr>
      <w:r>
        <w:rPr>
          <w:rFonts w:cs="Times New Roman"/>
          <w:b/>
          <w:i/>
          <w:szCs w:val="24"/>
        </w:rPr>
        <w:t xml:space="preserve">Circumstances in which </w:t>
      </w:r>
      <w:r w:rsidR="00097B27">
        <w:rPr>
          <w:rFonts w:cs="Times New Roman"/>
          <w:b/>
          <w:i/>
          <w:szCs w:val="24"/>
        </w:rPr>
        <w:t>counsel</w:t>
      </w:r>
      <w:r w:rsidR="000D5B60">
        <w:rPr>
          <w:rFonts w:cs="Times New Roman"/>
          <w:b/>
          <w:i/>
          <w:szCs w:val="24"/>
        </w:rPr>
        <w:t xml:space="preserve"> [barrister]</w:t>
      </w:r>
      <w:r>
        <w:rPr>
          <w:rFonts w:cs="Times New Roman"/>
          <w:b/>
          <w:i/>
          <w:szCs w:val="24"/>
        </w:rPr>
        <w:t xml:space="preserve"> can decline a brief – </w:t>
      </w:r>
    </w:p>
    <w:p w14:paraId="344A3AE5" w14:textId="23360C4F" w:rsidR="004E474F" w:rsidRDefault="001D53CF" w:rsidP="00B21502">
      <w:pPr>
        <w:pStyle w:val="NoSpacing"/>
        <w:numPr>
          <w:ilvl w:val="1"/>
          <w:numId w:val="17"/>
        </w:numPr>
        <w:rPr>
          <w:rFonts w:cs="Times New Roman"/>
          <w:szCs w:val="24"/>
        </w:rPr>
      </w:pPr>
      <w:r>
        <w:rPr>
          <w:rFonts w:cs="Times New Roman"/>
          <w:i/>
          <w:szCs w:val="24"/>
        </w:rPr>
        <w:t xml:space="preserve">Core Role </w:t>
      </w:r>
      <w:r>
        <w:rPr>
          <w:rFonts w:cs="Times New Roman"/>
          <w:szCs w:val="24"/>
        </w:rPr>
        <w:t>– A counsel core role is to ensure the proper administration of justice and no bias or unfair advantage in the administration of justice to ensure it upholds public confidence in the legal system.</w:t>
      </w:r>
    </w:p>
    <w:p w14:paraId="6B83068B" w14:textId="77777777" w:rsidR="001D53CF" w:rsidRDefault="001D53CF" w:rsidP="001D53CF">
      <w:pPr>
        <w:pStyle w:val="NoSpacing"/>
        <w:ind w:left="1440"/>
        <w:rPr>
          <w:rFonts w:cs="Times New Roman"/>
          <w:szCs w:val="24"/>
        </w:rPr>
      </w:pPr>
    </w:p>
    <w:p w14:paraId="1A449475" w14:textId="251D47CC" w:rsidR="001D53CF" w:rsidRDefault="00376C5A" w:rsidP="00B21502">
      <w:pPr>
        <w:pStyle w:val="NoSpacing"/>
        <w:numPr>
          <w:ilvl w:val="1"/>
          <w:numId w:val="17"/>
        </w:numPr>
        <w:rPr>
          <w:rFonts w:cs="Times New Roman"/>
          <w:szCs w:val="24"/>
        </w:rPr>
      </w:pPr>
      <w:r>
        <w:rPr>
          <w:rFonts w:cs="Times New Roman"/>
          <w:i/>
          <w:szCs w:val="24"/>
        </w:rPr>
        <w:t>Vi</w:t>
      </w:r>
      <w:r w:rsidR="007B73AF">
        <w:rPr>
          <w:rFonts w:cs="Times New Roman"/>
          <w:i/>
          <w:szCs w:val="24"/>
        </w:rPr>
        <w:t xml:space="preserve">ctorian Bar </w:t>
      </w:r>
      <w:r>
        <w:rPr>
          <w:rFonts w:cs="Times New Roman"/>
          <w:i/>
          <w:szCs w:val="24"/>
        </w:rPr>
        <w:t xml:space="preserve">Rule 92(q) </w:t>
      </w:r>
      <w:r w:rsidR="007B73AF" w:rsidRPr="007B73AF">
        <w:rPr>
          <w:rFonts w:cs="Times New Roman"/>
          <w:i/>
          <w:szCs w:val="24"/>
        </w:rPr>
        <w:t>following ABA (1993) r 4.4(u)</w:t>
      </w:r>
      <w:r w:rsidR="007B73AF">
        <w:rPr>
          <w:rFonts w:cs="Times New Roman"/>
          <w:szCs w:val="24"/>
        </w:rPr>
        <w:t xml:space="preserve"> – </w:t>
      </w:r>
      <w:r w:rsidR="0063281E">
        <w:rPr>
          <w:rFonts w:cs="Times New Roman"/>
          <w:szCs w:val="24"/>
        </w:rPr>
        <w:t>Allow a barrister to reject briefs which would</w:t>
      </w:r>
    </w:p>
    <w:p w14:paraId="2FCD7B2D" w14:textId="1D2B3139" w:rsidR="0063281E" w:rsidRDefault="0063281E" w:rsidP="00B21502">
      <w:pPr>
        <w:pStyle w:val="NoSpacing"/>
        <w:numPr>
          <w:ilvl w:val="2"/>
          <w:numId w:val="17"/>
        </w:numPr>
        <w:rPr>
          <w:rFonts w:cs="Times New Roman"/>
          <w:szCs w:val="24"/>
        </w:rPr>
      </w:pPr>
      <w:r>
        <w:rPr>
          <w:rFonts w:cs="Times New Roman"/>
          <w:szCs w:val="24"/>
        </w:rPr>
        <w:t>‘compromise the barristers independence, involve the barrister in a conflict of interest or otherwise be detrimental to the administration of justice’</w:t>
      </w:r>
    </w:p>
    <w:p w14:paraId="0B60127B" w14:textId="77777777" w:rsidR="00EF6194" w:rsidRDefault="00EF6194" w:rsidP="00EF6194">
      <w:pPr>
        <w:pStyle w:val="NoSpacing"/>
        <w:ind w:left="2160"/>
        <w:rPr>
          <w:rFonts w:cs="Times New Roman"/>
          <w:szCs w:val="24"/>
        </w:rPr>
      </w:pPr>
    </w:p>
    <w:p w14:paraId="2062DA5E" w14:textId="77777777" w:rsidR="00EF6194" w:rsidRDefault="00EF6194" w:rsidP="00B21502">
      <w:pPr>
        <w:pStyle w:val="NoSpacing"/>
        <w:numPr>
          <w:ilvl w:val="1"/>
          <w:numId w:val="17"/>
        </w:numPr>
        <w:rPr>
          <w:rFonts w:cs="Times New Roman"/>
          <w:szCs w:val="24"/>
        </w:rPr>
      </w:pPr>
      <w:r>
        <w:rPr>
          <w:rFonts w:cs="Times New Roman"/>
          <w:i/>
          <w:szCs w:val="24"/>
        </w:rPr>
        <w:t xml:space="preserve">Personal Interests </w:t>
      </w:r>
      <w:r>
        <w:rPr>
          <w:rFonts w:cs="Times New Roman"/>
          <w:szCs w:val="24"/>
        </w:rPr>
        <w:t xml:space="preserve">– Are </w:t>
      </w:r>
      <w:r>
        <w:rPr>
          <w:rFonts w:cs="Times New Roman"/>
          <w:b/>
          <w:szCs w:val="24"/>
        </w:rPr>
        <w:t>not</w:t>
      </w:r>
      <w:r>
        <w:rPr>
          <w:rFonts w:cs="Times New Roman"/>
          <w:szCs w:val="24"/>
        </w:rPr>
        <w:t xml:space="preserve"> themselves enough to decline a brief. Practically, counsel should have a frank disclosure with the client in relation to their views and inquire whether they wish to continue. If yes, counsel must represent the client and abstract their personal views.</w:t>
      </w:r>
    </w:p>
    <w:p w14:paraId="6A4B4321" w14:textId="77777777" w:rsidR="008C7ED4" w:rsidRDefault="008C7ED4" w:rsidP="008C7ED4">
      <w:pPr>
        <w:pStyle w:val="NoSpacing"/>
        <w:ind w:left="1440"/>
        <w:rPr>
          <w:rFonts w:cs="Times New Roman"/>
          <w:szCs w:val="24"/>
        </w:rPr>
      </w:pPr>
    </w:p>
    <w:p w14:paraId="1D0C12FA" w14:textId="0549830C" w:rsidR="0063281E" w:rsidRDefault="0052632C" w:rsidP="00B21502">
      <w:pPr>
        <w:pStyle w:val="NoSpacing"/>
        <w:numPr>
          <w:ilvl w:val="1"/>
          <w:numId w:val="17"/>
        </w:numPr>
        <w:rPr>
          <w:rFonts w:cs="Times New Roman"/>
          <w:szCs w:val="24"/>
        </w:rPr>
      </w:pPr>
      <w:r w:rsidRPr="003B5941">
        <w:rPr>
          <w:rFonts w:cs="Times New Roman"/>
          <w:i/>
          <w:szCs w:val="24"/>
          <w:u w:val="single"/>
        </w:rPr>
        <w:t>Must Decline</w:t>
      </w:r>
      <w:r>
        <w:rPr>
          <w:rFonts w:cs="Times New Roman"/>
          <w:i/>
          <w:szCs w:val="24"/>
        </w:rPr>
        <w:t xml:space="preserve"> Briefs </w:t>
      </w:r>
      <w:r>
        <w:rPr>
          <w:rFonts w:cs="Times New Roman"/>
          <w:szCs w:val="24"/>
        </w:rPr>
        <w:t xml:space="preserve">– In certain circumstances, a number of briefs </w:t>
      </w:r>
      <w:r w:rsidRPr="00427632">
        <w:rPr>
          <w:rFonts w:cs="Times New Roman"/>
          <w:b/>
          <w:szCs w:val="24"/>
        </w:rPr>
        <w:t>must be</w:t>
      </w:r>
      <w:r>
        <w:rPr>
          <w:rFonts w:cs="Times New Roman"/>
          <w:szCs w:val="24"/>
        </w:rPr>
        <w:t xml:space="preserve"> rejected:</w:t>
      </w:r>
    </w:p>
    <w:p w14:paraId="59EA66BE" w14:textId="691EFA7B" w:rsidR="00485ED1" w:rsidRPr="00DB2861" w:rsidRDefault="00713448" w:rsidP="00B21502">
      <w:pPr>
        <w:pStyle w:val="NoSpacing"/>
        <w:numPr>
          <w:ilvl w:val="2"/>
          <w:numId w:val="17"/>
        </w:numPr>
        <w:rPr>
          <w:u w:val="single"/>
        </w:rPr>
      </w:pPr>
      <w:r>
        <w:rPr>
          <w:i/>
        </w:rPr>
        <w:t>Confidential Conflicts –</w:t>
      </w:r>
      <w:r w:rsidR="000B005E" w:rsidRPr="00DB2861">
        <w:t>[Vic r 92(</w:t>
      </w:r>
      <w:r w:rsidR="000B005E">
        <w:t>a</w:t>
      </w:r>
      <w:r w:rsidR="000B005E" w:rsidRPr="00DB2861">
        <w:t>)]</w:t>
      </w:r>
      <w:r w:rsidR="00614DB1">
        <w:rPr>
          <w:i/>
        </w:rPr>
        <w:t xml:space="preserve">– </w:t>
      </w:r>
      <w:r>
        <w:rPr>
          <w:i/>
        </w:rPr>
        <w:t xml:space="preserve"> </w:t>
      </w:r>
      <w:r w:rsidR="00485ED1" w:rsidRPr="00DB2861">
        <w:t>Where counsel has information confidential to any person with different interests from those of the proscriptive clients;</w:t>
      </w:r>
    </w:p>
    <w:p w14:paraId="10745DDE" w14:textId="6CED564F" w:rsidR="00485ED1" w:rsidRPr="00DB2861" w:rsidRDefault="00E72364" w:rsidP="00B21502">
      <w:pPr>
        <w:pStyle w:val="NoSpacing"/>
        <w:numPr>
          <w:ilvl w:val="2"/>
          <w:numId w:val="17"/>
        </w:numPr>
        <w:rPr>
          <w:u w:val="single"/>
        </w:rPr>
      </w:pPr>
      <w:r>
        <w:rPr>
          <w:i/>
        </w:rPr>
        <w:t>Contested Hearings –</w:t>
      </w:r>
      <w:r w:rsidR="0007708E" w:rsidRPr="00DB2861">
        <w:t>[Vic r 92(i)]</w:t>
      </w:r>
      <w:r w:rsidR="0007708E">
        <w:t xml:space="preserve"> –</w:t>
      </w:r>
      <w:r>
        <w:rPr>
          <w:i/>
        </w:rPr>
        <w:t xml:space="preserve"> </w:t>
      </w:r>
      <w:r w:rsidR="00485ED1" w:rsidRPr="00DB2861">
        <w:t xml:space="preserve">It involves appearance in a contested hearing before counsel’s parents, siblings spouse or child; </w:t>
      </w:r>
    </w:p>
    <w:p w14:paraId="5B41D521" w14:textId="0EC52F2E" w:rsidR="00485ED1" w:rsidRPr="00DB2861" w:rsidRDefault="00E72364" w:rsidP="00B21502">
      <w:pPr>
        <w:pStyle w:val="NoSpacing"/>
        <w:numPr>
          <w:ilvl w:val="2"/>
          <w:numId w:val="17"/>
        </w:numPr>
        <w:rPr>
          <w:u w:val="single"/>
        </w:rPr>
      </w:pPr>
      <w:r>
        <w:rPr>
          <w:i/>
        </w:rPr>
        <w:t xml:space="preserve">Advising Arbitrators &amp; then </w:t>
      </w:r>
      <w:r w:rsidR="009C76DB">
        <w:rPr>
          <w:i/>
        </w:rPr>
        <w:t>party</w:t>
      </w:r>
      <w:r>
        <w:rPr>
          <w:i/>
        </w:rPr>
        <w:t xml:space="preserve"> </w:t>
      </w:r>
      <w:r>
        <w:t xml:space="preserve">– </w:t>
      </w:r>
      <w:r w:rsidR="008A1B38">
        <w:t>[Vic r 92(h)] –</w:t>
      </w:r>
      <w:r w:rsidR="00E54BCC">
        <w:t xml:space="preserve"> </w:t>
      </w:r>
      <w:r w:rsidR="00485ED1" w:rsidRPr="00DB2861">
        <w:t xml:space="preserve">Representing a party to an arbitration in any proceedings arising out of the arbitration if counsel have advised the arbitrator; </w:t>
      </w:r>
    </w:p>
    <w:p w14:paraId="079A37C5" w14:textId="51E578D5" w:rsidR="00485ED1" w:rsidRPr="00DB2861" w:rsidRDefault="009C76DB" w:rsidP="00B21502">
      <w:pPr>
        <w:pStyle w:val="NoSpacing"/>
        <w:numPr>
          <w:ilvl w:val="2"/>
          <w:numId w:val="17"/>
        </w:numPr>
        <w:rPr>
          <w:u w:val="single"/>
        </w:rPr>
      </w:pPr>
      <w:r>
        <w:rPr>
          <w:i/>
        </w:rPr>
        <w:t xml:space="preserve">Be a witness to the proceeding – </w:t>
      </w:r>
      <w:r w:rsidR="00D90B2B">
        <w:t xml:space="preserve">[Vic r 92(c)(d)] – </w:t>
      </w:r>
      <w:r w:rsidR="00485ED1" w:rsidRPr="00DB2861">
        <w:t xml:space="preserve">Counsel has reasonable grounds to believe that he or she may as a real possibility, be called as a witness </w:t>
      </w:r>
    </w:p>
    <w:p w14:paraId="425A3FCE" w14:textId="3916EC7E" w:rsidR="00485ED1" w:rsidRPr="00DB2861" w:rsidRDefault="009C76DB" w:rsidP="00B21502">
      <w:pPr>
        <w:pStyle w:val="NoSpacing"/>
        <w:numPr>
          <w:ilvl w:val="2"/>
          <w:numId w:val="17"/>
        </w:numPr>
        <w:rPr>
          <w:u w:val="single"/>
        </w:rPr>
      </w:pPr>
      <w:r>
        <w:rPr>
          <w:i/>
        </w:rPr>
        <w:t xml:space="preserve">Professional Conduct in Question – </w:t>
      </w:r>
      <w:r w:rsidR="00485ED1" w:rsidRPr="00DB2861">
        <w:t xml:space="preserve">The counsel knows or ought to know that his or her personal or professional conduct may be called into question [ABA Vic r 92(e) </w:t>
      </w:r>
      <w:r w:rsidR="00BA49C3">
        <w:t xml:space="preserve">&amp; </w:t>
      </w:r>
      <w:r w:rsidR="00485ED1" w:rsidRPr="00DB2861">
        <w:t>r 93];</w:t>
      </w:r>
    </w:p>
    <w:p w14:paraId="1B4EA75E" w14:textId="79FC04B9" w:rsidR="00485ED1" w:rsidRPr="00DB2861" w:rsidRDefault="00500C86" w:rsidP="00B21502">
      <w:pPr>
        <w:pStyle w:val="NoSpacing"/>
        <w:numPr>
          <w:ilvl w:val="2"/>
          <w:numId w:val="17"/>
        </w:numPr>
        <w:rPr>
          <w:u w:val="single"/>
        </w:rPr>
      </w:pPr>
      <w:r>
        <w:rPr>
          <w:i/>
        </w:rPr>
        <w:lastRenderedPageBreak/>
        <w:t xml:space="preserve">Fee Disputes – </w:t>
      </w:r>
      <w:r w:rsidR="00485ED1" w:rsidRPr="00DB2861">
        <w:t>Regarding the assessment (or taxation) of costs of counsel’s briefing solicitor that includes a dispute as to the propriety of counsel’s fee concerns recovery of former client of costs in relation to a case – see Vic r 92(g)] and</w:t>
      </w:r>
    </w:p>
    <w:p w14:paraId="33777959" w14:textId="0CAB7F43" w:rsidR="00485ED1" w:rsidRPr="00B012B2" w:rsidRDefault="005C4F88" w:rsidP="00B21502">
      <w:pPr>
        <w:pStyle w:val="NoSpacing"/>
        <w:numPr>
          <w:ilvl w:val="2"/>
          <w:numId w:val="17"/>
        </w:numPr>
        <w:rPr>
          <w:u w:val="single"/>
        </w:rPr>
      </w:pPr>
      <w:r>
        <w:rPr>
          <w:i/>
        </w:rPr>
        <w:t xml:space="preserve">Conflict of Interest – </w:t>
      </w:r>
      <w:r w:rsidR="00485ED1" w:rsidRPr="00DB2861">
        <w:t xml:space="preserve">In which counsel has a financial interest in the outcome apart from fee under a conditional costs agreement [Vic r 92(f)]. </w:t>
      </w:r>
    </w:p>
    <w:p w14:paraId="12E77409" w14:textId="77777777" w:rsidR="00B012B2" w:rsidRDefault="00B012B2" w:rsidP="00B012B2">
      <w:pPr>
        <w:pStyle w:val="NoSpacing"/>
        <w:ind w:left="2160"/>
        <w:rPr>
          <w:u w:val="single"/>
        </w:rPr>
      </w:pPr>
    </w:p>
    <w:p w14:paraId="2DDAEECC" w14:textId="77777777" w:rsidR="00E45369" w:rsidRPr="00DB2861" w:rsidRDefault="00E45369" w:rsidP="00B012B2">
      <w:pPr>
        <w:pStyle w:val="NoSpacing"/>
        <w:ind w:left="2160"/>
        <w:rPr>
          <w:u w:val="single"/>
        </w:rPr>
      </w:pPr>
    </w:p>
    <w:p w14:paraId="4A971E98" w14:textId="2D88BD8A" w:rsidR="00EF6194" w:rsidRDefault="00EF6194" w:rsidP="00B21502">
      <w:pPr>
        <w:pStyle w:val="NoSpacing"/>
        <w:numPr>
          <w:ilvl w:val="1"/>
          <w:numId w:val="17"/>
        </w:numPr>
        <w:rPr>
          <w:rFonts w:cs="Times New Roman"/>
          <w:szCs w:val="24"/>
        </w:rPr>
      </w:pPr>
      <w:r w:rsidRPr="003720E2">
        <w:rPr>
          <w:rFonts w:cs="Times New Roman"/>
          <w:i/>
          <w:szCs w:val="24"/>
          <w:u w:val="single"/>
        </w:rPr>
        <w:t>May Decline</w:t>
      </w:r>
      <w:r>
        <w:rPr>
          <w:rFonts w:cs="Times New Roman"/>
          <w:i/>
          <w:szCs w:val="24"/>
        </w:rPr>
        <w:t xml:space="preserve"> Briefs </w:t>
      </w:r>
      <w:r>
        <w:rPr>
          <w:rFonts w:cs="Times New Roman"/>
          <w:szCs w:val="24"/>
        </w:rPr>
        <w:t xml:space="preserve">– In certain circumstances, a number of briefs </w:t>
      </w:r>
      <w:r w:rsidR="00427632" w:rsidRPr="00427632">
        <w:rPr>
          <w:rFonts w:cs="Times New Roman"/>
          <w:b/>
          <w:szCs w:val="24"/>
        </w:rPr>
        <w:t>may</w:t>
      </w:r>
      <w:r w:rsidRPr="00427632">
        <w:rPr>
          <w:rFonts w:cs="Times New Roman"/>
          <w:b/>
          <w:szCs w:val="24"/>
        </w:rPr>
        <w:t xml:space="preserve"> be</w:t>
      </w:r>
      <w:r>
        <w:rPr>
          <w:rFonts w:cs="Times New Roman"/>
          <w:szCs w:val="24"/>
        </w:rPr>
        <w:t xml:space="preserve"> rejected:</w:t>
      </w:r>
    </w:p>
    <w:p w14:paraId="44B7906D" w14:textId="44F7F4E8" w:rsidR="00B012B2" w:rsidRDefault="00D35525" w:rsidP="00B21502">
      <w:pPr>
        <w:pStyle w:val="NoSpacing"/>
        <w:numPr>
          <w:ilvl w:val="2"/>
          <w:numId w:val="17"/>
        </w:numPr>
      </w:pPr>
      <w:r>
        <w:rPr>
          <w:i/>
        </w:rPr>
        <w:t xml:space="preserve">No Fee is available – </w:t>
      </w:r>
      <w:r w:rsidR="00F45C87">
        <w:t>Where a proper fee is unavailable [</w:t>
      </w:r>
      <w:r w:rsidR="00F45C87" w:rsidRPr="005E3BC8">
        <w:rPr>
          <w:i/>
        </w:rPr>
        <w:t xml:space="preserve">Vic </w:t>
      </w:r>
      <w:r w:rsidR="00EA12AD" w:rsidRPr="005E3BC8">
        <w:rPr>
          <w:i/>
        </w:rPr>
        <w:t>Bar Rule</w:t>
      </w:r>
      <w:r w:rsidR="00EA12AD">
        <w:t xml:space="preserve"> </w:t>
      </w:r>
      <w:r w:rsidR="00F45C87">
        <w:t xml:space="preserve">86(c)] or </w:t>
      </w:r>
      <w:r w:rsidR="00B012B2">
        <w:t>‘</w:t>
      </w:r>
      <w:r w:rsidR="00F45C87">
        <w:t>reasonable grounds</w:t>
      </w:r>
      <w:r w:rsidR="00B012B2">
        <w:t xml:space="preserve">’ exist </w:t>
      </w:r>
      <w:r w:rsidR="00F45C87">
        <w:t>to doubt that the fee will be paid</w:t>
      </w:r>
      <w:r w:rsidR="00B012B2">
        <w:t xml:space="preserve"> </w:t>
      </w:r>
      <w:r w:rsidR="00F97190">
        <w:t>–</w:t>
      </w:r>
      <w:r w:rsidR="00B012B2">
        <w:t xml:space="preserve"> whether</w:t>
      </w:r>
      <w:r w:rsidR="00F45C87">
        <w:t xml:space="preserve"> promptly or in accordance with costs agreement [</w:t>
      </w:r>
      <w:r w:rsidR="005E3BC8" w:rsidRPr="005E3BC8">
        <w:rPr>
          <w:i/>
        </w:rPr>
        <w:t>Vic Bar Rule</w:t>
      </w:r>
      <w:r w:rsidR="005E3BC8">
        <w:t xml:space="preserve"> </w:t>
      </w:r>
      <w:r w:rsidR="00F45C87">
        <w:t xml:space="preserve">96(c), 97] </w:t>
      </w:r>
    </w:p>
    <w:p w14:paraId="74B3BE8E" w14:textId="4DFAD890" w:rsidR="00F45C87" w:rsidRDefault="0091559E" w:rsidP="00B21502">
      <w:pPr>
        <w:pStyle w:val="NoSpacing"/>
        <w:numPr>
          <w:ilvl w:val="3"/>
          <w:numId w:val="17"/>
        </w:numPr>
      </w:pPr>
      <w:r>
        <w:t>Can set a</w:t>
      </w:r>
      <w:r w:rsidR="00F45C87">
        <w:t xml:space="preserve"> higher fee than usual in order to deter the solicitor from continuing to offer the brief [</w:t>
      </w:r>
      <w:r w:rsidR="005E3BC8" w:rsidRPr="005E3BC8">
        <w:rPr>
          <w:i/>
        </w:rPr>
        <w:t>Vic Bar Rule</w:t>
      </w:r>
      <w:r w:rsidR="005E3BC8">
        <w:t xml:space="preserve"> </w:t>
      </w:r>
      <w:r w:rsidR="00F45C87">
        <w:t xml:space="preserve">88 see also </w:t>
      </w:r>
      <w:proofErr w:type="spellStart"/>
      <w:r w:rsidR="00F45C87">
        <w:t>D’Orta</w:t>
      </w:r>
      <w:proofErr w:type="spellEnd"/>
      <w:r w:rsidR="00F45C87">
        <w:t xml:space="preserve"> </w:t>
      </w:r>
      <w:proofErr w:type="spellStart"/>
      <w:r w:rsidR="00F45C87">
        <w:t>Ekenaike</w:t>
      </w:r>
      <w:proofErr w:type="spellEnd"/>
      <w:r w:rsidR="00F45C87">
        <w:t xml:space="preserve"> v Victorian Legal Aid];</w:t>
      </w:r>
    </w:p>
    <w:p w14:paraId="2EA24F10" w14:textId="2837221D" w:rsidR="00F45C87" w:rsidRDefault="00694009" w:rsidP="00B21502">
      <w:pPr>
        <w:pStyle w:val="NoSpacing"/>
        <w:numPr>
          <w:ilvl w:val="2"/>
          <w:numId w:val="17"/>
        </w:numPr>
      </w:pPr>
      <w:r>
        <w:rPr>
          <w:i/>
        </w:rPr>
        <w:t xml:space="preserve">Unable to devote time – </w:t>
      </w:r>
      <w:r w:rsidR="00F45C87">
        <w:t>Where other professional responsibilities indicate that he or she would be unable to devote adequate t</w:t>
      </w:r>
      <w:r>
        <w:t>ime to the matter [</w:t>
      </w:r>
      <w:r w:rsidR="005E3BC8" w:rsidRPr="005E3BC8">
        <w:rPr>
          <w:i/>
        </w:rPr>
        <w:t>Vic Bar Rule</w:t>
      </w:r>
      <w:r w:rsidR="005E3BC8">
        <w:t xml:space="preserve"> </w:t>
      </w:r>
      <w:r>
        <w:t>96(a)].</w:t>
      </w:r>
    </w:p>
    <w:p w14:paraId="23BFEDDC" w14:textId="22D3D46E" w:rsidR="00F45C87" w:rsidRDefault="00414275" w:rsidP="00B21502">
      <w:pPr>
        <w:pStyle w:val="NoSpacing"/>
        <w:numPr>
          <w:ilvl w:val="2"/>
          <w:numId w:val="17"/>
        </w:numPr>
      </w:pPr>
      <w:r>
        <w:rPr>
          <w:i/>
        </w:rPr>
        <w:t>Solicitor</w:t>
      </w:r>
      <w:r w:rsidR="00694009">
        <w:rPr>
          <w:i/>
        </w:rPr>
        <w:t xml:space="preserve"> does not appear – </w:t>
      </w:r>
      <w:r w:rsidR="00F45C87">
        <w:t>Where the instructing solicitor does not agree to requests by counsel regarding appropriate attendances by the solicitor [</w:t>
      </w:r>
      <w:r w:rsidR="005E3BC8" w:rsidRPr="005E3BC8">
        <w:rPr>
          <w:i/>
        </w:rPr>
        <w:t>Vic Bar Rule</w:t>
      </w:r>
      <w:r w:rsidR="005E3BC8">
        <w:t xml:space="preserve"> </w:t>
      </w:r>
      <w:r w:rsidR="00F45C87">
        <w:t>96(e)];</w:t>
      </w:r>
    </w:p>
    <w:p w14:paraId="1514CA9F" w14:textId="32BD9365" w:rsidR="00F45C87" w:rsidRDefault="00414275" w:rsidP="00B21502">
      <w:pPr>
        <w:pStyle w:val="NoSpacing"/>
        <w:numPr>
          <w:ilvl w:val="2"/>
          <w:numId w:val="17"/>
        </w:numPr>
      </w:pPr>
      <w:r>
        <w:rPr>
          <w:i/>
        </w:rPr>
        <w:t xml:space="preserve">Client and solicitor overlap – </w:t>
      </w:r>
      <w:r w:rsidR="00F45C87">
        <w:t>Where the prospective client is also the prospective instructing solicitor or a partner or employee of that solicitor [</w:t>
      </w:r>
      <w:r w:rsidR="005E3BC8" w:rsidRPr="005E3BC8">
        <w:rPr>
          <w:i/>
        </w:rPr>
        <w:t>Vic Bar Rule</w:t>
      </w:r>
      <w:r w:rsidR="005E3BC8">
        <w:t xml:space="preserve"> </w:t>
      </w:r>
      <w:r w:rsidR="00F45C87">
        <w:t xml:space="preserve">96(f)]. </w:t>
      </w:r>
    </w:p>
    <w:p w14:paraId="271E1063" w14:textId="77777777" w:rsidR="00AD7A14" w:rsidRDefault="00AD7A14" w:rsidP="00AD7A14">
      <w:pPr>
        <w:pStyle w:val="NoSpacing"/>
        <w:ind w:left="2160"/>
      </w:pPr>
    </w:p>
    <w:p w14:paraId="60BCD19E" w14:textId="3F6A5302" w:rsidR="005C6373" w:rsidRPr="00F75A0C" w:rsidRDefault="00D05670" w:rsidP="00B21502">
      <w:pPr>
        <w:pStyle w:val="NoSpacing"/>
        <w:numPr>
          <w:ilvl w:val="0"/>
          <w:numId w:val="17"/>
        </w:numPr>
        <w:rPr>
          <w:rFonts w:cs="Times New Roman"/>
          <w:szCs w:val="24"/>
        </w:rPr>
      </w:pPr>
      <w:r>
        <w:rPr>
          <w:rFonts w:cs="Times New Roman"/>
          <w:b/>
          <w:i/>
          <w:szCs w:val="24"/>
        </w:rPr>
        <w:t xml:space="preserve">Barrister acting also as a solicitor </w:t>
      </w:r>
      <w:r w:rsidR="0007464F">
        <w:rPr>
          <w:rFonts w:cs="Times New Roman"/>
          <w:b/>
          <w:i/>
          <w:szCs w:val="24"/>
        </w:rPr>
        <w:t xml:space="preserve">– </w:t>
      </w:r>
    </w:p>
    <w:p w14:paraId="228AB7CF" w14:textId="77777777" w:rsidR="00C96F1E" w:rsidRDefault="00C96F1E" w:rsidP="0079364B">
      <w:pPr>
        <w:pStyle w:val="NoSpacing"/>
        <w:rPr>
          <w:rFonts w:cs="Times New Roman"/>
          <w:szCs w:val="24"/>
        </w:rPr>
      </w:pPr>
    </w:p>
    <w:p w14:paraId="7B876E6A" w14:textId="0EFB9274" w:rsidR="0007464F" w:rsidRDefault="0007464F" w:rsidP="00B21502">
      <w:pPr>
        <w:pStyle w:val="NoSpacing"/>
        <w:numPr>
          <w:ilvl w:val="1"/>
          <w:numId w:val="17"/>
        </w:numPr>
        <w:rPr>
          <w:rFonts w:cs="Times New Roman"/>
          <w:szCs w:val="24"/>
        </w:rPr>
      </w:pPr>
      <w:r>
        <w:rPr>
          <w:rFonts w:cs="Times New Roman"/>
          <w:i/>
          <w:szCs w:val="24"/>
        </w:rPr>
        <w:t xml:space="preserve">Honestly, Fairly and with Competence </w:t>
      </w:r>
      <w:r>
        <w:rPr>
          <w:rFonts w:cs="Times New Roman"/>
          <w:szCs w:val="24"/>
        </w:rPr>
        <w:t xml:space="preserve">– If a </w:t>
      </w:r>
      <w:r w:rsidR="00B248C7">
        <w:rPr>
          <w:rFonts w:cs="Times New Roman"/>
          <w:szCs w:val="24"/>
        </w:rPr>
        <w:t>solicitor</w:t>
      </w:r>
      <w:r>
        <w:rPr>
          <w:rFonts w:cs="Times New Roman"/>
          <w:szCs w:val="24"/>
        </w:rPr>
        <w:t xml:space="preserve"> cannot represent the client with honesty, integrity and competence then the barrister should not represent the client – particularly if they are unable to be reasonably prompt in their client dealings [</w:t>
      </w:r>
      <w:r w:rsidR="00F723FE">
        <w:rPr>
          <w:rFonts w:cs="Times New Roman"/>
          <w:szCs w:val="24"/>
        </w:rPr>
        <w:t>PCPR R</w:t>
      </w:r>
      <w:r>
        <w:rPr>
          <w:rFonts w:cs="Times New Roman"/>
          <w:szCs w:val="24"/>
        </w:rPr>
        <w:t>2]</w:t>
      </w:r>
    </w:p>
    <w:p w14:paraId="3637142C" w14:textId="77777777" w:rsidR="00206BFE" w:rsidRDefault="00206BFE" w:rsidP="00206BFE">
      <w:pPr>
        <w:pStyle w:val="NoSpacing"/>
        <w:rPr>
          <w:rFonts w:cs="Times New Roman"/>
          <w:i/>
          <w:szCs w:val="24"/>
        </w:rPr>
      </w:pPr>
    </w:p>
    <w:p w14:paraId="2DE8E46C" w14:textId="77777777" w:rsidR="00206BFE" w:rsidRPr="00206BFE" w:rsidRDefault="00206BFE" w:rsidP="00591BC4">
      <w:pPr>
        <w:autoSpaceDE w:val="0"/>
        <w:autoSpaceDN w:val="0"/>
        <w:adjustRightInd w:val="0"/>
        <w:ind w:left="2160"/>
        <w:rPr>
          <w:rFonts w:eastAsiaTheme="minorHAnsi"/>
          <w:i/>
          <w:lang w:val="en-AU"/>
        </w:rPr>
      </w:pPr>
      <w:r w:rsidRPr="00206BFE">
        <w:rPr>
          <w:rFonts w:eastAsiaTheme="minorHAnsi"/>
          <w:i/>
          <w:lang w:val="en-AU"/>
        </w:rPr>
        <w:t>A practitioner should agree to act for a client in a matter only when the practitioner</w:t>
      </w:r>
    </w:p>
    <w:p w14:paraId="5A8FCB2A" w14:textId="77777777" w:rsidR="00206BFE" w:rsidRPr="00206BFE" w:rsidRDefault="00206BFE" w:rsidP="00591BC4">
      <w:pPr>
        <w:autoSpaceDE w:val="0"/>
        <w:autoSpaceDN w:val="0"/>
        <w:adjustRightInd w:val="0"/>
        <w:ind w:left="2160"/>
        <w:rPr>
          <w:rFonts w:eastAsiaTheme="minorHAnsi"/>
          <w:i/>
          <w:lang w:val="en-AU"/>
        </w:rPr>
      </w:pPr>
      <w:proofErr w:type="gramStart"/>
      <w:r w:rsidRPr="00206BFE">
        <w:rPr>
          <w:rFonts w:eastAsiaTheme="minorHAnsi"/>
          <w:i/>
          <w:lang w:val="en-AU"/>
        </w:rPr>
        <w:t>reasonably</w:t>
      </w:r>
      <w:proofErr w:type="gramEnd"/>
      <w:r w:rsidRPr="00206BFE">
        <w:rPr>
          <w:rFonts w:eastAsiaTheme="minorHAnsi"/>
          <w:i/>
          <w:lang w:val="en-AU"/>
        </w:rPr>
        <w:t xml:space="preserve"> expects:</w:t>
      </w:r>
    </w:p>
    <w:p w14:paraId="03704BED" w14:textId="59571CF4" w:rsidR="00206BFE" w:rsidRPr="00206BFE" w:rsidRDefault="00206BFE" w:rsidP="00591BC4">
      <w:pPr>
        <w:autoSpaceDE w:val="0"/>
        <w:autoSpaceDN w:val="0"/>
        <w:adjustRightInd w:val="0"/>
        <w:ind w:left="2160"/>
        <w:rPr>
          <w:rFonts w:eastAsiaTheme="minorHAnsi"/>
          <w:i/>
          <w:lang w:val="en-AU"/>
        </w:rPr>
      </w:pPr>
      <w:r w:rsidRPr="00206BFE">
        <w:rPr>
          <w:rFonts w:eastAsiaTheme="minorHAnsi"/>
          <w:i/>
          <w:lang w:val="en-AU"/>
        </w:rPr>
        <w:t xml:space="preserve">2.1 </w:t>
      </w:r>
      <w:proofErr w:type="gramStart"/>
      <w:r w:rsidRPr="00206BFE">
        <w:rPr>
          <w:rFonts w:eastAsiaTheme="minorHAnsi"/>
          <w:i/>
          <w:lang w:val="en-AU"/>
        </w:rPr>
        <w:t>to</w:t>
      </w:r>
      <w:proofErr w:type="gramEnd"/>
      <w:r w:rsidRPr="00206BFE">
        <w:rPr>
          <w:rFonts w:eastAsiaTheme="minorHAnsi"/>
          <w:i/>
          <w:lang w:val="en-AU"/>
        </w:rPr>
        <w:t xml:space="preserve"> serve the client honestly and fairly, and with competence and diligence; and</w:t>
      </w:r>
    </w:p>
    <w:p w14:paraId="7A0DB1A0" w14:textId="061D8484" w:rsidR="00206BFE" w:rsidRDefault="00206BFE" w:rsidP="00591BC4">
      <w:pPr>
        <w:pStyle w:val="NoSpacing"/>
        <w:ind w:left="2160"/>
        <w:rPr>
          <w:rFonts w:cs="Times New Roman"/>
          <w:szCs w:val="24"/>
        </w:rPr>
      </w:pPr>
      <w:r w:rsidRPr="00206BFE">
        <w:rPr>
          <w:i/>
          <w:szCs w:val="24"/>
        </w:rPr>
        <w:t>2.2 to attend to the work required with reasonable promptness.</w:t>
      </w:r>
    </w:p>
    <w:p w14:paraId="6F946E04" w14:textId="77777777" w:rsidR="00564709" w:rsidRDefault="00564709" w:rsidP="00564709">
      <w:pPr>
        <w:pStyle w:val="NoSpacing"/>
        <w:ind w:left="1440"/>
        <w:rPr>
          <w:rFonts w:cs="Times New Roman"/>
          <w:szCs w:val="24"/>
        </w:rPr>
      </w:pPr>
    </w:p>
    <w:p w14:paraId="4307E459" w14:textId="77777777" w:rsidR="00E45369" w:rsidRDefault="00E45369" w:rsidP="00B21502">
      <w:pPr>
        <w:pStyle w:val="NoSpacing"/>
        <w:numPr>
          <w:ilvl w:val="1"/>
          <w:numId w:val="17"/>
        </w:numPr>
        <w:rPr>
          <w:rFonts w:cs="Times New Roman"/>
          <w:szCs w:val="24"/>
        </w:rPr>
      </w:pPr>
      <w:r>
        <w:rPr>
          <w:rFonts w:cs="Times New Roman"/>
          <w:i/>
          <w:szCs w:val="24"/>
        </w:rPr>
        <w:t xml:space="preserve">Lack of Knowledge and Understanding </w:t>
      </w:r>
      <w:r>
        <w:rPr>
          <w:rFonts w:cs="Times New Roman"/>
          <w:szCs w:val="24"/>
        </w:rPr>
        <w:t>– Counsel who is inexperienced or who does not have reasonable knowledge of the subject matter should refer the matter to another solicitor who does. The risk is litigation and disciplinary sanctions.</w:t>
      </w:r>
    </w:p>
    <w:p w14:paraId="20CFF4D0" w14:textId="77777777" w:rsidR="00E45369" w:rsidRPr="00E85872" w:rsidRDefault="00E45369" w:rsidP="00B21502">
      <w:pPr>
        <w:pStyle w:val="NoSpacing"/>
        <w:numPr>
          <w:ilvl w:val="2"/>
          <w:numId w:val="17"/>
        </w:numPr>
        <w:rPr>
          <w:rFonts w:cs="Times New Roman"/>
          <w:szCs w:val="24"/>
        </w:rPr>
      </w:pPr>
      <w:r>
        <w:rPr>
          <w:rFonts w:cs="Times New Roman"/>
          <w:i/>
          <w:szCs w:val="24"/>
        </w:rPr>
        <w:t xml:space="preserve">Un v </w:t>
      </w:r>
      <w:proofErr w:type="spellStart"/>
      <w:r>
        <w:rPr>
          <w:rFonts w:cs="Times New Roman"/>
          <w:i/>
          <w:szCs w:val="24"/>
        </w:rPr>
        <w:t>Schroter</w:t>
      </w:r>
      <w:proofErr w:type="spellEnd"/>
    </w:p>
    <w:p w14:paraId="0D05E9F4" w14:textId="77777777" w:rsidR="00E85872" w:rsidRPr="00E85872" w:rsidRDefault="00E85872" w:rsidP="00E85872">
      <w:pPr>
        <w:pStyle w:val="NoSpacing"/>
        <w:ind w:left="2160"/>
        <w:rPr>
          <w:rFonts w:cs="Times New Roman"/>
          <w:szCs w:val="24"/>
        </w:rPr>
      </w:pPr>
    </w:p>
    <w:p w14:paraId="650BB404" w14:textId="6BB0F0D6" w:rsidR="00E85872" w:rsidRDefault="00E85872" w:rsidP="00B21502">
      <w:pPr>
        <w:pStyle w:val="NoSpacing"/>
        <w:numPr>
          <w:ilvl w:val="1"/>
          <w:numId w:val="17"/>
        </w:numPr>
        <w:rPr>
          <w:rFonts w:cs="Times New Roman"/>
          <w:szCs w:val="24"/>
        </w:rPr>
      </w:pPr>
      <w:r>
        <w:rPr>
          <w:rFonts w:cs="Times New Roman"/>
          <w:i/>
          <w:szCs w:val="24"/>
        </w:rPr>
        <w:t>Too much work</w:t>
      </w:r>
      <w:r w:rsidR="0080238B">
        <w:rPr>
          <w:rFonts w:cs="Times New Roman"/>
          <w:i/>
          <w:szCs w:val="24"/>
        </w:rPr>
        <w:t xml:space="preserve"> </w:t>
      </w:r>
      <w:r w:rsidR="0080238B">
        <w:rPr>
          <w:rFonts w:cs="Times New Roman"/>
          <w:szCs w:val="24"/>
        </w:rPr>
        <w:t xml:space="preserve">– A </w:t>
      </w:r>
      <w:r w:rsidR="004F6E3C">
        <w:rPr>
          <w:rFonts w:cs="Times New Roman"/>
          <w:szCs w:val="24"/>
        </w:rPr>
        <w:t>solicitor</w:t>
      </w:r>
      <w:r w:rsidR="0080238B">
        <w:rPr>
          <w:rFonts w:cs="Times New Roman"/>
          <w:szCs w:val="24"/>
        </w:rPr>
        <w:t xml:space="preserve"> should avoid situations in which they overload too greatly on work and this prevents them from adequately and accurately </w:t>
      </w:r>
      <w:r w:rsidR="004F6E3C">
        <w:rPr>
          <w:rFonts w:cs="Times New Roman"/>
          <w:szCs w:val="24"/>
        </w:rPr>
        <w:t>undertaking</w:t>
      </w:r>
      <w:r w:rsidR="0080238B">
        <w:rPr>
          <w:rFonts w:cs="Times New Roman"/>
          <w:szCs w:val="24"/>
        </w:rPr>
        <w:t xml:space="preserve"> matters for clients.</w:t>
      </w:r>
    </w:p>
    <w:p w14:paraId="7D9B21BC" w14:textId="6206376C" w:rsidR="0080238B" w:rsidRPr="003637F0" w:rsidRDefault="0080238B" w:rsidP="00B21502">
      <w:pPr>
        <w:pStyle w:val="NoSpacing"/>
        <w:numPr>
          <w:ilvl w:val="2"/>
          <w:numId w:val="17"/>
        </w:numPr>
        <w:rPr>
          <w:rFonts w:cs="Times New Roman"/>
          <w:szCs w:val="24"/>
        </w:rPr>
      </w:pPr>
      <w:r>
        <w:rPr>
          <w:rFonts w:cs="Times New Roman"/>
          <w:i/>
          <w:szCs w:val="24"/>
        </w:rPr>
        <w:t>Re Nelson</w:t>
      </w:r>
    </w:p>
    <w:p w14:paraId="2FE37A1B" w14:textId="5F892FC9" w:rsidR="00B8495C" w:rsidRDefault="00B8495C" w:rsidP="00B8495C">
      <w:pPr>
        <w:pStyle w:val="NoSpacing"/>
        <w:rPr>
          <w:rFonts w:cs="Times New Roman"/>
          <w:b/>
          <w:szCs w:val="24"/>
          <w:u w:val="single"/>
        </w:rPr>
      </w:pPr>
      <w:r>
        <w:rPr>
          <w:rFonts w:cs="Times New Roman"/>
          <w:b/>
          <w:szCs w:val="24"/>
          <w:u w:val="single"/>
        </w:rPr>
        <w:lastRenderedPageBreak/>
        <w:t>Termination of Retainer</w:t>
      </w:r>
    </w:p>
    <w:p w14:paraId="238918D5" w14:textId="77777777" w:rsidR="0080238B" w:rsidRPr="002B69FE" w:rsidRDefault="0080238B" w:rsidP="00B8495C">
      <w:pPr>
        <w:pStyle w:val="NoSpacing"/>
        <w:rPr>
          <w:rFonts w:cs="Times New Roman"/>
          <w:szCs w:val="24"/>
        </w:rPr>
      </w:pPr>
    </w:p>
    <w:p w14:paraId="12996736" w14:textId="5ADF3CC8" w:rsidR="009B7853" w:rsidRDefault="00F255C9" w:rsidP="00B21502">
      <w:pPr>
        <w:pStyle w:val="NoSpacing"/>
        <w:numPr>
          <w:ilvl w:val="0"/>
          <w:numId w:val="18"/>
        </w:numPr>
        <w:rPr>
          <w:rFonts w:cs="Times New Roman"/>
          <w:szCs w:val="24"/>
        </w:rPr>
      </w:pPr>
      <w:r w:rsidRPr="00F2067C">
        <w:rPr>
          <w:rFonts w:cs="Times New Roman"/>
          <w:b/>
          <w:i/>
          <w:szCs w:val="24"/>
        </w:rPr>
        <w:t>Completion of Retainer</w:t>
      </w:r>
      <w:r>
        <w:rPr>
          <w:rFonts w:cs="Times New Roman"/>
          <w:i/>
          <w:szCs w:val="24"/>
        </w:rPr>
        <w:t xml:space="preserve"> </w:t>
      </w:r>
      <w:r>
        <w:rPr>
          <w:rFonts w:cs="Times New Roman"/>
          <w:szCs w:val="24"/>
        </w:rPr>
        <w:t>– The termination of the retainer typically implies that the lawyer has completed the work for which they were retained in accordance with the retainer.</w:t>
      </w:r>
      <w:r w:rsidR="00DC3234">
        <w:rPr>
          <w:rFonts w:cs="Times New Roman"/>
          <w:szCs w:val="24"/>
        </w:rPr>
        <w:t xml:space="preserve"> They should not terminate unless:</w:t>
      </w:r>
    </w:p>
    <w:p w14:paraId="69E978D0" w14:textId="095EF016" w:rsidR="00DC3234" w:rsidRPr="00E51932" w:rsidRDefault="00E51932" w:rsidP="00B21502">
      <w:pPr>
        <w:pStyle w:val="NoSpacing"/>
        <w:numPr>
          <w:ilvl w:val="1"/>
          <w:numId w:val="18"/>
        </w:numPr>
        <w:rPr>
          <w:rFonts w:cs="Times New Roman"/>
          <w:b/>
          <w:szCs w:val="24"/>
        </w:rPr>
      </w:pPr>
      <w:r w:rsidRPr="002D43EB">
        <w:rPr>
          <w:rFonts w:cs="Times New Roman"/>
          <w:b/>
          <w:i/>
          <w:szCs w:val="24"/>
          <w:u w:val="single"/>
        </w:rPr>
        <w:t xml:space="preserve">PCPR </w:t>
      </w:r>
      <w:r w:rsidR="00DC3234" w:rsidRPr="002D43EB">
        <w:rPr>
          <w:rFonts w:cs="Times New Roman"/>
          <w:b/>
          <w:i/>
          <w:szCs w:val="24"/>
          <w:u w:val="single"/>
        </w:rPr>
        <w:t>6.1.3</w:t>
      </w:r>
      <w:r w:rsidR="00DC3234" w:rsidRPr="00E51932">
        <w:rPr>
          <w:rFonts w:cs="Times New Roman"/>
          <w:b/>
          <w:i/>
          <w:szCs w:val="24"/>
        </w:rPr>
        <w:t xml:space="preserve"> </w:t>
      </w:r>
      <w:r>
        <w:rPr>
          <w:rFonts w:cs="Times New Roman"/>
          <w:b/>
          <w:i/>
          <w:szCs w:val="24"/>
        </w:rPr>
        <w:t xml:space="preserve">– </w:t>
      </w:r>
      <w:r w:rsidRPr="00821079">
        <w:rPr>
          <w:rFonts w:cs="Times New Roman"/>
          <w:i/>
          <w:szCs w:val="24"/>
        </w:rPr>
        <w:t>By agreement (6.3.1), by discharge (6.3.2), by ‘just cause’ 6.1.3</w:t>
      </w:r>
    </w:p>
    <w:p w14:paraId="43E1C37C" w14:textId="77777777" w:rsidR="00F255C9" w:rsidRDefault="00F255C9" w:rsidP="00F255C9">
      <w:pPr>
        <w:pStyle w:val="NoSpacing"/>
        <w:ind w:left="720"/>
        <w:rPr>
          <w:rFonts w:cs="Times New Roman"/>
          <w:szCs w:val="24"/>
        </w:rPr>
      </w:pPr>
    </w:p>
    <w:p w14:paraId="412BAEE8" w14:textId="6D5D1F63" w:rsidR="00F255C9" w:rsidRDefault="00646EF1" w:rsidP="00B21502">
      <w:pPr>
        <w:pStyle w:val="NoSpacing"/>
        <w:numPr>
          <w:ilvl w:val="0"/>
          <w:numId w:val="18"/>
        </w:numPr>
        <w:rPr>
          <w:rFonts w:cs="Times New Roman"/>
          <w:szCs w:val="24"/>
        </w:rPr>
      </w:pPr>
      <w:r w:rsidRPr="00F2067C">
        <w:rPr>
          <w:rFonts w:cs="Times New Roman"/>
          <w:b/>
          <w:i/>
          <w:szCs w:val="24"/>
        </w:rPr>
        <w:t>Duration of Retainer</w:t>
      </w:r>
      <w:r>
        <w:rPr>
          <w:rFonts w:cs="Times New Roman"/>
          <w:i/>
          <w:szCs w:val="24"/>
        </w:rPr>
        <w:t xml:space="preserve"> </w:t>
      </w:r>
      <w:r>
        <w:rPr>
          <w:rFonts w:cs="Times New Roman"/>
          <w:szCs w:val="24"/>
        </w:rPr>
        <w:t xml:space="preserve">– The lawyer must represent the client with the full weight of contract, equity and tort to protect the </w:t>
      </w:r>
      <w:r w:rsidR="000657E5">
        <w:rPr>
          <w:rFonts w:cs="Times New Roman"/>
          <w:szCs w:val="24"/>
        </w:rPr>
        <w:t>clients’</w:t>
      </w:r>
      <w:r>
        <w:rPr>
          <w:rFonts w:cs="Times New Roman"/>
          <w:szCs w:val="24"/>
        </w:rPr>
        <w:t xml:space="preserve"> interests by all relevant means available to the lawyer.</w:t>
      </w:r>
    </w:p>
    <w:p w14:paraId="468864C7" w14:textId="77777777" w:rsidR="00646EF1" w:rsidRDefault="00646EF1" w:rsidP="00646EF1">
      <w:pPr>
        <w:pStyle w:val="ListParagraph"/>
      </w:pPr>
    </w:p>
    <w:p w14:paraId="22BCF825" w14:textId="695C0738" w:rsidR="00646EF1" w:rsidRDefault="00053B66" w:rsidP="00B21502">
      <w:pPr>
        <w:pStyle w:val="NoSpacing"/>
        <w:numPr>
          <w:ilvl w:val="0"/>
          <w:numId w:val="18"/>
        </w:numPr>
        <w:rPr>
          <w:rFonts w:cs="Times New Roman"/>
          <w:szCs w:val="24"/>
        </w:rPr>
      </w:pPr>
      <w:r w:rsidRPr="00F2067C">
        <w:rPr>
          <w:rFonts w:cs="Times New Roman"/>
          <w:b/>
          <w:i/>
          <w:szCs w:val="24"/>
        </w:rPr>
        <w:t>Doctrine of Entire Contract</w:t>
      </w:r>
      <w:r w:rsidR="00FB19FB">
        <w:rPr>
          <w:rFonts w:cs="Times New Roman"/>
          <w:szCs w:val="24"/>
        </w:rPr>
        <w:t xml:space="preserve"> – Per 1. </w:t>
      </w:r>
      <w:proofErr w:type="gramStart"/>
      <w:r w:rsidR="0024778F">
        <w:rPr>
          <w:rFonts w:cs="Times New Roman"/>
          <w:szCs w:val="24"/>
        </w:rPr>
        <w:t>a</w:t>
      </w:r>
      <w:r w:rsidR="00FB19FB">
        <w:rPr>
          <w:rFonts w:cs="Times New Roman"/>
          <w:szCs w:val="24"/>
        </w:rPr>
        <w:t>bove</w:t>
      </w:r>
      <w:proofErr w:type="gramEnd"/>
      <w:r w:rsidR="00FB19FB">
        <w:rPr>
          <w:rFonts w:cs="Times New Roman"/>
          <w:szCs w:val="24"/>
        </w:rPr>
        <w:t>, the lawyer cannot terminate the contract at will – this is due to the doctrine of entire contract which requires the lawyer to undertake their representation of the client</w:t>
      </w:r>
      <w:r w:rsidR="00F4790B">
        <w:rPr>
          <w:rFonts w:cs="Times New Roman"/>
          <w:szCs w:val="24"/>
        </w:rPr>
        <w:t xml:space="preserve"> until their finish the work for which they were retained.</w:t>
      </w:r>
    </w:p>
    <w:p w14:paraId="6DC001C7" w14:textId="5C9B038B" w:rsidR="00F4790B" w:rsidRDefault="00F4790B" w:rsidP="00B21502">
      <w:pPr>
        <w:pStyle w:val="NoSpacing"/>
        <w:numPr>
          <w:ilvl w:val="1"/>
          <w:numId w:val="18"/>
        </w:numPr>
        <w:rPr>
          <w:rFonts w:cs="Times New Roman"/>
          <w:szCs w:val="24"/>
        </w:rPr>
      </w:pPr>
      <w:r>
        <w:rPr>
          <w:rFonts w:cs="Times New Roman"/>
          <w:i/>
          <w:szCs w:val="24"/>
        </w:rPr>
        <w:t>Baker v Legal Services Commissioner</w:t>
      </w:r>
    </w:p>
    <w:p w14:paraId="33821A49" w14:textId="77777777" w:rsidR="00F4790B" w:rsidRDefault="00F4790B" w:rsidP="00F4790B">
      <w:pPr>
        <w:pStyle w:val="NoSpacing"/>
        <w:ind w:left="1440"/>
        <w:rPr>
          <w:rFonts w:cs="Times New Roman"/>
          <w:szCs w:val="24"/>
        </w:rPr>
      </w:pPr>
    </w:p>
    <w:p w14:paraId="681F31D5" w14:textId="2D8B7129" w:rsidR="00F4790B" w:rsidRDefault="00053B66" w:rsidP="00B21502">
      <w:pPr>
        <w:pStyle w:val="NoSpacing"/>
        <w:numPr>
          <w:ilvl w:val="0"/>
          <w:numId w:val="18"/>
        </w:numPr>
        <w:rPr>
          <w:rFonts w:cs="Times New Roman"/>
          <w:szCs w:val="24"/>
        </w:rPr>
      </w:pPr>
      <w:r w:rsidRPr="00F2067C">
        <w:rPr>
          <w:rFonts w:cs="Times New Roman"/>
          <w:b/>
          <w:i/>
          <w:szCs w:val="24"/>
        </w:rPr>
        <w:t>Cannot Disadvantage the Client by Termination</w:t>
      </w:r>
      <w:r w:rsidR="007D7B27">
        <w:rPr>
          <w:rFonts w:cs="Times New Roman"/>
          <w:i/>
          <w:szCs w:val="24"/>
        </w:rPr>
        <w:t xml:space="preserve"> – </w:t>
      </w:r>
      <w:r w:rsidR="007D7B27">
        <w:rPr>
          <w:rFonts w:cs="Times New Roman"/>
          <w:szCs w:val="24"/>
        </w:rPr>
        <w:t>The key to termination is that the lawyer cannot terminate a retainer at will and cannot disadvantage the client once retained.</w:t>
      </w:r>
      <w:r w:rsidR="00DC6AF3">
        <w:rPr>
          <w:rFonts w:cs="Times New Roman"/>
          <w:szCs w:val="24"/>
        </w:rPr>
        <w:t xml:space="preserve"> The ‘only’ manner in which a lawyer can terminate is with reasonable ‘just cause’</w:t>
      </w:r>
      <w:r w:rsidR="00F2067C">
        <w:rPr>
          <w:rFonts w:cs="Times New Roman"/>
          <w:szCs w:val="24"/>
        </w:rPr>
        <w:t xml:space="preserve"> and </w:t>
      </w:r>
      <w:r w:rsidR="00E95227">
        <w:rPr>
          <w:rFonts w:cs="Times New Roman"/>
          <w:szCs w:val="24"/>
        </w:rPr>
        <w:t>‘</w:t>
      </w:r>
      <w:r w:rsidR="00F2067C">
        <w:rPr>
          <w:rFonts w:cs="Times New Roman"/>
          <w:szCs w:val="24"/>
        </w:rPr>
        <w:t>reasonable notice</w:t>
      </w:r>
      <w:r w:rsidR="00E95227">
        <w:rPr>
          <w:rFonts w:cs="Times New Roman"/>
          <w:szCs w:val="24"/>
        </w:rPr>
        <w:t>’</w:t>
      </w:r>
      <w:r w:rsidR="00F2067C">
        <w:rPr>
          <w:rFonts w:cs="Times New Roman"/>
          <w:szCs w:val="24"/>
        </w:rPr>
        <w:t>.</w:t>
      </w:r>
      <w:r w:rsidR="00E95227">
        <w:rPr>
          <w:rFonts w:cs="Times New Roman"/>
          <w:szCs w:val="24"/>
        </w:rPr>
        <w:t xml:space="preserve"> </w:t>
      </w:r>
    </w:p>
    <w:p w14:paraId="59810EE1" w14:textId="4724B789" w:rsidR="00E95227" w:rsidRPr="00E95227" w:rsidRDefault="00E95227" w:rsidP="00B21502">
      <w:pPr>
        <w:pStyle w:val="NoSpacing"/>
        <w:numPr>
          <w:ilvl w:val="1"/>
          <w:numId w:val="18"/>
        </w:numPr>
        <w:rPr>
          <w:rFonts w:cs="Times New Roman"/>
          <w:szCs w:val="24"/>
        </w:rPr>
      </w:pPr>
      <w:r w:rsidRPr="00E95227">
        <w:rPr>
          <w:rFonts w:cs="Times New Roman"/>
          <w:i/>
          <w:szCs w:val="24"/>
        </w:rPr>
        <w:t>The lawyer cannot terminate for:</w:t>
      </w:r>
    </w:p>
    <w:p w14:paraId="66A1EEE4" w14:textId="77777777" w:rsidR="00E95227" w:rsidRDefault="00BE0A60" w:rsidP="00B21502">
      <w:pPr>
        <w:pStyle w:val="NoSpacing"/>
        <w:numPr>
          <w:ilvl w:val="2"/>
          <w:numId w:val="18"/>
        </w:numPr>
        <w:rPr>
          <w:rFonts w:cs="Times New Roman"/>
          <w:szCs w:val="24"/>
        </w:rPr>
      </w:pPr>
      <w:r>
        <w:rPr>
          <w:rFonts w:cs="Times New Roman"/>
          <w:szCs w:val="24"/>
        </w:rPr>
        <w:t>More remunerative work</w:t>
      </w:r>
    </w:p>
    <w:p w14:paraId="60B9B5D4" w14:textId="77777777" w:rsidR="00BE0A60" w:rsidRDefault="00BE0A60" w:rsidP="00B21502">
      <w:pPr>
        <w:pStyle w:val="NoSpacing"/>
        <w:numPr>
          <w:ilvl w:val="2"/>
          <w:numId w:val="18"/>
        </w:numPr>
        <w:rPr>
          <w:rFonts w:cs="Times New Roman"/>
          <w:szCs w:val="24"/>
        </w:rPr>
      </w:pPr>
      <w:r>
        <w:rPr>
          <w:rFonts w:cs="Times New Roman"/>
          <w:szCs w:val="24"/>
        </w:rPr>
        <w:t>Loss of interest</w:t>
      </w:r>
    </w:p>
    <w:p w14:paraId="4F8173A3" w14:textId="4B847D69" w:rsidR="00BE0A60" w:rsidRDefault="00BE0A60" w:rsidP="00B21502">
      <w:pPr>
        <w:pStyle w:val="NoSpacing"/>
        <w:numPr>
          <w:ilvl w:val="2"/>
          <w:numId w:val="18"/>
        </w:numPr>
        <w:rPr>
          <w:rFonts w:cs="Times New Roman"/>
          <w:szCs w:val="24"/>
        </w:rPr>
      </w:pPr>
      <w:r>
        <w:rPr>
          <w:rFonts w:cs="Times New Roman"/>
          <w:szCs w:val="24"/>
        </w:rPr>
        <w:t>Excessive Workload</w:t>
      </w:r>
    </w:p>
    <w:p w14:paraId="143E1F50" w14:textId="77777777" w:rsidR="00DC6AF3" w:rsidRDefault="00DC6AF3" w:rsidP="00DC6AF3">
      <w:pPr>
        <w:pStyle w:val="NoSpacing"/>
        <w:ind w:left="720"/>
        <w:rPr>
          <w:rFonts w:cs="Times New Roman"/>
          <w:szCs w:val="24"/>
        </w:rPr>
      </w:pPr>
    </w:p>
    <w:p w14:paraId="41772E75" w14:textId="18100687" w:rsidR="00DC6AF3" w:rsidRDefault="00F2067C" w:rsidP="00B21502">
      <w:pPr>
        <w:pStyle w:val="NoSpacing"/>
        <w:numPr>
          <w:ilvl w:val="0"/>
          <w:numId w:val="18"/>
        </w:numPr>
        <w:rPr>
          <w:rFonts w:cs="Times New Roman"/>
          <w:szCs w:val="24"/>
        </w:rPr>
      </w:pPr>
      <w:r>
        <w:rPr>
          <w:rFonts w:cs="Times New Roman"/>
          <w:b/>
          <w:i/>
          <w:szCs w:val="24"/>
        </w:rPr>
        <w:t>‘Just Cause’ and ‘Reasonable Notice’</w:t>
      </w:r>
      <w:r w:rsidR="00890FB6">
        <w:rPr>
          <w:rFonts w:cs="Times New Roman"/>
          <w:b/>
          <w:szCs w:val="24"/>
        </w:rPr>
        <w:t xml:space="preserve"> </w:t>
      </w:r>
      <w:r w:rsidR="00890FB6" w:rsidRPr="00890FB6">
        <w:rPr>
          <w:rFonts w:cs="Times New Roman"/>
          <w:szCs w:val="24"/>
        </w:rPr>
        <w:t xml:space="preserve">– </w:t>
      </w:r>
      <w:r w:rsidR="00A03AD1">
        <w:rPr>
          <w:rFonts w:cs="Times New Roman"/>
          <w:szCs w:val="24"/>
        </w:rPr>
        <w:t xml:space="preserve">A lawyer who terminates a retainer must ensure </w:t>
      </w:r>
      <w:r w:rsidR="00A03AD1" w:rsidRPr="00D644A8">
        <w:rPr>
          <w:rFonts w:cs="Times New Roman"/>
          <w:szCs w:val="24"/>
          <w:u w:val="single"/>
        </w:rPr>
        <w:t>reasonable care to avoid foreseeable harm</w:t>
      </w:r>
      <w:r w:rsidR="00A03AD1">
        <w:rPr>
          <w:rFonts w:cs="Times New Roman"/>
          <w:szCs w:val="24"/>
        </w:rPr>
        <w:t xml:space="preserve"> to the client including the provision of </w:t>
      </w:r>
      <w:r w:rsidR="00A03AD1" w:rsidRPr="003244AA">
        <w:rPr>
          <w:rFonts w:cs="Times New Roman"/>
          <w:szCs w:val="24"/>
          <w:u w:val="single"/>
        </w:rPr>
        <w:t>due notice to the client</w:t>
      </w:r>
      <w:r w:rsidR="00A03AD1">
        <w:rPr>
          <w:rFonts w:cs="Times New Roman"/>
          <w:szCs w:val="24"/>
        </w:rPr>
        <w:t xml:space="preserve"> and </w:t>
      </w:r>
      <w:r w:rsidR="00A03AD1" w:rsidRPr="00472475">
        <w:rPr>
          <w:rFonts w:cs="Times New Roman"/>
          <w:szCs w:val="24"/>
          <w:u w:val="single"/>
        </w:rPr>
        <w:t>allow reasonable time</w:t>
      </w:r>
      <w:r w:rsidR="00A03AD1">
        <w:rPr>
          <w:rFonts w:cs="Times New Roman"/>
          <w:szCs w:val="24"/>
        </w:rPr>
        <w:t xml:space="preserve"> for the substitution of a new </w:t>
      </w:r>
      <w:r w:rsidR="009D2BBA">
        <w:rPr>
          <w:rFonts w:cs="Times New Roman"/>
          <w:szCs w:val="24"/>
        </w:rPr>
        <w:t>lawyer</w:t>
      </w:r>
      <w:r w:rsidR="00A03AD1">
        <w:rPr>
          <w:rFonts w:cs="Times New Roman"/>
          <w:szCs w:val="24"/>
        </w:rPr>
        <w:t>.</w:t>
      </w:r>
    </w:p>
    <w:p w14:paraId="56B7A107" w14:textId="77777777" w:rsidR="00A03AD1" w:rsidRDefault="00A03AD1" w:rsidP="00A03AD1">
      <w:pPr>
        <w:pStyle w:val="ListParagraph"/>
      </w:pPr>
    </w:p>
    <w:p w14:paraId="7AA9949F" w14:textId="7EFCB6CD" w:rsidR="00A03AD1" w:rsidRDefault="00C56894" w:rsidP="00B21502">
      <w:pPr>
        <w:pStyle w:val="NoSpacing"/>
        <w:numPr>
          <w:ilvl w:val="1"/>
          <w:numId w:val="18"/>
        </w:numPr>
        <w:rPr>
          <w:rFonts w:cs="Times New Roman"/>
          <w:szCs w:val="24"/>
        </w:rPr>
      </w:pPr>
      <w:r>
        <w:rPr>
          <w:rFonts w:cs="Times New Roman"/>
          <w:i/>
          <w:szCs w:val="24"/>
        </w:rPr>
        <w:t xml:space="preserve">New Lawyer </w:t>
      </w:r>
      <w:r>
        <w:rPr>
          <w:rFonts w:cs="Times New Roman"/>
          <w:szCs w:val="24"/>
        </w:rPr>
        <w:t xml:space="preserve">– </w:t>
      </w:r>
      <w:r w:rsidR="00E20D15">
        <w:rPr>
          <w:rFonts w:cs="Times New Roman"/>
          <w:szCs w:val="24"/>
        </w:rPr>
        <w:t>PCPR</w:t>
      </w:r>
      <w:r w:rsidR="00533D6A">
        <w:rPr>
          <w:rFonts w:cs="Times New Roman"/>
          <w:szCs w:val="24"/>
        </w:rPr>
        <w:t xml:space="preserve"> 23 – The terminating lawyer must co</w:t>
      </w:r>
      <w:r w:rsidR="00F97190">
        <w:rPr>
          <w:rFonts w:cs="Times New Roman"/>
          <w:szCs w:val="24"/>
        </w:rPr>
        <w:t>–</w:t>
      </w:r>
      <w:r w:rsidR="00533D6A">
        <w:rPr>
          <w:rFonts w:cs="Times New Roman"/>
          <w:szCs w:val="24"/>
        </w:rPr>
        <w:t>operate with the new lawyer and subject to the satisfaction of any lien the former lawyer may have to turn over to the later all documents of the former client.</w:t>
      </w:r>
    </w:p>
    <w:p w14:paraId="79D46A53" w14:textId="77777777" w:rsidR="00533D6A" w:rsidRDefault="00533D6A" w:rsidP="00533D6A">
      <w:pPr>
        <w:pStyle w:val="NoSpacing"/>
        <w:ind w:left="1440"/>
        <w:rPr>
          <w:rFonts w:cs="Times New Roman"/>
          <w:szCs w:val="24"/>
        </w:rPr>
      </w:pPr>
    </w:p>
    <w:p w14:paraId="07889D3C" w14:textId="10A48714" w:rsidR="00FB5EC2" w:rsidRPr="004F7F31" w:rsidRDefault="00BE0A60" w:rsidP="00B21502">
      <w:pPr>
        <w:pStyle w:val="NoSpacing"/>
        <w:numPr>
          <w:ilvl w:val="1"/>
          <w:numId w:val="18"/>
        </w:numPr>
        <w:rPr>
          <w:rFonts w:cs="Times New Roman"/>
          <w:szCs w:val="24"/>
        </w:rPr>
      </w:pPr>
      <w:r>
        <w:rPr>
          <w:rFonts w:cs="Times New Roman"/>
          <w:szCs w:val="24"/>
        </w:rPr>
        <w:t>Permissible ‘just cause’</w:t>
      </w:r>
      <w:r w:rsidR="00FB5EC2">
        <w:rPr>
          <w:rFonts w:cs="Times New Roman"/>
          <w:szCs w:val="24"/>
        </w:rPr>
        <w:t xml:space="preserve"> – </w:t>
      </w:r>
      <w:r w:rsidR="000822C2" w:rsidRPr="000B0288">
        <w:rPr>
          <w:rFonts w:cs="Times New Roman"/>
          <w:i/>
          <w:szCs w:val="24"/>
        </w:rPr>
        <w:t>PCPR 6</w:t>
      </w:r>
      <w:r w:rsidR="002F3738" w:rsidRPr="000B0288">
        <w:rPr>
          <w:rFonts w:cs="Times New Roman"/>
          <w:i/>
          <w:szCs w:val="24"/>
        </w:rPr>
        <w:t>.1.3</w:t>
      </w:r>
    </w:p>
    <w:p w14:paraId="6BC534D4" w14:textId="49A70375" w:rsidR="00FB5EC2" w:rsidRDefault="00FB5EC2" w:rsidP="00B21502">
      <w:pPr>
        <w:pStyle w:val="NoSpacing"/>
        <w:numPr>
          <w:ilvl w:val="2"/>
          <w:numId w:val="18"/>
        </w:numPr>
        <w:rPr>
          <w:rFonts w:cs="Times New Roman"/>
          <w:szCs w:val="24"/>
        </w:rPr>
      </w:pPr>
      <w:r>
        <w:rPr>
          <w:rFonts w:cs="Times New Roman"/>
          <w:i/>
          <w:szCs w:val="24"/>
        </w:rPr>
        <w:t xml:space="preserve">Clients acts or omissions provide cause </w:t>
      </w:r>
      <w:r>
        <w:rPr>
          <w:rFonts w:cs="Times New Roman"/>
          <w:szCs w:val="24"/>
        </w:rPr>
        <w:t>– If the client is preventing the lawyer from properly performing their duties such as:</w:t>
      </w:r>
    </w:p>
    <w:p w14:paraId="273C7DEA" w14:textId="79F12B21" w:rsidR="00FB5EC2" w:rsidRPr="00FB5EC2" w:rsidRDefault="00FB5EC2" w:rsidP="00B21502">
      <w:pPr>
        <w:pStyle w:val="NoSpacing"/>
        <w:numPr>
          <w:ilvl w:val="3"/>
          <w:numId w:val="18"/>
        </w:numPr>
        <w:rPr>
          <w:rFonts w:cs="Times New Roman"/>
          <w:szCs w:val="24"/>
        </w:rPr>
      </w:pPr>
      <w:r>
        <w:rPr>
          <w:rFonts w:cs="Times New Roman"/>
          <w:i/>
          <w:szCs w:val="24"/>
        </w:rPr>
        <w:t xml:space="preserve">Breaches the retainer </w:t>
      </w:r>
      <w:r>
        <w:rPr>
          <w:rFonts w:cs="Times New Roman"/>
          <w:szCs w:val="24"/>
        </w:rPr>
        <w:t xml:space="preserve">– </w:t>
      </w:r>
      <w:proofErr w:type="spellStart"/>
      <w:r w:rsidR="00E52B86">
        <w:rPr>
          <w:rFonts w:cs="Times New Roman"/>
          <w:i/>
          <w:szCs w:val="24"/>
        </w:rPr>
        <w:t>Warmingtons</w:t>
      </w:r>
      <w:proofErr w:type="spellEnd"/>
      <w:r w:rsidR="00E52B86">
        <w:rPr>
          <w:rFonts w:cs="Times New Roman"/>
          <w:i/>
          <w:szCs w:val="24"/>
        </w:rPr>
        <w:t xml:space="preserve"> v McMurray</w:t>
      </w:r>
    </w:p>
    <w:p w14:paraId="56B74EC0" w14:textId="09F88EAA" w:rsidR="00FB5EC2" w:rsidRPr="00E52B86" w:rsidRDefault="00E52B86" w:rsidP="00B21502">
      <w:pPr>
        <w:pStyle w:val="NoSpacing"/>
        <w:numPr>
          <w:ilvl w:val="3"/>
          <w:numId w:val="18"/>
        </w:numPr>
        <w:rPr>
          <w:rFonts w:cs="Times New Roman"/>
          <w:szCs w:val="24"/>
        </w:rPr>
      </w:pPr>
      <w:r w:rsidRPr="00E52B86">
        <w:rPr>
          <w:rFonts w:cs="Times New Roman"/>
          <w:i/>
          <w:szCs w:val="24"/>
        </w:rPr>
        <w:t>Refuses to pay costs</w:t>
      </w:r>
      <w:r>
        <w:rPr>
          <w:rFonts w:cs="Times New Roman"/>
          <w:szCs w:val="24"/>
        </w:rPr>
        <w:t xml:space="preserve"> </w:t>
      </w:r>
      <w:r>
        <w:rPr>
          <w:rFonts w:cs="Times New Roman"/>
          <w:i/>
          <w:szCs w:val="24"/>
        </w:rPr>
        <w:t>– Super 1000 Pty Ltd v Pacific Securities</w:t>
      </w:r>
    </w:p>
    <w:p w14:paraId="19064629" w14:textId="2C2F31EC" w:rsidR="00E52B86" w:rsidRPr="00C11669" w:rsidRDefault="00C11669" w:rsidP="00B21502">
      <w:pPr>
        <w:pStyle w:val="NoSpacing"/>
        <w:numPr>
          <w:ilvl w:val="3"/>
          <w:numId w:val="18"/>
        </w:numPr>
        <w:rPr>
          <w:rFonts w:cs="Times New Roman"/>
          <w:szCs w:val="24"/>
        </w:rPr>
      </w:pPr>
      <w:r>
        <w:rPr>
          <w:rFonts w:cs="Times New Roman"/>
          <w:i/>
          <w:szCs w:val="24"/>
        </w:rPr>
        <w:t>Make misrepresentations of the matter to the solicitor</w:t>
      </w:r>
    </w:p>
    <w:p w14:paraId="18C1109C" w14:textId="77777777" w:rsidR="00C11669" w:rsidRPr="00C11669" w:rsidRDefault="00C11669" w:rsidP="00C11669">
      <w:pPr>
        <w:pStyle w:val="NoSpacing"/>
        <w:ind w:left="2880"/>
        <w:rPr>
          <w:rFonts w:cs="Times New Roman"/>
          <w:szCs w:val="24"/>
        </w:rPr>
      </w:pPr>
    </w:p>
    <w:p w14:paraId="299AEC60" w14:textId="0F8F18AD" w:rsidR="00C11669" w:rsidRDefault="00C11669" w:rsidP="00B21502">
      <w:pPr>
        <w:pStyle w:val="NoSpacing"/>
        <w:numPr>
          <w:ilvl w:val="2"/>
          <w:numId w:val="18"/>
        </w:numPr>
        <w:rPr>
          <w:rFonts w:cs="Times New Roman"/>
          <w:szCs w:val="24"/>
        </w:rPr>
      </w:pPr>
      <w:r>
        <w:rPr>
          <w:rFonts w:cs="Times New Roman"/>
          <w:i/>
          <w:szCs w:val="24"/>
        </w:rPr>
        <w:t xml:space="preserve">Legal aid is withdrawn or is terminated and client cannot pay – </w:t>
      </w:r>
      <w:r w:rsidR="00B06128">
        <w:rPr>
          <w:rFonts w:cs="Times New Roman"/>
          <w:szCs w:val="24"/>
        </w:rPr>
        <w:t>PCPR</w:t>
      </w:r>
      <w:r>
        <w:rPr>
          <w:rFonts w:cs="Times New Roman"/>
          <w:szCs w:val="24"/>
        </w:rPr>
        <w:t xml:space="preserve"> </w:t>
      </w:r>
      <w:r w:rsidR="00B06128">
        <w:rPr>
          <w:rFonts w:cs="Times New Roman"/>
          <w:szCs w:val="24"/>
        </w:rPr>
        <w:t>R</w:t>
      </w:r>
      <w:r>
        <w:rPr>
          <w:rFonts w:cs="Times New Roman"/>
          <w:szCs w:val="24"/>
        </w:rPr>
        <w:t>6.3</w:t>
      </w:r>
    </w:p>
    <w:p w14:paraId="690E6725" w14:textId="6FB34C6F" w:rsidR="00C11669" w:rsidRDefault="00C11669" w:rsidP="00B21502">
      <w:pPr>
        <w:pStyle w:val="NoSpacing"/>
        <w:numPr>
          <w:ilvl w:val="2"/>
          <w:numId w:val="18"/>
        </w:numPr>
        <w:rPr>
          <w:rFonts w:cs="Times New Roman"/>
          <w:szCs w:val="24"/>
        </w:rPr>
      </w:pPr>
      <w:r>
        <w:rPr>
          <w:rFonts w:cs="Times New Roman"/>
          <w:i/>
          <w:szCs w:val="24"/>
        </w:rPr>
        <w:t>Continued representation would require the law</w:t>
      </w:r>
      <w:r w:rsidR="0038570E">
        <w:rPr>
          <w:rFonts w:cs="Times New Roman"/>
          <w:i/>
          <w:szCs w:val="24"/>
        </w:rPr>
        <w:t>yer to breach rules through conflict of interest or as a witness</w:t>
      </w:r>
    </w:p>
    <w:p w14:paraId="4C883ADB" w14:textId="314EB9F1" w:rsidR="0038570E" w:rsidRDefault="0038570E" w:rsidP="00B21502">
      <w:pPr>
        <w:pStyle w:val="NoSpacing"/>
        <w:numPr>
          <w:ilvl w:val="2"/>
          <w:numId w:val="18"/>
        </w:numPr>
        <w:rPr>
          <w:rFonts w:cs="Times New Roman"/>
          <w:szCs w:val="24"/>
        </w:rPr>
      </w:pPr>
      <w:r>
        <w:rPr>
          <w:rFonts w:cs="Times New Roman"/>
          <w:i/>
          <w:szCs w:val="24"/>
        </w:rPr>
        <w:t xml:space="preserve">Would adversely </w:t>
      </w:r>
      <w:r w:rsidR="00E62E05">
        <w:rPr>
          <w:rFonts w:cs="Times New Roman"/>
          <w:i/>
          <w:szCs w:val="24"/>
        </w:rPr>
        <w:t>affect</w:t>
      </w:r>
      <w:r>
        <w:rPr>
          <w:rFonts w:cs="Times New Roman"/>
          <w:i/>
          <w:szCs w:val="24"/>
        </w:rPr>
        <w:t xml:space="preserve"> the </w:t>
      </w:r>
      <w:r w:rsidR="00E62E05">
        <w:rPr>
          <w:rFonts w:cs="Times New Roman"/>
          <w:i/>
          <w:szCs w:val="24"/>
        </w:rPr>
        <w:t>lawyers</w:t>
      </w:r>
      <w:r>
        <w:rPr>
          <w:rFonts w:cs="Times New Roman"/>
          <w:i/>
          <w:szCs w:val="24"/>
        </w:rPr>
        <w:t xml:space="preserve"> health</w:t>
      </w:r>
      <w:r w:rsidR="00E62E05">
        <w:rPr>
          <w:rFonts w:cs="Times New Roman"/>
          <w:szCs w:val="24"/>
        </w:rPr>
        <w:t xml:space="preserve"> </w:t>
      </w:r>
      <w:r w:rsidR="00290353">
        <w:rPr>
          <w:rFonts w:cs="Times New Roman"/>
          <w:szCs w:val="24"/>
        </w:rPr>
        <w:t>–</w:t>
      </w:r>
      <w:r w:rsidR="00E62E05">
        <w:rPr>
          <w:rFonts w:cs="Times New Roman"/>
          <w:szCs w:val="24"/>
        </w:rPr>
        <w:t xml:space="preserve"> </w:t>
      </w:r>
      <w:r w:rsidR="00290353">
        <w:rPr>
          <w:rFonts w:cs="Times New Roman"/>
          <w:i/>
          <w:szCs w:val="24"/>
        </w:rPr>
        <w:t xml:space="preserve">Forney v </w:t>
      </w:r>
      <w:proofErr w:type="spellStart"/>
      <w:r w:rsidR="00290353">
        <w:rPr>
          <w:rFonts w:cs="Times New Roman"/>
          <w:i/>
          <w:szCs w:val="24"/>
        </w:rPr>
        <w:t>Bushe</w:t>
      </w:r>
      <w:proofErr w:type="spellEnd"/>
    </w:p>
    <w:p w14:paraId="24345818" w14:textId="77777777" w:rsidR="00290353" w:rsidRDefault="00290353" w:rsidP="00290353">
      <w:pPr>
        <w:pStyle w:val="ListParagraph"/>
      </w:pPr>
    </w:p>
    <w:p w14:paraId="3440232D" w14:textId="44243C96" w:rsidR="00290353" w:rsidRPr="007C545C" w:rsidRDefault="007C545C" w:rsidP="00B21502">
      <w:pPr>
        <w:pStyle w:val="NoSpacing"/>
        <w:numPr>
          <w:ilvl w:val="0"/>
          <w:numId w:val="18"/>
        </w:numPr>
        <w:rPr>
          <w:rFonts w:cs="Times New Roman"/>
          <w:szCs w:val="24"/>
        </w:rPr>
      </w:pPr>
      <w:r>
        <w:rPr>
          <w:rFonts w:cs="Times New Roman"/>
          <w:b/>
          <w:i/>
          <w:szCs w:val="24"/>
        </w:rPr>
        <w:t xml:space="preserve">Pass documentation to new lawyer </w:t>
      </w:r>
      <w:r>
        <w:rPr>
          <w:rFonts w:cs="Times New Roman"/>
          <w:b/>
          <w:szCs w:val="24"/>
        </w:rPr>
        <w:t>–</w:t>
      </w:r>
    </w:p>
    <w:p w14:paraId="55CBDA89" w14:textId="201129DD" w:rsidR="007C545C" w:rsidRDefault="007C545C" w:rsidP="00B21502">
      <w:pPr>
        <w:pStyle w:val="NoSpacing"/>
        <w:numPr>
          <w:ilvl w:val="1"/>
          <w:numId w:val="18"/>
        </w:numPr>
        <w:rPr>
          <w:rFonts w:cs="Times New Roman"/>
          <w:szCs w:val="24"/>
        </w:rPr>
      </w:pPr>
      <w:r w:rsidRPr="007C545C">
        <w:rPr>
          <w:rFonts w:cs="Times New Roman"/>
          <w:szCs w:val="24"/>
        </w:rPr>
        <w:t xml:space="preserve">Ownership of documents at </w:t>
      </w:r>
      <w:r w:rsidR="000E77BF">
        <w:rPr>
          <w:rFonts w:cs="Times New Roman"/>
          <w:szCs w:val="24"/>
        </w:rPr>
        <w:t>PCPR</w:t>
      </w:r>
      <w:r w:rsidRPr="007C545C">
        <w:rPr>
          <w:rFonts w:cs="Times New Roman"/>
          <w:szCs w:val="24"/>
        </w:rPr>
        <w:t xml:space="preserve"> r 7.5 include</w:t>
      </w:r>
      <w:r>
        <w:rPr>
          <w:rFonts w:cs="Times New Roman"/>
          <w:szCs w:val="24"/>
        </w:rPr>
        <w:t>:</w:t>
      </w:r>
    </w:p>
    <w:p w14:paraId="5E3568A9" w14:textId="51195694" w:rsidR="00B12D45" w:rsidRDefault="00B12D45" w:rsidP="00B21502">
      <w:pPr>
        <w:pStyle w:val="NoSpacing"/>
        <w:numPr>
          <w:ilvl w:val="2"/>
          <w:numId w:val="18"/>
        </w:numPr>
      </w:pPr>
      <w:r w:rsidRPr="004F7F31">
        <w:rPr>
          <w:i/>
        </w:rPr>
        <w:lastRenderedPageBreak/>
        <w:t xml:space="preserve">Documents </w:t>
      </w:r>
      <w:r w:rsidRPr="003A5F91">
        <w:rPr>
          <w:b/>
          <w:i/>
        </w:rPr>
        <w:t>prepared</w:t>
      </w:r>
      <w:r w:rsidRPr="004F7F31">
        <w:rPr>
          <w:i/>
        </w:rPr>
        <w:t xml:space="preserve"> by a practitioner</w:t>
      </w:r>
      <w:r>
        <w:t xml:space="preserve"> </w:t>
      </w:r>
      <w:r w:rsidR="004F7F31">
        <w:t xml:space="preserve">– </w:t>
      </w:r>
      <w:r>
        <w:t>for a client or predominantly for the purpose of the client and for which the client has been or will be charged costs by the practitioner;</w:t>
      </w:r>
    </w:p>
    <w:p w14:paraId="41FCF7DB" w14:textId="1A928ABB" w:rsidR="00B12D45" w:rsidRDefault="00B12D45" w:rsidP="00B21502">
      <w:pPr>
        <w:pStyle w:val="NoSpacing"/>
        <w:numPr>
          <w:ilvl w:val="2"/>
          <w:numId w:val="18"/>
        </w:numPr>
      </w:pPr>
      <w:r w:rsidRPr="003A5F91">
        <w:rPr>
          <w:i/>
        </w:rPr>
        <w:t xml:space="preserve">Documents </w:t>
      </w:r>
      <w:r w:rsidRPr="003A5F91">
        <w:rPr>
          <w:b/>
          <w:i/>
        </w:rPr>
        <w:t>received</w:t>
      </w:r>
      <w:r w:rsidRPr="003A5F91">
        <w:rPr>
          <w:i/>
        </w:rPr>
        <w:t xml:space="preserve"> by the practitioner from a third party</w:t>
      </w:r>
      <w:r>
        <w:t xml:space="preserve"> </w:t>
      </w:r>
      <w:r w:rsidR="003A5F91">
        <w:t xml:space="preserve">– </w:t>
      </w:r>
      <w:r>
        <w:t xml:space="preserve">in the course of the retainer for or on behalf of the client or for the purpose of client’s business and intended for use or information of the client.   </w:t>
      </w:r>
    </w:p>
    <w:p w14:paraId="67086696" w14:textId="77777777" w:rsidR="005F213E" w:rsidRDefault="005F213E" w:rsidP="005F213E">
      <w:pPr>
        <w:pStyle w:val="NoSpacing"/>
      </w:pPr>
    </w:p>
    <w:p w14:paraId="2945F4E6" w14:textId="77777777" w:rsidR="00E32C84" w:rsidRDefault="00E32C84" w:rsidP="00F37959">
      <w:pPr>
        <w:pStyle w:val="NoSpacing"/>
        <w:rPr>
          <w:rFonts w:cs="Times New Roman"/>
          <w:b/>
          <w:sz w:val="36"/>
          <w:szCs w:val="36"/>
          <w:u w:val="single"/>
        </w:rPr>
      </w:pPr>
    </w:p>
    <w:p w14:paraId="7BD0E3C8" w14:textId="77777777" w:rsidR="00E32C84" w:rsidRDefault="00E32C84" w:rsidP="00F37959">
      <w:pPr>
        <w:pStyle w:val="NoSpacing"/>
        <w:rPr>
          <w:rFonts w:cs="Times New Roman"/>
          <w:b/>
          <w:sz w:val="36"/>
          <w:szCs w:val="36"/>
          <w:u w:val="single"/>
        </w:rPr>
      </w:pPr>
    </w:p>
    <w:p w14:paraId="17BF73C2" w14:textId="77777777" w:rsidR="00E32C84" w:rsidRDefault="00E32C84" w:rsidP="00F37959">
      <w:pPr>
        <w:pStyle w:val="NoSpacing"/>
        <w:rPr>
          <w:rFonts w:cs="Times New Roman"/>
          <w:b/>
          <w:sz w:val="36"/>
          <w:szCs w:val="36"/>
          <w:u w:val="single"/>
        </w:rPr>
      </w:pPr>
    </w:p>
    <w:p w14:paraId="26C895F2" w14:textId="77777777" w:rsidR="00E32C84" w:rsidRDefault="00E32C84" w:rsidP="00F37959">
      <w:pPr>
        <w:pStyle w:val="NoSpacing"/>
        <w:rPr>
          <w:rFonts w:cs="Times New Roman"/>
          <w:b/>
          <w:sz w:val="36"/>
          <w:szCs w:val="36"/>
          <w:u w:val="single"/>
        </w:rPr>
      </w:pPr>
    </w:p>
    <w:p w14:paraId="782D2ECA" w14:textId="77777777" w:rsidR="00E32C84" w:rsidRDefault="00E32C84" w:rsidP="00F37959">
      <w:pPr>
        <w:pStyle w:val="NoSpacing"/>
        <w:rPr>
          <w:rFonts w:cs="Times New Roman"/>
          <w:b/>
          <w:sz w:val="36"/>
          <w:szCs w:val="36"/>
          <w:u w:val="single"/>
        </w:rPr>
      </w:pPr>
    </w:p>
    <w:p w14:paraId="7868FF54" w14:textId="77777777" w:rsidR="00E32C84" w:rsidRDefault="00E32C84" w:rsidP="00F37959">
      <w:pPr>
        <w:pStyle w:val="NoSpacing"/>
        <w:rPr>
          <w:rFonts w:cs="Times New Roman"/>
          <w:b/>
          <w:sz w:val="36"/>
          <w:szCs w:val="36"/>
          <w:u w:val="single"/>
        </w:rPr>
      </w:pPr>
    </w:p>
    <w:p w14:paraId="6F1834C5" w14:textId="77777777" w:rsidR="00E32C84" w:rsidRDefault="00E32C84" w:rsidP="00F37959">
      <w:pPr>
        <w:pStyle w:val="NoSpacing"/>
        <w:rPr>
          <w:rFonts w:cs="Times New Roman"/>
          <w:b/>
          <w:sz w:val="36"/>
          <w:szCs w:val="36"/>
          <w:u w:val="single"/>
        </w:rPr>
      </w:pPr>
    </w:p>
    <w:p w14:paraId="0EAD6221" w14:textId="77777777" w:rsidR="00E32C84" w:rsidRDefault="00E32C84" w:rsidP="00F37959">
      <w:pPr>
        <w:pStyle w:val="NoSpacing"/>
        <w:rPr>
          <w:rFonts w:cs="Times New Roman"/>
          <w:b/>
          <w:sz w:val="36"/>
          <w:szCs w:val="36"/>
          <w:u w:val="single"/>
        </w:rPr>
      </w:pPr>
    </w:p>
    <w:p w14:paraId="2C9A4982" w14:textId="77777777" w:rsidR="00E32C84" w:rsidRDefault="00E32C84" w:rsidP="00F37959">
      <w:pPr>
        <w:pStyle w:val="NoSpacing"/>
        <w:rPr>
          <w:rFonts w:cs="Times New Roman"/>
          <w:b/>
          <w:sz w:val="36"/>
          <w:szCs w:val="36"/>
          <w:u w:val="single"/>
        </w:rPr>
      </w:pPr>
    </w:p>
    <w:p w14:paraId="3602B893" w14:textId="77777777" w:rsidR="00E32C84" w:rsidRDefault="00E32C84" w:rsidP="00F37959">
      <w:pPr>
        <w:pStyle w:val="NoSpacing"/>
        <w:rPr>
          <w:rFonts w:cs="Times New Roman"/>
          <w:b/>
          <w:sz w:val="36"/>
          <w:szCs w:val="36"/>
          <w:u w:val="single"/>
        </w:rPr>
      </w:pPr>
    </w:p>
    <w:p w14:paraId="216FA9A9" w14:textId="77777777" w:rsidR="00E32C84" w:rsidRDefault="00E32C84" w:rsidP="00F37959">
      <w:pPr>
        <w:pStyle w:val="NoSpacing"/>
        <w:rPr>
          <w:rFonts w:cs="Times New Roman"/>
          <w:b/>
          <w:sz w:val="36"/>
          <w:szCs w:val="36"/>
          <w:u w:val="single"/>
        </w:rPr>
      </w:pPr>
    </w:p>
    <w:p w14:paraId="53CC6C18" w14:textId="77777777" w:rsidR="00E32C84" w:rsidRDefault="00E32C84" w:rsidP="00F37959">
      <w:pPr>
        <w:pStyle w:val="NoSpacing"/>
        <w:rPr>
          <w:rFonts w:cs="Times New Roman"/>
          <w:b/>
          <w:sz w:val="36"/>
          <w:szCs w:val="36"/>
          <w:u w:val="single"/>
        </w:rPr>
      </w:pPr>
    </w:p>
    <w:p w14:paraId="645BBB4B" w14:textId="77777777" w:rsidR="00E32C84" w:rsidRDefault="00E32C84" w:rsidP="00F37959">
      <w:pPr>
        <w:pStyle w:val="NoSpacing"/>
        <w:rPr>
          <w:rFonts w:cs="Times New Roman"/>
          <w:b/>
          <w:sz w:val="36"/>
          <w:szCs w:val="36"/>
          <w:u w:val="single"/>
        </w:rPr>
      </w:pPr>
    </w:p>
    <w:p w14:paraId="2E2D1FA3" w14:textId="77777777" w:rsidR="00E32C84" w:rsidRDefault="00E32C84" w:rsidP="00F37959">
      <w:pPr>
        <w:pStyle w:val="NoSpacing"/>
        <w:rPr>
          <w:rFonts w:cs="Times New Roman"/>
          <w:b/>
          <w:sz w:val="36"/>
          <w:szCs w:val="36"/>
          <w:u w:val="single"/>
        </w:rPr>
      </w:pPr>
    </w:p>
    <w:p w14:paraId="14237F91" w14:textId="77777777" w:rsidR="00E32C84" w:rsidRDefault="00E32C84" w:rsidP="00F37959">
      <w:pPr>
        <w:pStyle w:val="NoSpacing"/>
        <w:rPr>
          <w:rFonts w:cs="Times New Roman"/>
          <w:b/>
          <w:sz w:val="36"/>
          <w:szCs w:val="36"/>
          <w:u w:val="single"/>
        </w:rPr>
      </w:pPr>
    </w:p>
    <w:p w14:paraId="30E19EDD" w14:textId="77777777" w:rsidR="00E32C84" w:rsidRDefault="00E32C84" w:rsidP="00F37959">
      <w:pPr>
        <w:pStyle w:val="NoSpacing"/>
        <w:rPr>
          <w:rFonts w:cs="Times New Roman"/>
          <w:b/>
          <w:sz w:val="36"/>
          <w:szCs w:val="36"/>
          <w:u w:val="single"/>
        </w:rPr>
      </w:pPr>
    </w:p>
    <w:p w14:paraId="5A985F2C" w14:textId="77777777" w:rsidR="00E32C84" w:rsidRDefault="00E32C84" w:rsidP="00F37959">
      <w:pPr>
        <w:pStyle w:val="NoSpacing"/>
        <w:rPr>
          <w:rFonts w:cs="Times New Roman"/>
          <w:b/>
          <w:sz w:val="36"/>
          <w:szCs w:val="36"/>
          <w:u w:val="single"/>
        </w:rPr>
      </w:pPr>
    </w:p>
    <w:p w14:paraId="2288017D" w14:textId="77777777" w:rsidR="00E32C84" w:rsidRDefault="00E32C84" w:rsidP="00F37959">
      <w:pPr>
        <w:pStyle w:val="NoSpacing"/>
        <w:rPr>
          <w:rFonts w:cs="Times New Roman"/>
          <w:b/>
          <w:sz w:val="36"/>
          <w:szCs w:val="36"/>
          <w:u w:val="single"/>
        </w:rPr>
      </w:pPr>
    </w:p>
    <w:p w14:paraId="56ADDE78" w14:textId="77777777" w:rsidR="00E32C84" w:rsidRDefault="00E32C84" w:rsidP="00F37959">
      <w:pPr>
        <w:pStyle w:val="NoSpacing"/>
        <w:rPr>
          <w:rFonts w:cs="Times New Roman"/>
          <w:b/>
          <w:sz w:val="36"/>
          <w:szCs w:val="36"/>
          <w:u w:val="single"/>
        </w:rPr>
      </w:pPr>
    </w:p>
    <w:p w14:paraId="673C7510" w14:textId="77777777" w:rsidR="00E32C84" w:rsidRDefault="00E32C84" w:rsidP="00F37959">
      <w:pPr>
        <w:pStyle w:val="NoSpacing"/>
        <w:rPr>
          <w:rFonts w:cs="Times New Roman"/>
          <w:b/>
          <w:sz w:val="36"/>
          <w:szCs w:val="36"/>
          <w:u w:val="single"/>
        </w:rPr>
      </w:pPr>
    </w:p>
    <w:p w14:paraId="1563CDFE" w14:textId="77777777" w:rsidR="00E32C84" w:rsidRDefault="00E32C84" w:rsidP="00F37959">
      <w:pPr>
        <w:pStyle w:val="NoSpacing"/>
        <w:rPr>
          <w:rFonts w:cs="Times New Roman"/>
          <w:b/>
          <w:sz w:val="36"/>
          <w:szCs w:val="36"/>
          <w:u w:val="single"/>
        </w:rPr>
      </w:pPr>
    </w:p>
    <w:p w14:paraId="30E24152" w14:textId="77777777" w:rsidR="00E32C84" w:rsidRDefault="00E32C84" w:rsidP="00F37959">
      <w:pPr>
        <w:pStyle w:val="NoSpacing"/>
        <w:rPr>
          <w:rFonts w:cs="Times New Roman"/>
          <w:b/>
          <w:sz w:val="36"/>
          <w:szCs w:val="36"/>
          <w:u w:val="single"/>
        </w:rPr>
      </w:pPr>
    </w:p>
    <w:p w14:paraId="72F0BB88" w14:textId="77777777" w:rsidR="00E32C84" w:rsidRDefault="00E32C84" w:rsidP="00F37959">
      <w:pPr>
        <w:pStyle w:val="NoSpacing"/>
        <w:rPr>
          <w:rFonts w:cs="Times New Roman"/>
          <w:b/>
          <w:sz w:val="36"/>
          <w:szCs w:val="36"/>
          <w:u w:val="single"/>
        </w:rPr>
      </w:pPr>
    </w:p>
    <w:p w14:paraId="18573AF5" w14:textId="77777777" w:rsidR="00E32C84" w:rsidRDefault="00E32C84" w:rsidP="00F37959">
      <w:pPr>
        <w:pStyle w:val="NoSpacing"/>
        <w:rPr>
          <w:rFonts w:cs="Times New Roman"/>
          <w:b/>
          <w:sz w:val="36"/>
          <w:szCs w:val="36"/>
          <w:u w:val="single"/>
        </w:rPr>
      </w:pPr>
    </w:p>
    <w:p w14:paraId="657D87B8" w14:textId="77777777" w:rsidR="00E32C84" w:rsidRDefault="00E32C84" w:rsidP="00F37959">
      <w:pPr>
        <w:pStyle w:val="NoSpacing"/>
        <w:rPr>
          <w:rFonts w:cs="Times New Roman"/>
          <w:b/>
          <w:sz w:val="36"/>
          <w:szCs w:val="36"/>
          <w:u w:val="single"/>
        </w:rPr>
      </w:pPr>
    </w:p>
    <w:p w14:paraId="1BCC78F6" w14:textId="77777777" w:rsidR="00E32C84" w:rsidRDefault="00E32C84" w:rsidP="00F37959">
      <w:pPr>
        <w:pStyle w:val="NoSpacing"/>
        <w:rPr>
          <w:rFonts w:cs="Times New Roman"/>
          <w:b/>
          <w:sz w:val="36"/>
          <w:szCs w:val="36"/>
          <w:u w:val="single"/>
        </w:rPr>
      </w:pPr>
    </w:p>
    <w:p w14:paraId="0E49240D" w14:textId="77777777" w:rsidR="00E32C84" w:rsidRDefault="00E32C84" w:rsidP="00F37959">
      <w:pPr>
        <w:pStyle w:val="NoSpacing"/>
        <w:rPr>
          <w:rFonts w:cs="Times New Roman"/>
          <w:b/>
          <w:sz w:val="36"/>
          <w:szCs w:val="36"/>
          <w:u w:val="single"/>
        </w:rPr>
      </w:pPr>
    </w:p>
    <w:p w14:paraId="26F8C06B" w14:textId="77777777" w:rsidR="00E32C84" w:rsidRDefault="00E32C84" w:rsidP="00F37959">
      <w:pPr>
        <w:pStyle w:val="NoSpacing"/>
        <w:rPr>
          <w:rFonts w:cs="Times New Roman"/>
          <w:b/>
          <w:sz w:val="36"/>
          <w:szCs w:val="36"/>
          <w:u w:val="single"/>
        </w:rPr>
      </w:pPr>
    </w:p>
    <w:p w14:paraId="2FFA9D77" w14:textId="77777777" w:rsidR="00E32C84" w:rsidRDefault="00E32C84" w:rsidP="00F37959">
      <w:pPr>
        <w:pStyle w:val="NoSpacing"/>
        <w:rPr>
          <w:rFonts w:cs="Times New Roman"/>
          <w:b/>
          <w:sz w:val="36"/>
          <w:szCs w:val="36"/>
          <w:u w:val="single"/>
        </w:rPr>
      </w:pPr>
    </w:p>
    <w:p w14:paraId="3C77BAD8" w14:textId="77777777" w:rsidR="00E32C84" w:rsidRDefault="00E32C84" w:rsidP="00F37959">
      <w:pPr>
        <w:pStyle w:val="NoSpacing"/>
        <w:rPr>
          <w:rFonts w:cs="Times New Roman"/>
          <w:b/>
          <w:sz w:val="36"/>
          <w:szCs w:val="36"/>
          <w:u w:val="single"/>
        </w:rPr>
      </w:pPr>
    </w:p>
    <w:p w14:paraId="0EA7363A" w14:textId="7D040C2C" w:rsidR="00F04F63" w:rsidRDefault="00F37959" w:rsidP="00F37959">
      <w:pPr>
        <w:pStyle w:val="NoSpacing"/>
        <w:rPr>
          <w:rFonts w:cs="Times New Roman"/>
          <w:b/>
          <w:sz w:val="36"/>
          <w:szCs w:val="36"/>
          <w:u w:val="single"/>
        </w:rPr>
      </w:pPr>
      <w:r>
        <w:rPr>
          <w:rFonts w:cs="Times New Roman"/>
          <w:b/>
          <w:sz w:val="36"/>
          <w:szCs w:val="36"/>
          <w:u w:val="single"/>
        </w:rPr>
        <w:lastRenderedPageBreak/>
        <w:t>Duties to the Client &amp; Enforcement</w:t>
      </w:r>
    </w:p>
    <w:p w14:paraId="1F53DD30" w14:textId="77777777" w:rsidR="00F37959" w:rsidRDefault="00F37959" w:rsidP="00F37959">
      <w:pPr>
        <w:pStyle w:val="NoSpacing"/>
        <w:rPr>
          <w:rFonts w:cs="Times New Roman"/>
          <w:szCs w:val="24"/>
        </w:rPr>
      </w:pPr>
    </w:p>
    <w:p w14:paraId="59173095" w14:textId="5F60874A" w:rsidR="00D93198" w:rsidRDefault="00A35E0E" w:rsidP="00F37959">
      <w:pPr>
        <w:pStyle w:val="NoSpacing"/>
        <w:rPr>
          <w:rFonts w:cs="Times New Roman"/>
          <w:b/>
          <w:szCs w:val="24"/>
          <w:u w:val="single"/>
        </w:rPr>
      </w:pPr>
      <w:r>
        <w:rPr>
          <w:rFonts w:cs="Times New Roman"/>
          <w:b/>
          <w:szCs w:val="24"/>
          <w:u w:val="single"/>
        </w:rPr>
        <w:t>General</w:t>
      </w:r>
    </w:p>
    <w:p w14:paraId="153304B7" w14:textId="77777777" w:rsidR="00A35E0E" w:rsidRDefault="00A35E0E" w:rsidP="00F37959">
      <w:pPr>
        <w:pStyle w:val="NoSpacing"/>
        <w:rPr>
          <w:rFonts w:cs="Times New Roman"/>
          <w:b/>
          <w:szCs w:val="24"/>
          <w:u w:val="single"/>
        </w:rPr>
      </w:pPr>
    </w:p>
    <w:p w14:paraId="6148AA5C" w14:textId="736B5613" w:rsidR="00A35E0E" w:rsidRDefault="00C13401" w:rsidP="00B21502">
      <w:pPr>
        <w:pStyle w:val="NoSpacing"/>
        <w:numPr>
          <w:ilvl w:val="0"/>
          <w:numId w:val="20"/>
        </w:numPr>
        <w:rPr>
          <w:rFonts w:cs="Times New Roman"/>
          <w:szCs w:val="24"/>
        </w:rPr>
      </w:pPr>
      <w:r w:rsidRPr="00404EBD">
        <w:rPr>
          <w:rFonts w:cs="Times New Roman"/>
          <w:b/>
          <w:i/>
          <w:szCs w:val="24"/>
        </w:rPr>
        <w:t>General</w:t>
      </w:r>
      <w:r>
        <w:rPr>
          <w:rFonts w:cs="Times New Roman"/>
          <w:i/>
          <w:szCs w:val="24"/>
        </w:rPr>
        <w:t xml:space="preserve"> </w:t>
      </w:r>
      <w:r w:rsidR="00FB27AD">
        <w:rPr>
          <w:rFonts w:cs="Times New Roman"/>
          <w:i/>
          <w:szCs w:val="24"/>
        </w:rPr>
        <w:t>–</w:t>
      </w:r>
      <w:r>
        <w:rPr>
          <w:rFonts w:cs="Times New Roman"/>
          <w:i/>
          <w:szCs w:val="24"/>
        </w:rPr>
        <w:t xml:space="preserve"> </w:t>
      </w:r>
      <w:r w:rsidR="00FB27AD">
        <w:rPr>
          <w:rFonts w:cs="Times New Roman"/>
          <w:szCs w:val="24"/>
        </w:rPr>
        <w:t>Lawyers have a professional responsibility to their clients to utilise care, skill, diligence, competence, honesty, loyalty, integrity and trustworthiness.</w:t>
      </w:r>
    </w:p>
    <w:p w14:paraId="187701F2" w14:textId="77777777" w:rsidR="00517C66" w:rsidRDefault="00517C66" w:rsidP="00517C66">
      <w:pPr>
        <w:pStyle w:val="NoSpacing"/>
        <w:ind w:left="720"/>
        <w:rPr>
          <w:rFonts w:cs="Times New Roman"/>
          <w:szCs w:val="24"/>
        </w:rPr>
      </w:pPr>
    </w:p>
    <w:p w14:paraId="3BA8B387" w14:textId="0EF6558C" w:rsidR="004F7DFA" w:rsidRDefault="006B34BA" w:rsidP="00B21502">
      <w:pPr>
        <w:pStyle w:val="NoSpacing"/>
        <w:numPr>
          <w:ilvl w:val="0"/>
          <w:numId w:val="20"/>
        </w:numPr>
        <w:rPr>
          <w:rFonts w:cs="Times New Roman"/>
          <w:szCs w:val="24"/>
        </w:rPr>
      </w:pPr>
      <w:r w:rsidRPr="00404EBD">
        <w:rPr>
          <w:rFonts w:cs="Times New Roman"/>
          <w:b/>
          <w:i/>
          <w:szCs w:val="24"/>
        </w:rPr>
        <w:t>Fairly &amp; Timely</w:t>
      </w:r>
      <w:r>
        <w:rPr>
          <w:rFonts w:cs="Times New Roman"/>
          <w:i/>
          <w:szCs w:val="24"/>
        </w:rPr>
        <w:t xml:space="preserve"> </w:t>
      </w:r>
      <w:r>
        <w:rPr>
          <w:rFonts w:cs="Times New Roman"/>
          <w:szCs w:val="24"/>
        </w:rPr>
        <w:t>– Lawyers should treat clients fairly, with respect, with acknowledgement of the position there are placed in as the client relies on them heavily to use their experience and skill and a high level of trust.</w:t>
      </w:r>
    </w:p>
    <w:p w14:paraId="2C8F2A00" w14:textId="77777777" w:rsidR="00CC0EF3" w:rsidRDefault="00CC0EF3" w:rsidP="00CC0EF3">
      <w:pPr>
        <w:pStyle w:val="ListParagraph"/>
      </w:pPr>
    </w:p>
    <w:p w14:paraId="2FF488F6" w14:textId="2D15E7FE" w:rsidR="00CC0EF3" w:rsidRDefault="00CC0EF3" w:rsidP="00B21502">
      <w:pPr>
        <w:pStyle w:val="NoSpacing"/>
        <w:numPr>
          <w:ilvl w:val="0"/>
          <w:numId w:val="20"/>
        </w:numPr>
        <w:rPr>
          <w:rFonts w:cs="Times New Roman"/>
          <w:szCs w:val="24"/>
        </w:rPr>
      </w:pPr>
      <w:r w:rsidRPr="00404EBD">
        <w:rPr>
          <w:rFonts w:cs="Times New Roman"/>
          <w:b/>
          <w:i/>
          <w:szCs w:val="24"/>
        </w:rPr>
        <w:t>Undivided</w:t>
      </w:r>
      <w:r w:rsidR="00A1331B" w:rsidRPr="00A1331B">
        <w:rPr>
          <w:rFonts w:cs="Times New Roman"/>
          <w:szCs w:val="24"/>
        </w:rPr>
        <w:t xml:space="preserve"> </w:t>
      </w:r>
      <w:r w:rsidR="00A1331B" w:rsidRPr="001F3930">
        <w:rPr>
          <w:rFonts w:cs="Times New Roman"/>
          <w:b/>
          <w:i/>
          <w:szCs w:val="24"/>
        </w:rPr>
        <w:t>Loyalty</w:t>
      </w:r>
      <w:r w:rsidR="00A1331B">
        <w:rPr>
          <w:rFonts w:cs="Times New Roman"/>
          <w:szCs w:val="24"/>
        </w:rPr>
        <w:t xml:space="preserve"> </w:t>
      </w:r>
      <w:r>
        <w:rPr>
          <w:rFonts w:cs="Times New Roman"/>
          <w:szCs w:val="24"/>
        </w:rPr>
        <w:t xml:space="preserve">– Lawyers provide undivided fidelity to their </w:t>
      </w:r>
      <w:r w:rsidR="004100D8">
        <w:rPr>
          <w:rFonts w:cs="Times New Roman"/>
          <w:szCs w:val="24"/>
        </w:rPr>
        <w:t>clients’</w:t>
      </w:r>
      <w:r>
        <w:rPr>
          <w:rFonts w:cs="Times New Roman"/>
          <w:szCs w:val="24"/>
        </w:rPr>
        <w:t xml:space="preserve"> interests which is ultimately unaffected by their own interests or by those of any other person(s) or by their own protection of public interest.</w:t>
      </w:r>
    </w:p>
    <w:p w14:paraId="41678916" w14:textId="77777777" w:rsidR="00D44B1E" w:rsidRDefault="00D44B1E" w:rsidP="00D44B1E">
      <w:pPr>
        <w:pStyle w:val="ListParagraph"/>
      </w:pPr>
    </w:p>
    <w:p w14:paraId="0C054653" w14:textId="6569B614" w:rsidR="00D44B1E" w:rsidRDefault="00D44B1E" w:rsidP="00B21502">
      <w:pPr>
        <w:pStyle w:val="NoSpacing"/>
        <w:numPr>
          <w:ilvl w:val="0"/>
          <w:numId w:val="20"/>
        </w:numPr>
        <w:rPr>
          <w:rFonts w:cs="Times New Roman"/>
          <w:szCs w:val="24"/>
        </w:rPr>
      </w:pPr>
      <w:r w:rsidRPr="00CD1142">
        <w:rPr>
          <w:rFonts w:cs="Times New Roman"/>
          <w:b/>
          <w:i/>
          <w:szCs w:val="24"/>
          <w:u w:val="single"/>
        </w:rPr>
        <w:t>No Prejudice</w:t>
      </w:r>
      <w:r w:rsidR="00027BFE" w:rsidRPr="00CD1142">
        <w:rPr>
          <w:rFonts w:cs="Times New Roman"/>
          <w:i/>
          <w:szCs w:val="24"/>
          <w:u w:val="single"/>
        </w:rPr>
        <w:t xml:space="preserve"> </w:t>
      </w:r>
      <w:r w:rsidR="00027BFE" w:rsidRPr="00CD1142">
        <w:rPr>
          <w:rFonts w:cs="Times New Roman"/>
          <w:b/>
          <w:i/>
          <w:szCs w:val="24"/>
          <w:u w:val="single"/>
        </w:rPr>
        <w:t>o</w:t>
      </w:r>
      <w:r w:rsidR="00CD1142">
        <w:rPr>
          <w:rFonts w:cs="Times New Roman"/>
          <w:b/>
          <w:i/>
          <w:szCs w:val="24"/>
          <w:u w:val="single"/>
        </w:rPr>
        <w:t>r</w:t>
      </w:r>
      <w:r w:rsidR="00027BFE" w:rsidRPr="00CD1142">
        <w:rPr>
          <w:rFonts w:cs="Times New Roman"/>
          <w:b/>
          <w:i/>
          <w:szCs w:val="24"/>
          <w:u w:val="single"/>
        </w:rPr>
        <w:t xml:space="preserve"> Personal Views</w:t>
      </w:r>
      <w:r w:rsidR="00027BFE">
        <w:rPr>
          <w:rFonts w:cs="Times New Roman"/>
          <w:i/>
          <w:szCs w:val="24"/>
        </w:rPr>
        <w:t xml:space="preserve"> </w:t>
      </w:r>
      <w:r>
        <w:rPr>
          <w:rFonts w:cs="Times New Roman"/>
          <w:i/>
          <w:szCs w:val="24"/>
        </w:rPr>
        <w:t xml:space="preserve">– </w:t>
      </w:r>
      <w:r w:rsidR="00AD5A9E">
        <w:rPr>
          <w:rFonts w:cs="Times New Roman"/>
          <w:i/>
          <w:szCs w:val="24"/>
        </w:rPr>
        <w:t>PCPR 12.1</w:t>
      </w:r>
      <w:r w:rsidR="00605350">
        <w:rPr>
          <w:rFonts w:cs="Times New Roman"/>
          <w:i/>
          <w:szCs w:val="24"/>
        </w:rPr>
        <w:t>; 13</w:t>
      </w:r>
      <w:r w:rsidR="00AD5A9E">
        <w:rPr>
          <w:rFonts w:cs="Times New Roman"/>
          <w:i/>
          <w:szCs w:val="24"/>
        </w:rPr>
        <w:t xml:space="preserve"> – </w:t>
      </w:r>
      <w:r w:rsidR="00027BFE">
        <w:rPr>
          <w:rFonts w:cs="Times New Roman"/>
          <w:szCs w:val="24"/>
        </w:rPr>
        <w:t>Advance and protect the clients interest to the best of the practitioners kill and diligence, uninfluenced by the practitioner person view of the client or their activities.</w:t>
      </w:r>
      <w:r w:rsidR="00A15782">
        <w:rPr>
          <w:rFonts w:cs="Times New Roman"/>
          <w:szCs w:val="24"/>
        </w:rPr>
        <w:t xml:space="preserve"> </w:t>
      </w:r>
      <w:r w:rsidR="00A15782">
        <w:rPr>
          <w:rFonts w:cs="Times New Roman"/>
          <w:b/>
          <w:i/>
          <w:szCs w:val="24"/>
        </w:rPr>
        <w:t>[see also client conflicts]</w:t>
      </w:r>
    </w:p>
    <w:p w14:paraId="7283079F" w14:textId="77777777" w:rsidR="00404EBD" w:rsidRDefault="00404EBD" w:rsidP="00404EBD">
      <w:pPr>
        <w:pStyle w:val="ListParagraph"/>
      </w:pPr>
    </w:p>
    <w:p w14:paraId="65FE9410" w14:textId="19369106" w:rsidR="00404EBD" w:rsidRDefault="00404EBD" w:rsidP="00B21502">
      <w:pPr>
        <w:pStyle w:val="NoSpacing"/>
        <w:numPr>
          <w:ilvl w:val="0"/>
          <w:numId w:val="20"/>
        </w:numPr>
        <w:rPr>
          <w:rFonts w:cs="Times New Roman"/>
          <w:szCs w:val="24"/>
        </w:rPr>
      </w:pPr>
      <w:r w:rsidRPr="00404EBD">
        <w:rPr>
          <w:rFonts w:cs="Times New Roman"/>
          <w:b/>
          <w:i/>
          <w:szCs w:val="24"/>
        </w:rPr>
        <w:t>Core Duties</w:t>
      </w:r>
      <w:r>
        <w:rPr>
          <w:rFonts w:cs="Times New Roman"/>
          <w:szCs w:val="24"/>
        </w:rPr>
        <w:t xml:space="preserve"> –</w:t>
      </w:r>
      <w:r w:rsidR="001F3930">
        <w:rPr>
          <w:rFonts w:cs="Times New Roman"/>
          <w:szCs w:val="24"/>
        </w:rPr>
        <w:t xml:space="preserve"> The main duties of a lawyer are:</w:t>
      </w:r>
    </w:p>
    <w:p w14:paraId="3AF02754" w14:textId="77777777" w:rsidR="001F3930" w:rsidRDefault="001F3930" w:rsidP="001F3930">
      <w:pPr>
        <w:pStyle w:val="ListParagraph"/>
      </w:pPr>
    </w:p>
    <w:p w14:paraId="5D665C4F" w14:textId="5A90467F" w:rsidR="001F3930" w:rsidRDefault="001F3930" w:rsidP="00B21502">
      <w:pPr>
        <w:pStyle w:val="NoSpacing"/>
        <w:numPr>
          <w:ilvl w:val="1"/>
          <w:numId w:val="20"/>
        </w:numPr>
        <w:rPr>
          <w:rFonts w:cs="Times New Roman"/>
          <w:szCs w:val="24"/>
        </w:rPr>
      </w:pPr>
      <w:r w:rsidRPr="00BB5283">
        <w:rPr>
          <w:rFonts w:cs="Times New Roman"/>
          <w:i/>
          <w:szCs w:val="24"/>
        </w:rPr>
        <w:t>Duty of Competence</w:t>
      </w:r>
      <w:r>
        <w:rPr>
          <w:rFonts w:cs="Times New Roman"/>
          <w:szCs w:val="24"/>
        </w:rPr>
        <w:t xml:space="preserve"> – Tort and Contract</w:t>
      </w:r>
    </w:p>
    <w:p w14:paraId="6BED5B5D" w14:textId="70A8BA4D" w:rsidR="001F3930" w:rsidRDefault="001F3930" w:rsidP="00B21502">
      <w:pPr>
        <w:pStyle w:val="NoSpacing"/>
        <w:numPr>
          <w:ilvl w:val="1"/>
          <w:numId w:val="20"/>
        </w:numPr>
        <w:rPr>
          <w:rFonts w:cs="Times New Roman"/>
          <w:szCs w:val="24"/>
        </w:rPr>
      </w:pPr>
      <w:r w:rsidRPr="00BB5283">
        <w:rPr>
          <w:rFonts w:cs="Times New Roman"/>
          <w:i/>
          <w:szCs w:val="24"/>
        </w:rPr>
        <w:t>Duty of Loyalty</w:t>
      </w:r>
      <w:r>
        <w:rPr>
          <w:rFonts w:cs="Times New Roman"/>
          <w:szCs w:val="24"/>
        </w:rPr>
        <w:t xml:space="preserve"> – Fiduciary Law</w:t>
      </w:r>
    </w:p>
    <w:p w14:paraId="14000FE4" w14:textId="1823C220" w:rsidR="001F3930" w:rsidRDefault="001F3930" w:rsidP="00B21502">
      <w:pPr>
        <w:pStyle w:val="NoSpacing"/>
        <w:numPr>
          <w:ilvl w:val="1"/>
          <w:numId w:val="20"/>
        </w:numPr>
        <w:rPr>
          <w:rFonts w:cs="Times New Roman"/>
          <w:szCs w:val="24"/>
        </w:rPr>
      </w:pPr>
      <w:r w:rsidRPr="00BB5283">
        <w:rPr>
          <w:rFonts w:cs="Times New Roman"/>
          <w:i/>
          <w:szCs w:val="24"/>
        </w:rPr>
        <w:t>Duty of Confidence</w:t>
      </w:r>
      <w:r>
        <w:rPr>
          <w:rFonts w:cs="Times New Roman"/>
          <w:szCs w:val="24"/>
        </w:rPr>
        <w:t xml:space="preserve"> – Duty of Confidentiality</w:t>
      </w:r>
    </w:p>
    <w:p w14:paraId="62AA1926" w14:textId="2D224DD9" w:rsidR="00123751" w:rsidRPr="00A35E0E" w:rsidRDefault="00FB4189" w:rsidP="00B21502">
      <w:pPr>
        <w:pStyle w:val="NoSpacing"/>
        <w:numPr>
          <w:ilvl w:val="1"/>
          <w:numId w:val="20"/>
        </w:numPr>
        <w:rPr>
          <w:rFonts w:cs="Times New Roman"/>
          <w:szCs w:val="24"/>
        </w:rPr>
      </w:pPr>
      <w:r w:rsidRPr="00FB4189">
        <w:rPr>
          <w:rFonts w:cs="Times New Roman"/>
          <w:i/>
          <w:szCs w:val="24"/>
        </w:rPr>
        <w:t>Administration of Justice</w:t>
      </w:r>
      <w:r>
        <w:rPr>
          <w:rFonts w:cs="Times New Roman"/>
          <w:szCs w:val="24"/>
        </w:rPr>
        <w:t xml:space="preserve"> </w:t>
      </w:r>
      <w:r w:rsidR="00123751">
        <w:rPr>
          <w:rFonts w:cs="Times New Roman"/>
          <w:szCs w:val="24"/>
        </w:rPr>
        <w:t xml:space="preserve">– </w:t>
      </w:r>
      <w:r w:rsidR="00B11884">
        <w:rPr>
          <w:rFonts w:cs="Times New Roman"/>
          <w:szCs w:val="24"/>
        </w:rPr>
        <w:t xml:space="preserve">Proper and efficient </w:t>
      </w:r>
      <w:r>
        <w:rPr>
          <w:rFonts w:cs="Times New Roman"/>
          <w:szCs w:val="24"/>
        </w:rPr>
        <w:t>a</w:t>
      </w:r>
      <w:r w:rsidR="00123751">
        <w:rPr>
          <w:rFonts w:cs="Times New Roman"/>
          <w:szCs w:val="24"/>
        </w:rPr>
        <w:t xml:space="preserve">dministration of </w:t>
      </w:r>
      <w:r>
        <w:rPr>
          <w:rFonts w:cs="Times New Roman"/>
          <w:szCs w:val="24"/>
        </w:rPr>
        <w:t>j</w:t>
      </w:r>
      <w:r w:rsidR="00123751">
        <w:rPr>
          <w:rFonts w:cs="Times New Roman"/>
          <w:szCs w:val="24"/>
        </w:rPr>
        <w:t>ustice</w:t>
      </w:r>
    </w:p>
    <w:p w14:paraId="69AFA78E" w14:textId="77777777" w:rsidR="00D93198" w:rsidRDefault="00D93198" w:rsidP="00F37959">
      <w:pPr>
        <w:pStyle w:val="NoSpacing"/>
        <w:rPr>
          <w:rFonts w:cs="Times New Roman"/>
          <w:b/>
          <w:szCs w:val="24"/>
          <w:u w:val="single"/>
        </w:rPr>
      </w:pPr>
    </w:p>
    <w:p w14:paraId="0B90BAB2" w14:textId="78D6DB3B" w:rsidR="003C04ED" w:rsidRPr="00AF3568" w:rsidRDefault="000E3077" w:rsidP="00F37959">
      <w:pPr>
        <w:pStyle w:val="NoSpacing"/>
        <w:rPr>
          <w:rFonts w:cs="Times New Roman"/>
          <w:b/>
          <w:szCs w:val="24"/>
          <w:u w:val="single"/>
        </w:rPr>
      </w:pPr>
      <w:r w:rsidRPr="00AF3568">
        <w:rPr>
          <w:rFonts w:cs="Times New Roman"/>
          <w:b/>
          <w:szCs w:val="24"/>
          <w:u w:val="single"/>
        </w:rPr>
        <w:t>Duty to be Competent</w:t>
      </w:r>
    </w:p>
    <w:p w14:paraId="4A56E314" w14:textId="77777777" w:rsidR="003C04ED" w:rsidRPr="00576EDC" w:rsidRDefault="003C04ED" w:rsidP="00F37959">
      <w:pPr>
        <w:pStyle w:val="NoSpacing"/>
        <w:rPr>
          <w:rFonts w:cs="Times New Roman"/>
          <w:szCs w:val="24"/>
        </w:rPr>
      </w:pPr>
    </w:p>
    <w:p w14:paraId="753AF335" w14:textId="2CCECD33" w:rsidR="00AF3568" w:rsidRDefault="007017D4" w:rsidP="00B21502">
      <w:pPr>
        <w:pStyle w:val="NoSpacing"/>
        <w:numPr>
          <w:ilvl w:val="0"/>
          <w:numId w:val="19"/>
        </w:numPr>
      </w:pPr>
      <w:r w:rsidRPr="004127EB">
        <w:rPr>
          <w:b/>
          <w:i/>
        </w:rPr>
        <w:t>Competence</w:t>
      </w:r>
      <w:r>
        <w:rPr>
          <w:i/>
        </w:rPr>
        <w:t xml:space="preserve"> – </w:t>
      </w:r>
      <w:r w:rsidR="00AF3568">
        <w:t xml:space="preserve">Competence is necessarily phrased in broad terms as: Legal competence is measured by the extent to which an attorney </w:t>
      </w:r>
    </w:p>
    <w:p w14:paraId="53D89589" w14:textId="77777777" w:rsidR="007017D4" w:rsidRDefault="007017D4" w:rsidP="00B23AB7">
      <w:pPr>
        <w:pStyle w:val="NoSpacing"/>
      </w:pPr>
    </w:p>
    <w:p w14:paraId="7191311C" w14:textId="5FE0C4A4" w:rsidR="00AF3568" w:rsidRDefault="002373D2" w:rsidP="00B21502">
      <w:pPr>
        <w:pStyle w:val="NoSpacing"/>
        <w:numPr>
          <w:ilvl w:val="1"/>
          <w:numId w:val="19"/>
        </w:numPr>
      </w:pPr>
      <w:r>
        <w:rPr>
          <w:i/>
        </w:rPr>
        <w:t xml:space="preserve">Knowledgeable – </w:t>
      </w:r>
      <w:r w:rsidR="00AF3568">
        <w:t>Is specifically knowledgeable about the fields of law in which he or she practices;</w:t>
      </w:r>
    </w:p>
    <w:p w14:paraId="6A15FEEC" w14:textId="55E61D37" w:rsidR="00AF3568" w:rsidRDefault="00350C36" w:rsidP="00B21502">
      <w:pPr>
        <w:pStyle w:val="NoSpacing"/>
        <w:numPr>
          <w:ilvl w:val="1"/>
          <w:numId w:val="19"/>
        </w:numPr>
      </w:pPr>
      <w:r>
        <w:rPr>
          <w:i/>
        </w:rPr>
        <w:t xml:space="preserve">Skilled – </w:t>
      </w:r>
      <w:r w:rsidR="00AF3568">
        <w:t>Performs the techniques of such practice with skill,</w:t>
      </w:r>
    </w:p>
    <w:p w14:paraId="68E19865" w14:textId="362CFFB7" w:rsidR="00AF3568" w:rsidRDefault="00350C36" w:rsidP="00B21502">
      <w:pPr>
        <w:pStyle w:val="NoSpacing"/>
        <w:numPr>
          <w:ilvl w:val="1"/>
          <w:numId w:val="19"/>
        </w:numPr>
      </w:pPr>
      <w:r>
        <w:rPr>
          <w:i/>
        </w:rPr>
        <w:t xml:space="preserve">Efficient – </w:t>
      </w:r>
      <w:r w:rsidR="00AF3568">
        <w:t xml:space="preserve">Manages such practice efficiently </w:t>
      </w:r>
    </w:p>
    <w:p w14:paraId="31A053C7" w14:textId="2F0F59D4" w:rsidR="00AF3568" w:rsidRDefault="00350C36" w:rsidP="00B21502">
      <w:pPr>
        <w:pStyle w:val="NoSpacing"/>
        <w:numPr>
          <w:ilvl w:val="1"/>
          <w:numId w:val="19"/>
        </w:numPr>
      </w:pPr>
      <w:r>
        <w:rPr>
          <w:i/>
        </w:rPr>
        <w:t>Relevant</w:t>
      </w:r>
      <w:r>
        <w:t xml:space="preserve"> – </w:t>
      </w:r>
      <w:r w:rsidR="00AF3568">
        <w:t>Identifies issues beyond his or her competence relevant to the matter undertaken, bringing these  to clients attention;</w:t>
      </w:r>
    </w:p>
    <w:p w14:paraId="6EBAC126" w14:textId="34ED5455" w:rsidR="00AF3568" w:rsidRDefault="00350C36" w:rsidP="00B21502">
      <w:pPr>
        <w:pStyle w:val="NoSpacing"/>
        <w:numPr>
          <w:ilvl w:val="1"/>
          <w:numId w:val="19"/>
        </w:numPr>
      </w:pPr>
      <w:r>
        <w:rPr>
          <w:i/>
        </w:rPr>
        <w:t xml:space="preserve">Timely – </w:t>
      </w:r>
      <w:r w:rsidR="00AF3568">
        <w:t xml:space="preserve">Properly prepares and caries through the matter undertaken and </w:t>
      </w:r>
    </w:p>
    <w:p w14:paraId="36ED7DD0" w14:textId="1B092270" w:rsidR="007017D4" w:rsidRDefault="00350C36" w:rsidP="00B21502">
      <w:pPr>
        <w:pStyle w:val="NoSpacing"/>
        <w:numPr>
          <w:ilvl w:val="1"/>
          <w:numId w:val="19"/>
        </w:numPr>
      </w:pPr>
      <w:r>
        <w:rPr>
          <w:i/>
        </w:rPr>
        <w:t xml:space="preserve">Capable – </w:t>
      </w:r>
      <w:r w:rsidR="00AF3568">
        <w:t>Is intellectually emotionally physically capable</w:t>
      </w:r>
      <w:r w:rsidR="00AD3C92">
        <w:t>.</w:t>
      </w:r>
    </w:p>
    <w:p w14:paraId="0D90B011" w14:textId="77777777" w:rsidR="00AF3568" w:rsidRDefault="00AF3568" w:rsidP="007017D4">
      <w:pPr>
        <w:pStyle w:val="NoSpacing"/>
        <w:ind w:left="720"/>
      </w:pPr>
      <w:r>
        <w:t xml:space="preserve"> </w:t>
      </w:r>
    </w:p>
    <w:p w14:paraId="02BF26D0" w14:textId="30B803DE" w:rsidR="00AF3568" w:rsidRDefault="0042310F" w:rsidP="00B21502">
      <w:pPr>
        <w:pStyle w:val="NoSpacing"/>
        <w:numPr>
          <w:ilvl w:val="0"/>
          <w:numId w:val="19"/>
        </w:numPr>
      </w:pPr>
      <w:r w:rsidRPr="004127EB">
        <w:rPr>
          <w:b/>
          <w:i/>
        </w:rPr>
        <w:t>Extent to which attorneys maintain qualities</w:t>
      </w:r>
      <w:r>
        <w:t xml:space="preserve"> – </w:t>
      </w:r>
      <w:r w:rsidR="00AF3568">
        <w:t>Legal competence is measured to the extent to which the attorneys failed to maintain these qualities. It has been judicially recognized that for a lawyer to fit to remain on roll he must make reasonable efforts to keep up with current development in his field of practice.</w:t>
      </w:r>
      <w:r w:rsidR="005247B2">
        <w:t xml:space="preserve"> </w:t>
      </w:r>
    </w:p>
    <w:p w14:paraId="15620838" w14:textId="6CE1FD6B" w:rsidR="005247B2" w:rsidRPr="002C328F" w:rsidRDefault="005247B2" w:rsidP="00B21502">
      <w:pPr>
        <w:pStyle w:val="NoSpacing"/>
        <w:numPr>
          <w:ilvl w:val="1"/>
          <w:numId w:val="19"/>
        </w:numPr>
      </w:pPr>
      <w:r w:rsidRPr="000C42FA">
        <w:rPr>
          <w:i/>
        </w:rPr>
        <w:t>Law Society of NSW v Moulton</w:t>
      </w:r>
    </w:p>
    <w:p w14:paraId="60F8BA9D" w14:textId="77777777" w:rsidR="002C328F" w:rsidRPr="002C328F" w:rsidRDefault="002C328F" w:rsidP="002C328F">
      <w:pPr>
        <w:pStyle w:val="NoSpacing"/>
        <w:ind w:left="1440"/>
      </w:pPr>
    </w:p>
    <w:p w14:paraId="62EC941B" w14:textId="084D819F" w:rsidR="002C328F" w:rsidRPr="00C04316" w:rsidRDefault="004A10A5" w:rsidP="00B21502">
      <w:pPr>
        <w:pStyle w:val="NoSpacing"/>
        <w:numPr>
          <w:ilvl w:val="0"/>
          <w:numId w:val="19"/>
        </w:numPr>
      </w:pPr>
      <w:r w:rsidRPr="00F816EB">
        <w:rPr>
          <w:b/>
          <w:i/>
        </w:rPr>
        <w:t>Remedies for Breach</w:t>
      </w:r>
      <w:r w:rsidRPr="00C04316">
        <w:rPr>
          <w:b/>
        </w:rPr>
        <w:t xml:space="preserve"> – </w:t>
      </w:r>
    </w:p>
    <w:p w14:paraId="20725986" w14:textId="42566648" w:rsidR="004A10A5" w:rsidRDefault="0045195C" w:rsidP="00B21502">
      <w:pPr>
        <w:pStyle w:val="NoSpacing"/>
        <w:numPr>
          <w:ilvl w:val="1"/>
          <w:numId w:val="19"/>
        </w:numPr>
      </w:pPr>
      <w:r>
        <w:rPr>
          <w:i/>
        </w:rPr>
        <w:t xml:space="preserve">Damages – </w:t>
      </w:r>
      <w:r w:rsidR="00A90233">
        <w:t>Damages award depending on whether the breach is for contract or for negligence.</w:t>
      </w:r>
    </w:p>
    <w:p w14:paraId="68BEAB20" w14:textId="582B94E6" w:rsidR="00A90233" w:rsidRDefault="00B33762" w:rsidP="00B21502">
      <w:pPr>
        <w:pStyle w:val="NoSpacing"/>
        <w:numPr>
          <w:ilvl w:val="2"/>
          <w:numId w:val="19"/>
        </w:numPr>
      </w:pPr>
      <w:r>
        <w:t>No liability for ‘</w:t>
      </w:r>
      <w:proofErr w:type="spellStart"/>
      <w:r w:rsidR="00B050C8">
        <w:t>barristerial</w:t>
      </w:r>
      <w:proofErr w:type="spellEnd"/>
      <w:r>
        <w:t xml:space="preserve"> immunity’</w:t>
      </w:r>
    </w:p>
    <w:p w14:paraId="7D38CD65" w14:textId="77777777" w:rsidR="009F503F" w:rsidRDefault="009F503F" w:rsidP="009F503F">
      <w:pPr>
        <w:pStyle w:val="NoSpacing"/>
        <w:ind w:left="2160"/>
      </w:pPr>
    </w:p>
    <w:p w14:paraId="48E1103D" w14:textId="5FEC0DE4" w:rsidR="009F503F" w:rsidRDefault="004149D7" w:rsidP="00B21502">
      <w:pPr>
        <w:pStyle w:val="NoSpacing"/>
        <w:numPr>
          <w:ilvl w:val="1"/>
          <w:numId w:val="19"/>
        </w:numPr>
      </w:pPr>
      <w:r w:rsidRPr="00EB521C">
        <w:rPr>
          <w:i/>
        </w:rPr>
        <w:lastRenderedPageBreak/>
        <w:t>Contract</w:t>
      </w:r>
      <w:r>
        <w:t xml:space="preserve"> – Restore the client to the original position they would have been in had the retainer been fully performed.</w:t>
      </w:r>
    </w:p>
    <w:p w14:paraId="1CED9C70" w14:textId="77777777" w:rsidR="004149D7" w:rsidRDefault="004149D7" w:rsidP="004149D7">
      <w:pPr>
        <w:pStyle w:val="NoSpacing"/>
        <w:ind w:left="1440"/>
      </w:pPr>
    </w:p>
    <w:p w14:paraId="1D52DF9E" w14:textId="6B36B425" w:rsidR="004149D7" w:rsidRPr="00BB3B36" w:rsidRDefault="004149D7" w:rsidP="00B21502">
      <w:pPr>
        <w:pStyle w:val="NoSpacing"/>
        <w:numPr>
          <w:ilvl w:val="1"/>
          <w:numId w:val="19"/>
        </w:numPr>
      </w:pPr>
      <w:r w:rsidRPr="006538AB">
        <w:rPr>
          <w:i/>
        </w:rPr>
        <w:t>Tort</w:t>
      </w:r>
      <w:r>
        <w:t xml:space="preserve"> – see </w:t>
      </w:r>
      <w:r w:rsidR="00DD2324">
        <w:t>Tort section</w:t>
      </w:r>
    </w:p>
    <w:p w14:paraId="4A1A0459" w14:textId="77777777" w:rsidR="0033061A" w:rsidRDefault="0033061A" w:rsidP="00B23AB7">
      <w:pPr>
        <w:pStyle w:val="NoSpacing"/>
      </w:pPr>
    </w:p>
    <w:p w14:paraId="6F592ECF" w14:textId="4CD1BB5E" w:rsidR="00F37959" w:rsidRPr="000945DA" w:rsidRDefault="009B0D69" w:rsidP="005247B2">
      <w:pPr>
        <w:pStyle w:val="NoSpacing"/>
        <w:rPr>
          <w:rFonts w:cs="Times New Roman"/>
          <w:i/>
          <w:szCs w:val="24"/>
        </w:rPr>
      </w:pPr>
      <w:r w:rsidRPr="009B0D69">
        <w:rPr>
          <w:rFonts w:cs="Times New Roman"/>
          <w:b/>
          <w:szCs w:val="24"/>
          <w:u w:val="single"/>
        </w:rPr>
        <w:t xml:space="preserve">Duty of </w:t>
      </w:r>
      <w:proofErr w:type="gramStart"/>
      <w:r w:rsidRPr="009B0D69">
        <w:rPr>
          <w:rFonts w:cs="Times New Roman"/>
          <w:b/>
          <w:szCs w:val="24"/>
          <w:u w:val="single"/>
        </w:rPr>
        <w:t xml:space="preserve">Loyalty </w:t>
      </w:r>
      <w:r w:rsidR="000945DA">
        <w:rPr>
          <w:rFonts w:cs="Times New Roman"/>
          <w:i/>
          <w:szCs w:val="24"/>
        </w:rPr>
        <w:t xml:space="preserve"> </w:t>
      </w:r>
      <w:r w:rsidR="004002E7">
        <w:rPr>
          <w:rFonts w:cs="Times New Roman"/>
          <w:i/>
          <w:szCs w:val="24"/>
        </w:rPr>
        <w:t>–</w:t>
      </w:r>
      <w:proofErr w:type="gramEnd"/>
      <w:r w:rsidR="000945DA">
        <w:rPr>
          <w:rFonts w:cs="Times New Roman"/>
          <w:i/>
          <w:szCs w:val="24"/>
        </w:rPr>
        <w:t xml:space="preserve"> PCPR 9.1 &amp; 9.2</w:t>
      </w:r>
    </w:p>
    <w:p w14:paraId="45A004FE" w14:textId="77777777" w:rsidR="00485ED1" w:rsidRDefault="00485ED1" w:rsidP="0079364B">
      <w:pPr>
        <w:pStyle w:val="NoSpacing"/>
        <w:rPr>
          <w:rFonts w:cs="Times New Roman"/>
          <w:szCs w:val="24"/>
        </w:rPr>
      </w:pPr>
    </w:p>
    <w:p w14:paraId="333136F3" w14:textId="4D2C8EE7" w:rsidR="00756346" w:rsidRDefault="00A061E6" w:rsidP="00B21502">
      <w:pPr>
        <w:pStyle w:val="NoSpacing"/>
        <w:numPr>
          <w:ilvl w:val="0"/>
          <w:numId w:val="21"/>
        </w:numPr>
        <w:rPr>
          <w:rFonts w:cs="Times New Roman"/>
          <w:szCs w:val="24"/>
        </w:rPr>
      </w:pPr>
      <w:r w:rsidRPr="00880305">
        <w:rPr>
          <w:rFonts w:cs="Times New Roman"/>
          <w:b/>
          <w:i/>
          <w:szCs w:val="24"/>
        </w:rPr>
        <w:t>Duty of Loyalty</w:t>
      </w:r>
      <w:r>
        <w:rPr>
          <w:rFonts w:cs="Times New Roman"/>
          <w:i/>
          <w:szCs w:val="24"/>
        </w:rPr>
        <w:t xml:space="preserve"> </w:t>
      </w:r>
      <w:r>
        <w:rPr>
          <w:rFonts w:cs="Times New Roman"/>
          <w:szCs w:val="24"/>
        </w:rPr>
        <w:t>– The client</w:t>
      </w:r>
      <w:r w:rsidR="00F97190">
        <w:rPr>
          <w:rFonts w:cs="Times New Roman"/>
          <w:szCs w:val="24"/>
        </w:rPr>
        <w:t>–</w:t>
      </w:r>
      <w:r>
        <w:rPr>
          <w:rFonts w:cs="Times New Roman"/>
          <w:szCs w:val="24"/>
        </w:rPr>
        <w:t>lawyer relationship is one which commands the highest level of fiduciary duty which is unequalled elsewhere in the law</w:t>
      </w:r>
      <w:r w:rsidR="00F91C8A">
        <w:rPr>
          <w:rFonts w:cs="Times New Roman"/>
          <w:szCs w:val="24"/>
        </w:rPr>
        <w:t>.</w:t>
      </w:r>
    </w:p>
    <w:p w14:paraId="4304107B" w14:textId="0DF92963" w:rsidR="00A061E6" w:rsidRPr="00537842" w:rsidRDefault="00A061E6" w:rsidP="00B21502">
      <w:pPr>
        <w:pStyle w:val="NoSpacing"/>
        <w:numPr>
          <w:ilvl w:val="1"/>
          <w:numId w:val="21"/>
        </w:numPr>
        <w:rPr>
          <w:rFonts w:cs="Times New Roman"/>
          <w:szCs w:val="24"/>
        </w:rPr>
      </w:pPr>
      <w:proofErr w:type="spellStart"/>
      <w:r>
        <w:rPr>
          <w:rFonts w:cs="Times New Roman"/>
          <w:i/>
          <w:szCs w:val="24"/>
        </w:rPr>
        <w:t>Moffat</w:t>
      </w:r>
      <w:proofErr w:type="spellEnd"/>
      <w:r>
        <w:rPr>
          <w:rFonts w:cs="Times New Roman"/>
          <w:i/>
          <w:szCs w:val="24"/>
        </w:rPr>
        <w:t xml:space="preserve"> v </w:t>
      </w:r>
      <w:proofErr w:type="spellStart"/>
      <w:r>
        <w:rPr>
          <w:rFonts w:cs="Times New Roman"/>
          <w:i/>
          <w:szCs w:val="24"/>
        </w:rPr>
        <w:t>Wetstein</w:t>
      </w:r>
      <w:proofErr w:type="spellEnd"/>
    </w:p>
    <w:p w14:paraId="5238C265" w14:textId="77777777" w:rsidR="00537842" w:rsidRPr="00537842" w:rsidRDefault="00537842" w:rsidP="00537842">
      <w:pPr>
        <w:pStyle w:val="NoSpacing"/>
        <w:ind w:left="1440"/>
        <w:rPr>
          <w:rFonts w:cs="Times New Roman"/>
          <w:szCs w:val="24"/>
        </w:rPr>
      </w:pPr>
    </w:p>
    <w:p w14:paraId="319BC721" w14:textId="77777777" w:rsidR="00CC2B74" w:rsidRPr="00CC2B74" w:rsidRDefault="00537842" w:rsidP="00B21502">
      <w:pPr>
        <w:numPr>
          <w:ilvl w:val="0"/>
          <w:numId w:val="21"/>
        </w:numPr>
      </w:pPr>
      <w:r w:rsidRPr="00BA5FFE">
        <w:rPr>
          <w:b/>
          <w:i/>
          <w:lang w:val="en-AU"/>
        </w:rPr>
        <w:t>Undivided Loyalty</w:t>
      </w:r>
      <w:r>
        <w:rPr>
          <w:i/>
          <w:lang w:val="en-AU"/>
        </w:rPr>
        <w:t xml:space="preserve"> – </w:t>
      </w:r>
      <w:r w:rsidRPr="00537842">
        <w:rPr>
          <w:lang w:val="en-AU"/>
        </w:rPr>
        <w:t>Fiduciary principle dictates that lawyers must give undiv</w:t>
      </w:r>
      <w:r w:rsidR="00BA5FFE">
        <w:rPr>
          <w:lang w:val="en-AU"/>
        </w:rPr>
        <w:t>ided loyalty to their clients, without</w:t>
      </w:r>
      <w:r w:rsidRPr="00537842">
        <w:rPr>
          <w:lang w:val="en-AU"/>
        </w:rPr>
        <w:t xml:space="preserve"> being distracted by other interest including personal interest. </w:t>
      </w:r>
    </w:p>
    <w:p w14:paraId="471D6317" w14:textId="125EA966" w:rsidR="00537842" w:rsidRPr="00537842" w:rsidRDefault="00537842" w:rsidP="00B21502">
      <w:pPr>
        <w:numPr>
          <w:ilvl w:val="1"/>
          <w:numId w:val="21"/>
        </w:numPr>
      </w:pPr>
      <w:r w:rsidRPr="00537842">
        <w:rPr>
          <w:lang w:val="en-AU"/>
        </w:rPr>
        <w:t xml:space="preserve">This requires practitioners to avoid conflict between the </w:t>
      </w:r>
      <w:r w:rsidRPr="00537842">
        <w:rPr>
          <w:u w:val="single"/>
          <w:lang w:val="en-AU"/>
        </w:rPr>
        <w:t>interests of a client and</w:t>
      </w:r>
      <w:r w:rsidRPr="00537842">
        <w:rPr>
          <w:lang w:val="en-AU"/>
        </w:rPr>
        <w:t>:</w:t>
      </w:r>
    </w:p>
    <w:p w14:paraId="4D6F363B" w14:textId="55811EDD" w:rsidR="00537842" w:rsidRPr="00CC2B74" w:rsidRDefault="00537842" w:rsidP="00B21502">
      <w:pPr>
        <w:pStyle w:val="ListParagraph"/>
        <w:numPr>
          <w:ilvl w:val="2"/>
          <w:numId w:val="21"/>
        </w:numPr>
        <w:rPr>
          <w:lang w:val="en-AU"/>
        </w:rPr>
      </w:pPr>
      <w:r w:rsidRPr="00CC2B74">
        <w:rPr>
          <w:lang w:val="en-AU"/>
        </w:rPr>
        <w:t xml:space="preserve">The </w:t>
      </w:r>
      <w:r w:rsidRPr="007267BF">
        <w:rPr>
          <w:b/>
          <w:lang w:val="en-AU"/>
        </w:rPr>
        <w:t>personal interests</w:t>
      </w:r>
      <w:r w:rsidRPr="00CC2B74">
        <w:rPr>
          <w:lang w:val="en-AU"/>
        </w:rPr>
        <w:t xml:space="preserve"> of the </w:t>
      </w:r>
      <w:r w:rsidRPr="00CC2B74">
        <w:rPr>
          <w:u w:val="single"/>
          <w:lang w:val="en-AU"/>
        </w:rPr>
        <w:t>lawyer</w:t>
      </w:r>
      <w:r w:rsidRPr="00CC2B74">
        <w:rPr>
          <w:lang w:val="en-AU"/>
        </w:rPr>
        <w:t>;</w:t>
      </w:r>
    </w:p>
    <w:p w14:paraId="3E805D36" w14:textId="63A524F8" w:rsidR="00537842" w:rsidRPr="00CC2B74" w:rsidRDefault="00537842" w:rsidP="00B21502">
      <w:pPr>
        <w:pStyle w:val="ListParagraph"/>
        <w:numPr>
          <w:ilvl w:val="2"/>
          <w:numId w:val="21"/>
        </w:numPr>
        <w:rPr>
          <w:lang w:val="en-AU"/>
        </w:rPr>
      </w:pPr>
      <w:r w:rsidRPr="00CC2B74">
        <w:rPr>
          <w:lang w:val="en-AU"/>
        </w:rPr>
        <w:t xml:space="preserve">The </w:t>
      </w:r>
      <w:r w:rsidRPr="007267BF">
        <w:rPr>
          <w:b/>
          <w:lang w:val="en-AU"/>
        </w:rPr>
        <w:t>interests of another</w:t>
      </w:r>
      <w:r w:rsidRPr="007267BF">
        <w:rPr>
          <w:lang w:val="en-AU"/>
        </w:rPr>
        <w:t xml:space="preserve"> client</w:t>
      </w:r>
      <w:r w:rsidRPr="00CC2B74">
        <w:rPr>
          <w:lang w:val="en-AU"/>
        </w:rPr>
        <w:t xml:space="preserve">  </w:t>
      </w:r>
      <w:r w:rsidR="009A5B45">
        <w:rPr>
          <w:lang w:val="en-AU"/>
        </w:rPr>
        <w:t>–</w:t>
      </w:r>
      <w:r w:rsidRPr="00CC2B74">
        <w:rPr>
          <w:lang w:val="en-AU"/>
        </w:rPr>
        <w:t xml:space="preserve"> current client (concurrent) and former client (successive) – these are conflict </w:t>
      </w:r>
      <w:r w:rsidR="003404FB">
        <w:rPr>
          <w:lang w:val="en-AU"/>
        </w:rPr>
        <w:t>between</w:t>
      </w:r>
      <w:r w:rsidRPr="00CC2B74">
        <w:rPr>
          <w:lang w:val="en-AU"/>
        </w:rPr>
        <w:t xml:space="preserve"> duties of loyalty and confidentiality</w:t>
      </w:r>
    </w:p>
    <w:p w14:paraId="457C6880" w14:textId="77777777" w:rsidR="00537842" w:rsidRDefault="00537842" w:rsidP="00537842">
      <w:pPr>
        <w:ind w:left="720"/>
        <w:rPr>
          <w:lang w:val="en-AU"/>
        </w:rPr>
      </w:pPr>
    </w:p>
    <w:p w14:paraId="5D84AA0C" w14:textId="1668BF56" w:rsidR="00537842" w:rsidRPr="00537842" w:rsidRDefault="006114F7" w:rsidP="00B21502">
      <w:pPr>
        <w:numPr>
          <w:ilvl w:val="0"/>
          <w:numId w:val="21"/>
        </w:numPr>
        <w:rPr>
          <w:lang w:val="en-AU"/>
        </w:rPr>
      </w:pPr>
      <w:r w:rsidRPr="006114F7">
        <w:rPr>
          <w:b/>
          <w:i/>
          <w:lang w:val="en-AU"/>
        </w:rPr>
        <w:t>Duty Beyond Individual Lawyer</w:t>
      </w:r>
      <w:r>
        <w:rPr>
          <w:i/>
          <w:lang w:val="en-AU"/>
        </w:rPr>
        <w:t xml:space="preserve"> – </w:t>
      </w:r>
      <w:r w:rsidR="00537842" w:rsidRPr="00537842">
        <w:rPr>
          <w:lang w:val="en-AU"/>
        </w:rPr>
        <w:t>Duty extends beyond the individual lawyer to a partner, employee, or agent of the lawyer or of the lawyer’s firm, a partnership in which the lawyer has a material interest; a director of an incorporated practice; and member of a lawyer’s immediate family</w:t>
      </w:r>
    </w:p>
    <w:p w14:paraId="0DEEDF03" w14:textId="77777777" w:rsidR="00A061E6" w:rsidRDefault="00A061E6" w:rsidP="00A061E6">
      <w:pPr>
        <w:pStyle w:val="NoSpacing"/>
        <w:ind w:left="1440"/>
        <w:rPr>
          <w:rFonts w:cs="Times New Roman"/>
          <w:szCs w:val="24"/>
        </w:rPr>
      </w:pPr>
    </w:p>
    <w:p w14:paraId="2AB56141" w14:textId="2094D6E7" w:rsidR="00A061E6" w:rsidRDefault="0033061A" w:rsidP="00B21502">
      <w:pPr>
        <w:pStyle w:val="NoSpacing"/>
        <w:numPr>
          <w:ilvl w:val="0"/>
          <w:numId w:val="21"/>
        </w:numPr>
        <w:rPr>
          <w:rFonts w:cs="Times New Roman"/>
          <w:szCs w:val="24"/>
        </w:rPr>
      </w:pPr>
      <w:r w:rsidRPr="00880305">
        <w:rPr>
          <w:rFonts w:cs="Times New Roman"/>
          <w:b/>
          <w:i/>
          <w:szCs w:val="24"/>
        </w:rPr>
        <w:t>Profit &amp; Conflict Rules</w:t>
      </w:r>
      <w:r>
        <w:rPr>
          <w:rFonts w:cs="Times New Roman"/>
          <w:i/>
          <w:szCs w:val="24"/>
        </w:rPr>
        <w:t xml:space="preserve"> </w:t>
      </w:r>
      <w:r>
        <w:rPr>
          <w:rFonts w:cs="Times New Roman"/>
          <w:szCs w:val="24"/>
        </w:rPr>
        <w:t xml:space="preserve">– A person must not accept – unless they have the express informed consent of the person to whom they owe the fiduciary duty – a position which places themselves in a position of conflict or profit. </w:t>
      </w:r>
      <w:r w:rsidRPr="00C16450">
        <w:rPr>
          <w:rFonts w:cs="Times New Roman"/>
          <w:i/>
          <w:szCs w:val="24"/>
        </w:rPr>
        <w:t>[the ‘conflict’ and ‘profit’ rules]</w:t>
      </w:r>
    </w:p>
    <w:p w14:paraId="085A71CD" w14:textId="48D1CD51" w:rsidR="00B847CC" w:rsidRPr="00C16450" w:rsidRDefault="00B847CC" w:rsidP="00B21502">
      <w:pPr>
        <w:pStyle w:val="NoSpacing"/>
        <w:numPr>
          <w:ilvl w:val="1"/>
          <w:numId w:val="21"/>
        </w:numPr>
      </w:pPr>
      <w:r w:rsidRPr="00C16450">
        <w:rPr>
          <w:i/>
        </w:rPr>
        <w:t xml:space="preserve">Cannot be in a position of </w:t>
      </w:r>
      <w:r w:rsidRPr="00880305">
        <w:rPr>
          <w:b/>
          <w:i/>
        </w:rPr>
        <w:t>conflict</w:t>
      </w:r>
      <w:r w:rsidRPr="00C16450">
        <w:rPr>
          <w:i/>
        </w:rPr>
        <w:t xml:space="preserve"> between</w:t>
      </w:r>
      <w:r w:rsidR="00717C56">
        <w:rPr>
          <w:i/>
        </w:rPr>
        <w:t xml:space="preserve"> – PCPR 9.1</w:t>
      </w:r>
    </w:p>
    <w:p w14:paraId="28E8BD7F" w14:textId="49BD945B" w:rsidR="00B847CC" w:rsidRDefault="00B847CC" w:rsidP="00B21502">
      <w:pPr>
        <w:pStyle w:val="NoSpacing"/>
        <w:numPr>
          <w:ilvl w:val="2"/>
          <w:numId w:val="21"/>
        </w:numPr>
        <w:rPr>
          <w:u w:val="single"/>
        </w:rPr>
      </w:pPr>
      <w:r>
        <w:t>Between the duty as fiduciary and his or her own interest or a duty to a third party;</w:t>
      </w:r>
    </w:p>
    <w:p w14:paraId="03BA7866" w14:textId="77777777" w:rsidR="00B847CC" w:rsidRDefault="00B847CC" w:rsidP="00B21502">
      <w:pPr>
        <w:pStyle w:val="NoSpacing"/>
        <w:numPr>
          <w:ilvl w:val="2"/>
          <w:numId w:val="21"/>
        </w:numPr>
        <w:rPr>
          <w:u w:val="single"/>
        </w:rPr>
      </w:pPr>
      <w:r>
        <w:t>Between the duty as fiduciary or two or more person;</w:t>
      </w:r>
    </w:p>
    <w:p w14:paraId="02A780F9" w14:textId="77777777" w:rsidR="002A1A24" w:rsidRPr="002A1A24" w:rsidRDefault="002A1A24" w:rsidP="002A1A24">
      <w:pPr>
        <w:pStyle w:val="NoSpacing"/>
        <w:ind w:left="1440"/>
        <w:rPr>
          <w:u w:val="single"/>
        </w:rPr>
      </w:pPr>
    </w:p>
    <w:p w14:paraId="47B5B44C" w14:textId="77777777" w:rsidR="00482616" w:rsidRPr="00482616" w:rsidRDefault="00482616" w:rsidP="00B21502">
      <w:pPr>
        <w:pStyle w:val="NoSpacing"/>
        <w:numPr>
          <w:ilvl w:val="1"/>
          <w:numId w:val="21"/>
        </w:numPr>
        <w:rPr>
          <w:u w:val="single"/>
        </w:rPr>
      </w:pPr>
      <w:r>
        <w:rPr>
          <w:i/>
        </w:rPr>
        <w:t xml:space="preserve">Cannot </w:t>
      </w:r>
      <w:r w:rsidRPr="00880305">
        <w:rPr>
          <w:b/>
          <w:i/>
        </w:rPr>
        <w:t>profit</w:t>
      </w:r>
      <w:r>
        <w:rPr>
          <w:i/>
        </w:rPr>
        <w:t xml:space="preserve"> from </w:t>
      </w:r>
    </w:p>
    <w:p w14:paraId="23A98A91" w14:textId="213DDB2B" w:rsidR="00B847CC" w:rsidRPr="00B8425E" w:rsidRDefault="00155109" w:rsidP="00B21502">
      <w:pPr>
        <w:pStyle w:val="NoSpacing"/>
        <w:numPr>
          <w:ilvl w:val="2"/>
          <w:numId w:val="21"/>
        </w:numPr>
        <w:rPr>
          <w:u w:val="single"/>
        </w:rPr>
      </w:pPr>
      <w:r>
        <w:t>A</w:t>
      </w:r>
      <w:r w:rsidR="00B847CC">
        <w:t xml:space="preserve"> relationship giving rise to fiduciary duties except with the informed consent of the person to whom those duties are owed (the “no profit” rule).</w:t>
      </w:r>
    </w:p>
    <w:p w14:paraId="538FA369" w14:textId="77777777" w:rsidR="00B8425E" w:rsidRPr="00CB1C70" w:rsidRDefault="00B8425E" w:rsidP="00CB1C70">
      <w:pPr>
        <w:pStyle w:val="NoSpacing"/>
      </w:pPr>
    </w:p>
    <w:p w14:paraId="61F06A0E" w14:textId="228A736D" w:rsidR="0033061A" w:rsidRDefault="00CB1C70" w:rsidP="00B21502">
      <w:pPr>
        <w:pStyle w:val="NoSpacing"/>
        <w:numPr>
          <w:ilvl w:val="0"/>
          <w:numId w:val="21"/>
        </w:numPr>
        <w:rPr>
          <w:rFonts w:cs="Times New Roman"/>
          <w:szCs w:val="24"/>
        </w:rPr>
      </w:pPr>
      <w:r w:rsidRPr="00BF71B9">
        <w:rPr>
          <w:rFonts w:cs="Times New Roman"/>
          <w:b/>
          <w:i/>
          <w:szCs w:val="24"/>
        </w:rPr>
        <w:t>Boardman v Phipps</w:t>
      </w:r>
      <w:r>
        <w:rPr>
          <w:rFonts w:cs="Times New Roman"/>
          <w:i/>
          <w:szCs w:val="24"/>
        </w:rPr>
        <w:t xml:space="preserve"> – </w:t>
      </w:r>
      <w:r>
        <w:rPr>
          <w:rFonts w:cs="Times New Roman"/>
          <w:szCs w:val="24"/>
        </w:rPr>
        <w:t xml:space="preserve">From equity, the leading case of </w:t>
      </w:r>
      <w:r>
        <w:rPr>
          <w:rFonts w:cs="Times New Roman"/>
          <w:i/>
          <w:szCs w:val="24"/>
        </w:rPr>
        <w:t xml:space="preserve">Boardman v Phipps </w:t>
      </w:r>
      <w:r w:rsidR="00775BC6">
        <w:rPr>
          <w:rFonts w:cs="Times New Roman"/>
          <w:szCs w:val="24"/>
        </w:rPr>
        <w:t>provides the leading authority and many cases followed</w:t>
      </w:r>
      <w:r w:rsidR="00540B0C">
        <w:rPr>
          <w:rFonts w:cs="Times New Roman"/>
          <w:szCs w:val="24"/>
        </w:rPr>
        <w:t xml:space="preserve"> illustrating </w:t>
      </w:r>
      <w:r w:rsidR="003D2BF1">
        <w:rPr>
          <w:rFonts w:cs="Times New Roman"/>
          <w:szCs w:val="24"/>
        </w:rPr>
        <w:t>illegitimate</w:t>
      </w:r>
      <w:r w:rsidR="00540B0C">
        <w:rPr>
          <w:rFonts w:cs="Times New Roman"/>
          <w:szCs w:val="24"/>
        </w:rPr>
        <w:t xml:space="preserve"> defences:</w:t>
      </w:r>
    </w:p>
    <w:p w14:paraId="4538259B" w14:textId="77777777" w:rsidR="00C45223" w:rsidRDefault="00C45223" w:rsidP="00C45223">
      <w:pPr>
        <w:pStyle w:val="NoSpacing"/>
        <w:ind w:left="1440"/>
        <w:rPr>
          <w:rFonts w:cs="Times New Roman"/>
          <w:szCs w:val="24"/>
        </w:rPr>
      </w:pPr>
    </w:p>
    <w:p w14:paraId="34DFAD53" w14:textId="531B69A0" w:rsidR="00CB1C70" w:rsidRDefault="00717B03" w:rsidP="00B21502">
      <w:pPr>
        <w:pStyle w:val="NoSpacing"/>
        <w:numPr>
          <w:ilvl w:val="1"/>
          <w:numId w:val="21"/>
        </w:numPr>
        <w:rPr>
          <w:rFonts w:cs="Times New Roman"/>
          <w:szCs w:val="24"/>
        </w:rPr>
      </w:pPr>
      <w:r>
        <w:rPr>
          <w:rFonts w:cs="Times New Roman"/>
          <w:i/>
          <w:szCs w:val="24"/>
        </w:rPr>
        <w:t>Bon</w:t>
      </w:r>
      <w:r w:rsidR="005C1FD9">
        <w:rPr>
          <w:rFonts w:cs="Times New Roman"/>
          <w:i/>
          <w:szCs w:val="24"/>
        </w:rPr>
        <w:t>a</w:t>
      </w:r>
      <w:r>
        <w:rPr>
          <w:rFonts w:cs="Times New Roman"/>
          <w:i/>
          <w:szCs w:val="24"/>
        </w:rPr>
        <w:t xml:space="preserve"> Fide – </w:t>
      </w:r>
      <w:r w:rsidR="00C45223">
        <w:rPr>
          <w:rFonts w:cs="Times New Roman"/>
          <w:szCs w:val="24"/>
        </w:rPr>
        <w:t>It is no defence to a fiduciary breach for the lawyer to maintain that he or she acted bona fide or otherwise acted honestly</w:t>
      </w:r>
      <w:r w:rsidR="00FD7C06">
        <w:rPr>
          <w:rFonts w:cs="Times New Roman"/>
          <w:szCs w:val="24"/>
        </w:rPr>
        <w:t>. [</w:t>
      </w:r>
      <w:r w:rsidR="00FD7C06" w:rsidRPr="00DF5225">
        <w:rPr>
          <w:rFonts w:cs="Times New Roman"/>
          <w:i/>
          <w:szCs w:val="24"/>
        </w:rPr>
        <w:t>Boardman v Phipps</w:t>
      </w:r>
      <w:r w:rsidR="00FD7C06">
        <w:rPr>
          <w:rFonts w:cs="Times New Roman"/>
          <w:szCs w:val="24"/>
        </w:rPr>
        <w:t>]</w:t>
      </w:r>
    </w:p>
    <w:p w14:paraId="64BE7A20" w14:textId="102F41EA" w:rsidR="000D555C" w:rsidRDefault="005C1FD9" w:rsidP="00B21502">
      <w:pPr>
        <w:pStyle w:val="NoSpacing"/>
        <w:numPr>
          <w:ilvl w:val="1"/>
          <w:numId w:val="21"/>
        </w:numPr>
        <w:rPr>
          <w:rFonts w:cs="Times New Roman"/>
          <w:szCs w:val="24"/>
        </w:rPr>
      </w:pPr>
      <w:r>
        <w:rPr>
          <w:rFonts w:cs="Times New Roman"/>
          <w:i/>
          <w:szCs w:val="24"/>
        </w:rPr>
        <w:t xml:space="preserve">Client Benefited – </w:t>
      </w:r>
      <w:r w:rsidR="000D555C">
        <w:rPr>
          <w:rFonts w:cs="Times New Roman"/>
          <w:szCs w:val="24"/>
        </w:rPr>
        <w:t>Nor does the fact that the client benefited from the breach that the work was delegated to a staff lawyer [</w:t>
      </w:r>
      <w:r w:rsidR="000D555C">
        <w:rPr>
          <w:rFonts w:cs="Times New Roman"/>
          <w:i/>
          <w:szCs w:val="24"/>
        </w:rPr>
        <w:t>Re Bannister</w:t>
      </w:r>
      <w:r w:rsidR="000D555C">
        <w:rPr>
          <w:rFonts w:cs="Times New Roman"/>
          <w:szCs w:val="24"/>
        </w:rPr>
        <w:t>]</w:t>
      </w:r>
    </w:p>
    <w:p w14:paraId="115D5CEF" w14:textId="7610092B" w:rsidR="000D555C" w:rsidRDefault="0019274D" w:rsidP="00B21502">
      <w:pPr>
        <w:pStyle w:val="NoSpacing"/>
        <w:numPr>
          <w:ilvl w:val="1"/>
          <w:numId w:val="21"/>
        </w:numPr>
        <w:rPr>
          <w:rFonts w:cs="Times New Roman"/>
          <w:szCs w:val="24"/>
        </w:rPr>
      </w:pPr>
      <w:r>
        <w:rPr>
          <w:rFonts w:cs="Times New Roman"/>
          <w:i/>
          <w:szCs w:val="24"/>
        </w:rPr>
        <w:t xml:space="preserve">No Fee – </w:t>
      </w:r>
      <w:r w:rsidR="000D555C">
        <w:rPr>
          <w:rFonts w:cs="Times New Roman"/>
          <w:szCs w:val="24"/>
        </w:rPr>
        <w:t>or that the client was charged no fee [Sims v Craig Bell &amp; Bond]</w:t>
      </w:r>
    </w:p>
    <w:p w14:paraId="2D878EC5" w14:textId="77777777" w:rsidR="00C81058" w:rsidRDefault="00C81058" w:rsidP="00C81058">
      <w:pPr>
        <w:pStyle w:val="NoSpacing"/>
        <w:ind w:left="1440"/>
        <w:rPr>
          <w:rFonts w:cs="Times New Roman"/>
          <w:szCs w:val="24"/>
        </w:rPr>
      </w:pPr>
    </w:p>
    <w:p w14:paraId="38219EFE" w14:textId="256EAA80" w:rsidR="00C81058" w:rsidRPr="003D2BF1" w:rsidRDefault="003D2BF1" w:rsidP="00B21502">
      <w:pPr>
        <w:pStyle w:val="NoSpacing"/>
        <w:numPr>
          <w:ilvl w:val="0"/>
          <w:numId w:val="21"/>
        </w:numPr>
        <w:rPr>
          <w:rFonts w:cs="Times New Roman"/>
          <w:szCs w:val="24"/>
        </w:rPr>
      </w:pPr>
      <w:r w:rsidRPr="00BC04C6">
        <w:rPr>
          <w:rFonts w:cs="Times New Roman"/>
          <w:b/>
          <w:i/>
          <w:szCs w:val="24"/>
        </w:rPr>
        <w:t>Client Consent</w:t>
      </w:r>
      <w:r>
        <w:rPr>
          <w:rFonts w:cs="Times New Roman"/>
          <w:i/>
          <w:szCs w:val="24"/>
        </w:rPr>
        <w:t xml:space="preserve"> – </w:t>
      </w:r>
    </w:p>
    <w:p w14:paraId="218FAB52" w14:textId="23223C75" w:rsidR="003D2BF1" w:rsidRDefault="00A2795D" w:rsidP="00B21502">
      <w:pPr>
        <w:pStyle w:val="NoSpacing"/>
        <w:numPr>
          <w:ilvl w:val="1"/>
          <w:numId w:val="21"/>
        </w:numPr>
        <w:rPr>
          <w:rFonts w:cs="Times New Roman"/>
          <w:szCs w:val="24"/>
        </w:rPr>
      </w:pPr>
      <w:r>
        <w:rPr>
          <w:rFonts w:cs="Times New Roman"/>
          <w:i/>
          <w:szCs w:val="24"/>
        </w:rPr>
        <w:lastRenderedPageBreak/>
        <w:t xml:space="preserve">Client Consent – </w:t>
      </w:r>
      <w:r w:rsidR="00690390">
        <w:rPr>
          <w:rFonts w:cs="Times New Roman"/>
          <w:szCs w:val="24"/>
        </w:rPr>
        <w:t xml:space="preserve">A fiduciary owes zealous and loyal representation to the client and it is up to the client – and the client alone – </w:t>
      </w:r>
      <w:r w:rsidR="0032663F">
        <w:rPr>
          <w:rFonts w:cs="Times New Roman"/>
          <w:szCs w:val="24"/>
        </w:rPr>
        <w:t>to authorise or consent to a conflict that would otherwise substantiate a fiduciary breach.</w:t>
      </w:r>
    </w:p>
    <w:p w14:paraId="737607FA" w14:textId="77777777" w:rsidR="00A2795D" w:rsidRDefault="00A2795D" w:rsidP="00A2795D">
      <w:pPr>
        <w:pStyle w:val="NoSpacing"/>
        <w:ind w:left="1440"/>
        <w:rPr>
          <w:rFonts w:cs="Times New Roman"/>
          <w:szCs w:val="24"/>
        </w:rPr>
      </w:pPr>
    </w:p>
    <w:p w14:paraId="2D84D172" w14:textId="0C24CB06" w:rsidR="00A2795D" w:rsidRDefault="00A2795D" w:rsidP="00B21502">
      <w:pPr>
        <w:pStyle w:val="NoSpacing"/>
        <w:numPr>
          <w:ilvl w:val="1"/>
          <w:numId w:val="21"/>
        </w:numPr>
        <w:rPr>
          <w:rFonts w:cs="Times New Roman"/>
          <w:szCs w:val="24"/>
        </w:rPr>
      </w:pPr>
      <w:r>
        <w:rPr>
          <w:rFonts w:cs="Times New Roman"/>
          <w:i/>
          <w:szCs w:val="24"/>
        </w:rPr>
        <w:t xml:space="preserve">Fully Informed </w:t>
      </w:r>
      <w:r w:rsidR="001C0733">
        <w:rPr>
          <w:rFonts w:cs="Times New Roman"/>
          <w:i/>
          <w:szCs w:val="24"/>
        </w:rPr>
        <w:t>–</w:t>
      </w:r>
      <w:r>
        <w:rPr>
          <w:rFonts w:cs="Times New Roman"/>
          <w:i/>
          <w:szCs w:val="24"/>
        </w:rPr>
        <w:t xml:space="preserve"> </w:t>
      </w:r>
      <w:r w:rsidR="001C0733">
        <w:rPr>
          <w:rFonts w:cs="Times New Roman"/>
          <w:szCs w:val="24"/>
        </w:rPr>
        <w:t>The client authorisation is only permitted on the basis they have a full understanding of the nature and the implications of the conflict and on the basis that the lawyer makes a ‘full and true’ disclosure to the client.</w:t>
      </w:r>
    </w:p>
    <w:p w14:paraId="0A25B61F" w14:textId="0723DA5A" w:rsidR="00485887" w:rsidRPr="00F27069" w:rsidRDefault="006832B8" w:rsidP="00B21502">
      <w:pPr>
        <w:pStyle w:val="NoSpacing"/>
        <w:numPr>
          <w:ilvl w:val="2"/>
          <w:numId w:val="21"/>
        </w:numPr>
        <w:rPr>
          <w:rFonts w:cs="Times New Roman"/>
          <w:szCs w:val="24"/>
        </w:rPr>
      </w:pPr>
      <w:r>
        <w:rPr>
          <w:rFonts w:cs="Times New Roman"/>
          <w:i/>
          <w:szCs w:val="24"/>
        </w:rPr>
        <w:t>Law Society of NSW v Harvey</w:t>
      </w:r>
    </w:p>
    <w:p w14:paraId="37C4C68A" w14:textId="77777777" w:rsidR="00F27069" w:rsidRDefault="00F27069" w:rsidP="00F27069">
      <w:pPr>
        <w:pStyle w:val="NoSpacing"/>
        <w:ind w:left="2160"/>
        <w:rPr>
          <w:rFonts w:cs="Times New Roman"/>
          <w:szCs w:val="24"/>
        </w:rPr>
      </w:pPr>
    </w:p>
    <w:p w14:paraId="7D356CDE" w14:textId="77777777" w:rsidR="00836178" w:rsidRDefault="00836178" w:rsidP="00F27069">
      <w:pPr>
        <w:pStyle w:val="NoSpacing"/>
        <w:ind w:left="2160"/>
        <w:rPr>
          <w:rFonts w:cs="Times New Roman"/>
          <w:szCs w:val="24"/>
        </w:rPr>
      </w:pPr>
    </w:p>
    <w:p w14:paraId="5B030E3B" w14:textId="77777777" w:rsidR="003D13DB" w:rsidRDefault="003D13DB" w:rsidP="00F27069">
      <w:pPr>
        <w:pStyle w:val="NoSpacing"/>
        <w:ind w:left="2160"/>
        <w:rPr>
          <w:rFonts w:cs="Times New Roman"/>
          <w:szCs w:val="24"/>
        </w:rPr>
      </w:pPr>
    </w:p>
    <w:p w14:paraId="059E89EC" w14:textId="77777777" w:rsidR="00836178" w:rsidRPr="00F27069" w:rsidRDefault="00836178" w:rsidP="00F27069">
      <w:pPr>
        <w:pStyle w:val="NoSpacing"/>
        <w:ind w:left="2160"/>
        <w:rPr>
          <w:rFonts w:cs="Times New Roman"/>
          <w:szCs w:val="24"/>
        </w:rPr>
      </w:pPr>
    </w:p>
    <w:p w14:paraId="36F38868" w14:textId="7EEEC09B" w:rsidR="00F27069" w:rsidRDefault="00F27069" w:rsidP="00B21502">
      <w:pPr>
        <w:pStyle w:val="NoSpacing"/>
        <w:numPr>
          <w:ilvl w:val="0"/>
          <w:numId w:val="21"/>
        </w:numPr>
        <w:rPr>
          <w:rFonts w:cs="Times New Roman"/>
          <w:szCs w:val="24"/>
        </w:rPr>
      </w:pPr>
      <w:r>
        <w:rPr>
          <w:rFonts w:cs="Times New Roman"/>
          <w:b/>
          <w:i/>
          <w:szCs w:val="24"/>
        </w:rPr>
        <w:t xml:space="preserve">Remedies </w:t>
      </w:r>
      <w:r>
        <w:rPr>
          <w:rFonts w:cs="Times New Roman"/>
          <w:szCs w:val="24"/>
        </w:rPr>
        <w:t xml:space="preserve">– </w:t>
      </w:r>
    </w:p>
    <w:p w14:paraId="2860036E" w14:textId="39D3966A" w:rsidR="00F27069" w:rsidRDefault="001801D1" w:rsidP="00B21502">
      <w:pPr>
        <w:pStyle w:val="NoSpacing"/>
        <w:numPr>
          <w:ilvl w:val="1"/>
          <w:numId w:val="21"/>
        </w:numPr>
        <w:rPr>
          <w:rFonts w:cs="Times New Roman"/>
          <w:szCs w:val="24"/>
        </w:rPr>
      </w:pPr>
      <w:proofErr w:type="spellStart"/>
      <w:r w:rsidRPr="00A803D1">
        <w:rPr>
          <w:rFonts w:cs="Times New Roman"/>
          <w:i/>
          <w:szCs w:val="24"/>
        </w:rPr>
        <w:t>Restitutionary</w:t>
      </w:r>
      <w:proofErr w:type="spellEnd"/>
      <w:r w:rsidR="00FD4A72" w:rsidRPr="00A803D1">
        <w:rPr>
          <w:rFonts w:cs="Times New Roman"/>
          <w:i/>
          <w:szCs w:val="24"/>
        </w:rPr>
        <w:t xml:space="preserve"> Relief</w:t>
      </w:r>
      <w:r w:rsidR="00FD4A72">
        <w:rPr>
          <w:rFonts w:cs="Times New Roman"/>
          <w:b/>
          <w:i/>
          <w:szCs w:val="24"/>
        </w:rPr>
        <w:t xml:space="preserve"> – </w:t>
      </w:r>
      <w:r w:rsidR="00FD4A72" w:rsidRPr="00486A55">
        <w:rPr>
          <w:rFonts w:cs="Times New Roman"/>
          <w:szCs w:val="24"/>
        </w:rPr>
        <w:t>Account of Profits, Constructive Trust</w:t>
      </w:r>
    </w:p>
    <w:p w14:paraId="5B491D25" w14:textId="50CE009D" w:rsidR="00FB15AA" w:rsidRPr="00C70E5D" w:rsidRDefault="00AB16D3" w:rsidP="00B21502">
      <w:pPr>
        <w:pStyle w:val="NoSpacing"/>
        <w:numPr>
          <w:ilvl w:val="2"/>
          <w:numId w:val="21"/>
        </w:numPr>
        <w:rPr>
          <w:rFonts w:cs="Times New Roman"/>
          <w:szCs w:val="24"/>
        </w:rPr>
      </w:pPr>
      <w:r>
        <w:rPr>
          <w:rFonts w:cs="Times New Roman"/>
          <w:i/>
          <w:szCs w:val="24"/>
        </w:rPr>
        <w:t xml:space="preserve">Green &amp; Clara v </w:t>
      </w:r>
      <w:proofErr w:type="spellStart"/>
      <w:r>
        <w:rPr>
          <w:rFonts w:cs="Times New Roman"/>
          <w:i/>
          <w:szCs w:val="24"/>
        </w:rPr>
        <w:t>Bestobell</w:t>
      </w:r>
      <w:proofErr w:type="spellEnd"/>
      <w:r>
        <w:rPr>
          <w:rFonts w:cs="Times New Roman"/>
          <w:i/>
          <w:szCs w:val="24"/>
        </w:rPr>
        <w:t xml:space="preserve"> Industries Pty Ltd </w:t>
      </w:r>
      <w:r w:rsidR="008E3055">
        <w:rPr>
          <w:rFonts w:cs="Times New Roman"/>
          <w:szCs w:val="24"/>
        </w:rPr>
        <w:t>– where fiduciary has generated a profit or secured property in breach of their fiduciary duties.</w:t>
      </w:r>
    </w:p>
    <w:p w14:paraId="1C91B301" w14:textId="77777777" w:rsidR="00C70E5D" w:rsidRDefault="00C70E5D" w:rsidP="00C70E5D">
      <w:pPr>
        <w:pStyle w:val="NoSpacing"/>
        <w:ind w:left="2160"/>
        <w:rPr>
          <w:rFonts w:cs="Times New Roman"/>
          <w:szCs w:val="24"/>
        </w:rPr>
      </w:pPr>
    </w:p>
    <w:p w14:paraId="6118F951" w14:textId="0A1D1ACB" w:rsidR="00AB16D3" w:rsidRPr="00A803D1" w:rsidRDefault="00C70E5D" w:rsidP="00B21502">
      <w:pPr>
        <w:pStyle w:val="NoSpacing"/>
        <w:numPr>
          <w:ilvl w:val="1"/>
          <w:numId w:val="21"/>
        </w:numPr>
        <w:rPr>
          <w:rFonts w:cs="Times New Roman"/>
          <w:szCs w:val="24"/>
        </w:rPr>
      </w:pPr>
      <w:r w:rsidRPr="00A803D1">
        <w:rPr>
          <w:rFonts w:cs="Times New Roman"/>
          <w:i/>
          <w:szCs w:val="24"/>
        </w:rPr>
        <w:t>Equitable Compensation</w:t>
      </w:r>
      <w:r w:rsidRPr="00A803D1">
        <w:rPr>
          <w:rFonts w:cs="Times New Roman"/>
          <w:szCs w:val="24"/>
        </w:rPr>
        <w:t xml:space="preserve"> </w:t>
      </w:r>
    </w:p>
    <w:p w14:paraId="6EA48C72" w14:textId="77777777" w:rsidR="00F52EF7" w:rsidRDefault="00F52EF7" w:rsidP="00F52EF7">
      <w:pPr>
        <w:pStyle w:val="NoSpacing"/>
        <w:rPr>
          <w:rFonts w:cs="Times New Roman"/>
          <w:szCs w:val="24"/>
        </w:rPr>
      </w:pPr>
    </w:p>
    <w:p w14:paraId="3B4FFADB" w14:textId="77777777" w:rsidR="00540130" w:rsidRDefault="00540130" w:rsidP="00145E27">
      <w:pPr>
        <w:pStyle w:val="NoSpacing"/>
        <w:rPr>
          <w:rFonts w:cs="Times New Roman"/>
          <w:b/>
          <w:szCs w:val="24"/>
          <w:u w:val="single"/>
        </w:rPr>
      </w:pPr>
    </w:p>
    <w:p w14:paraId="06576E58" w14:textId="77777777" w:rsidR="00540130" w:rsidRDefault="00540130" w:rsidP="00145E27">
      <w:pPr>
        <w:pStyle w:val="NoSpacing"/>
        <w:rPr>
          <w:rFonts w:cs="Times New Roman"/>
          <w:b/>
          <w:szCs w:val="24"/>
          <w:u w:val="single"/>
        </w:rPr>
      </w:pPr>
    </w:p>
    <w:p w14:paraId="6330C92F" w14:textId="77777777" w:rsidR="00540130" w:rsidRDefault="00540130" w:rsidP="00145E27">
      <w:pPr>
        <w:pStyle w:val="NoSpacing"/>
        <w:rPr>
          <w:rFonts w:cs="Times New Roman"/>
          <w:b/>
          <w:szCs w:val="24"/>
          <w:u w:val="single"/>
        </w:rPr>
      </w:pPr>
    </w:p>
    <w:p w14:paraId="61A2F826" w14:textId="77777777" w:rsidR="00540130" w:rsidRDefault="00540130" w:rsidP="00145E27">
      <w:pPr>
        <w:pStyle w:val="NoSpacing"/>
        <w:rPr>
          <w:rFonts w:cs="Times New Roman"/>
          <w:b/>
          <w:szCs w:val="24"/>
          <w:u w:val="single"/>
        </w:rPr>
      </w:pPr>
    </w:p>
    <w:p w14:paraId="4416AF1C" w14:textId="77777777" w:rsidR="00540130" w:rsidRDefault="00540130" w:rsidP="00145E27">
      <w:pPr>
        <w:pStyle w:val="NoSpacing"/>
        <w:rPr>
          <w:rFonts w:cs="Times New Roman"/>
          <w:b/>
          <w:szCs w:val="24"/>
          <w:u w:val="single"/>
        </w:rPr>
      </w:pPr>
    </w:p>
    <w:p w14:paraId="35488ED4" w14:textId="77777777" w:rsidR="00540130" w:rsidRDefault="00540130" w:rsidP="00145E27">
      <w:pPr>
        <w:pStyle w:val="NoSpacing"/>
        <w:rPr>
          <w:rFonts w:cs="Times New Roman"/>
          <w:b/>
          <w:szCs w:val="24"/>
          <w:u w:val="single"/>
        </w:rPr>
      </w:pPr>
    </w:p>
    <w:p w14:paraId="3B9C23B2" w14:textId="77777777" w:rsidR="00540130" w:rsidRDefault="00540130" w:rsidP="00145E27">
      <w:pPr>
        <w:pStyle w:val="NoSpacing"/>
        <w:rPr>
          <w:rFonts w:cs="Times New Roman"/>
          <w:b/>
          <w:szCs w:val="24"/>
          <w:u w:val="single"/>
        </w:rPr>
      </w:pPr>
    </w:p>
    <w:p w14:paraId="701244D8" w14:textId="77777777" w:rsidR="00540130" w:rsidRDefault="00540130" w:rsidP="00145E27">
      <w:pPr>
        <w:pStyle w:val="NoSpacing"/>
        <w:rPr>
          <w:rFonts w:cs="Times New Roman"/>
          <w:b/>
          <w:szCs w:val="24"/>
          <w:u w:val="single"/>
        </w:rPr>
      </w:pPr>
    </w:p>
    <w:p w14:paraId="07E802DD" w14:textId="77777777" w:rsidR="00540130" w:rsidRDefault="00540130" w:rsidP="00145E27">
      <w:pPr>
        <w:pStyle w:val="NoSpacing"/>
        <w:rPr>
          <w:rFonts w:cs="Times New Roman"/>
          <w:b/>
          <w:szCs w:val="24"/>
          <w:u w:val="single"/>
        </w:rPr>
      </w:pPr>
    </w:p>
    <w:p w14:paraId="6AC29D71" w14:textId="77777777" w:rsidR="00540130" w:rsidRDefault="00540130" w:rsidP="00145E27">
      <w:pPr>
        <w:pStyle w:val="NoSpacing"/>
        <w:rPr>
          <w:rFonts w:cs="Times New Roman"/>
          <w:b/>
          <w:szCs w:val="24"/>
          <w:u w:val="single"/>
        </w:rPr>
      </w:pPr>
    </w:p>
    <w:p w14:paraId="471EEAFE" w14:textId="77777777" w:rsidR="00540130" w:rsidRDefault="00540130" w:rsidP="00145E27">
      <w:pPr>
        <w:pStyle w:val="NoSpacing"/>
        <w:rPr>
          <w:rFonts w:cs="Times New Roman"/>
          <w:b/>
          <w:szCs w:val="24"/>
          <w:u w:val="single"/>
        </w:rPr>
      </w:pPr>
    </w:p>
    <w:p w14:paraId="0829DE2E" w14:textId="77777777" w:rsidR="00540130" w:rsidRDefault="00540130" w:rsidP="00145E27">
      <w:pPr>
        <w:pStyle w:val="NoSpacing"/>
        <w:rPr>
          <w:rFonts w:cs="Times New Roman"/>
          <w:b/>
          <w:szCs w:val="24"/>
          <w:u w:val="single"/>
        </w:rPr>
      </w:pPr>
    </w:p>
    <w:p w14:paraId="493D3E43" w14:textId="77777777" w:rsidR="00540130" w:rsidRDefault="00540130" w:rsidP="00145E27">
      <w:pPr>
        <w:pStyle w:val="NoSpacing"/>
        <w:rPr>
          <w:rFonts w:cs="Times New Roman"/>
          <w:b/>
          <w:szCs w:val="24"/>
          <w:u w:val="single"/>
        </w:rPr>
      </w:pPr>
    </w:p>
    <w:p w14:paraId="4D8A68FB" w14:textId="77777777" w:rsidR="00540130" w:rsidRDefault="00540130" w:rsidP="00145E27">
      <w:pPr>
        <w:pStyle w:val="NoSpacing"/>
        <w:rPr>
          <w:rFonts w:cs="Times New Roman"/>
          <w:b/>
          <w:szCs w:val="24"/>
          <w:u w:val="single"/>
        </w:rPr>
      </w:pPr>
    </w:p>
    <w:p w14:paraId="51EA3A74" w14:textId="77777777" w:rsidR="00540130" w:rsidRDefault="00540130" w:rsidP="00145E27">
      <w:pPr>
        <w:pStyle w:val="NoSpacing"/>
        <w:rPr>
          <w:rFonts w:cs="Times New Roman"/>
          <w:b/>
          <w:szCs w:val="24"/>
          <w:u w:val="single"/>
        </w:rPr>
      </w:pPr>
    </w:p>
    <w:p w14:paraId="21D142BE" w14:textId="77777777" w:rsidR="00540130" w:rsidRDefault="00540130" w:rsidP="00145E27">
      <w:pPr>
        <w:pStyle w:val="NoSpacing"/>
        <w:rPr>
          <w:rFonts w:cs="Times New Roman"/>
          <w:b/>
          <w:szCs w:val="24"/>
          <w:u w:val="single"/>
        </w:rPr>
      </w:pPr>
    </w:p>
    <w:p w14:paraId="73FA3B40" w14:textId="77777777" w:rsidR="00540130" w:rsidRDefault="00540130" w:rsidP="00145E27">
      <w:pPr>
        <w:pStyle w:val="NoSpacing"/>
        <w:rPr>
          <w:rFonts w:cs="Times New Roman"/>
          <w:b/>
          <w:szCs w:val="24"/>
          <w:u w:val="single"/>
        </w:rPr>
      </w:pPr>
    </w:p>
    <w:p w14:paraId="61C00A59" w14:textId="77777777" w:rsidR="00540130" w:rsidRDefault="00540130" w:rsidP="00145E27">
      <w:pPr>
        <w:pStyle w:val="NoSpacing"/>
        <w:rPr>
          <w:rFonts w:cs="Times New Roman"/>
          <w:b/>
          <w:szCs w:val="24"/>
          <w:u w:val="single"/>
        </w:rPr>
      </w:pPr>
    </w:p>
    <w:p w14:paraId="1F59DB2A" w14:textId="77777777" w:rsidR="00540130" w:rsidRDefault="00540130" w:rsidP="00145E27">
      <w:pPr>
        <w:pStyle w:val="NoSpacing"/>
        <w:rPr>
          <w:rFonts w:cs="Times New Roman"/>
          <w:b/>
          <w:szCs w:val="24"/>
          <w:u w:val="single"/>
        </w:rPr>
      </w:pPr>
    </w:p>
    <w:p w14:paraId="5539A423" w14:textId="77777777" w:rsidR="00540130" w:rsidRDefault="00540130" w:rsidP="00145E27">
      <w:pPr>
        <w:pStyle w:val="NoSpacing"/>
        <w:rPr>
          <w:rFonts w:cs="Times New Roman"/>
          <w:b/>
          <w:szCs w:val="24"/>
          <w:u w:val="single"/>
        </w:rPr>
      </w:pPr>
    </w:p>
    <w:p w14:paraId="1F5AB04D" w14:textId="77777777" w:rsidR="00540130" w:rsidRDefault="00540130" w:rsidP="00145E27">
      <w:pPr>
        <w:pStyle w:val="NoSpacing"/>
        <w:rPr>
          <w:rFonts w:cs="Times New Roman"/>
          <w:b/>
          <w:szCs w:val="24"/>
          <w:u w:val="single"/>
        </w:rPr>
      </w:pPr>
    </w:p>
    <w:p w14:paraId="752A4ECA" w14:textId="77777777" w:rsidR="00540130" w:rsidRDefault="00540130" w:rsidP="00145E27">
      <w:pPr>
        <w:pStyle w:val="NoSpacing"/>
        <w:rPr>
          <w:rFonts w:cs="Times New Roman"/>
          <w:b/>
          <w:szCs w:val="24"/>
          <w:u w:val="single"/>
        </w:rPr>
      </w:pPr>
    </w:p>
    <w:p w14:paraId="731D8CE5" w14:textId="77777777" w:rsidR="00540130" w:rsidRDefault="00540130" w:rsidP="00145E27">
      <w:pPr>
        <w:pStyle w:val="NoSpacing"/>
        <w:rPr>
          <w:rFonts w:cs="Times New Roman"/>
          <w:b/>
          <w:szCs w:val="24"/>
          <w:u w:val="single"/>
        </w:rPr>
      </w:pPr>
    </w:p>
    <w:p w14:paraId="4FB33496" w14:textId="77777777" w:rsidR="00540130" w:rsidRDefault="00540130" w:rsidP="00145E27">
      <w:pPr>
        <w:pStyle w:val="NoSpacing"/>
        <w:rPr>
          <w:rFonts w:cs="Times New Roman"/>
          <w:b/>
          <w:szCs w:val="24"/>
          <w:u w:val="single"/>
        </w:rPr>
      </w:pPr>
    </w:p>
    <w:p w14:paraId="28F54106" w14:textId="77777777" w:rsidR="00540130" w:rsidRDefault="00540130" w:rsidP="00145E27">
      <w:pPr>
        <w:pStyle w:val="NoSpacing"/>
        <w:rPr>
          <w:rFonts w:cs="Times New Roman"/>
          <w:b/>
          <w:szCs w:val="24"/>
          <w:u w:val="single"/>
        </w:rPr>
      </w:pPr>
    </w:p>
    <w:p w14:paraId="63CC578C" w14:textId="77777777" w:rsidR="00540130" w:rsidRDefault="00540130" w:rsidP="00145E27">
      <w:pPr>
        <w:pStyle w:val="NoSpacing"/>
        <w:rPr>
          <w:rFonts w:cs="Times New Roman"/>
          <w:b/>
          <w:szCs w:val="24"/>
          <w:u w:val="single"/>
        </w:rPr>
      </w:pPr>
    </w:p>
    <w:p w14:paraId="314783EE" w14:textId="77777777" w:rsidR="00540130" w:rsidRDefault="00540130" w:rsidP="00145E27">
      <w:pPr>
        <w:pStyle w:val="NoSpacing"/>
        <w:rPr>
          <w:rFonts w:cs="Times New Roman"/>
          <w:b/>
          <w:szCs w:val="24"/>
          <w:u w:val="single"/>
        </w:rPr>
      </w:pPr>
    </w:p>
    <w:p w14:paraId="1F9D14C9" w14:textId="77777777" w:rsidR="00540130" w:rsidRDefault="00540130" w:rsidP="00145E27">
      <w:pPr>
        <w:pStyle w:val="NoSpacing"/>
        <w:rPr>
          <w:rFonts w:cs="Times New Roman"/>
          <w:b/>
          <w:szCs w:val="24"/>
          <w:u w:val="single"/>
        </w:rPr>
      </w:pPr>
    </w:p>
    <w:p w14:paraId="683315E5" w14:textId="77777777" w:rsidR="00540130" w:rsidRDefault="00540130" w:rsidP="00145E27">
      <w:pPr>
        <w:pStyle w:val="NoSpacing"/>
        <w:rPr>
          <w:rFonts w:cs="Times New Roman"/>
          <w:b/>
          <w:szCs w:val="24"/>
          <w:u w:val="single"/>
        </w:rPr>
      </w:pPr>
    </w:p>
    <w:p w14:paraId="0ADBD8D9" w14:textId="77777777" w:rsidR="00540130" w:rsidRDefault="00540130" w:rsidP="00145E27">
      <w:pPr>
        <w:pStyle w:val="NoSpacing"/>
        <w:rPr>
          <w:rFonts w:cs="Times New Roman"/>
          <w:b/>
          <w:szCs w:val="24"/>
          <w:u w:val="single"/>
        </w:rPr>
      </w:pPr>
    </w:p>
    <w:p w14:paraId="2F1AAA77" w14:textId="77777777" w:rsidR="00540130" w:rsidRDefault="00540130" w:rsidP="00145E27">
      <w:pPr>
        <w:pStyle w:val="NoSpacing"/>
        <w:rPr>
          <w:rFonts w:cs="Times New Roman"/>
          <w:b/>
          <w:szCs w:val="24"/>
          <w:u w:val="single"/>
        </w:rPr>
      </w:pPr>
    </w:p>
    <w:p w14:paraId="2D0A6276" w14:textId="77777777" w:rsidR="00540130" w:rsidRDefault="00540130" w:rsidP="00145E27">
      <w:pPr>
        <w:pStyle w:val="NoSpacing"/>
        <w:rPr>
          <w:rFonts w:cs="Times New Roman"/>
          <w:b/>
          <w:szCs w:val="24"/>
          <w:u w:val="single"/>
        </w:rPr>
      </w:pPr>
    </w:p>
    <w:p w14:paraId="02700A6F" w14:textId="77777777" w:rsidR="00540130" w:rsidRDefault="00540130" w:rsidP="00145E27">
      <w:pPr>
        <w:pStyle w:val="NoSpacing"/>
        <w:rPr>
          <w:rFonts w:cs="Times New Roman"/>
          <w:b/>
          <w:szCs w:val="24"/>
          <w:u w:val="single"/>
        </w:rPr>
      </w:pPr>
    </w:p>
    <w:p w14:paraId="27548972" w14:textId="77777777" w:rsidR="00E158FD" w:rsidRDefault="00145E27" w:rsidP="00145E27">
      <w:pPr>
        <w:pStyle w:val="NoSpacing"/>
        <w:rPr>
          <w:rFonts w:cs="Times New Roman"/>
          <w:b/>
          <w:szCs w:val="24"/>
        </w:rPr>
      </w:pPr>
      <w:r w:rsidRPr="009B0D69">
        <w:rPr>
          <w:rFonts w:cs="Times New Roman"/>
          <w:b/>
          <w:szCs w:val="24"/>
          <w:u w:val="single"/>
        </w:rPr>
        <w:t xml:space="preserve">Duty of </w:t>
      </w:r>
      <w:r w:rsidR="0036545A">
        <w:rPr>
          <w:rFonts w:cs="Times New Roman"/>
          <w:b/>
          <w:szCs w:val="24"/>
          <w:u w:val="single"/>
        </w:rPr>
        <w:t>Confidence</w:t>
      </w:r>
    </w:p>
    <w:p w14:paraId="7129AA82" w14:textId="77777777" w:rsidR="00E158FD" w:rsidRDefault="00E158FD" w:rsidP="00145E27">
      <w:pPr>
        <w:pStyle w:val="NoSpacing"/>
        <w:rPr>
          <w:rFonts w:cs="Times New Roman"/>
          <w:b/>
          <w:szCs w:val="24"/>
        </w:rPr>
      </w:pPr>
    </w:p>
    <w:p w14:paraId="41D0502E" w14:textId="04637F75" w:rsidR="005A0292" w:rsidRPr="00550399" w:rsidRDefault="005A0292" w:rsidP="00145E27">
      <w:pPr>
        <w:pStyle w:val="NoSpacing"/>
        <w:rPr>
          <w:rFonts w:cs="Times New Roman"/>
          <w:b/>
          <w:i/>
          <w:szCs w:val="24"/>
        </w:rPr>
      </w:pPr>
      <w:r w:rsidRPr="00550399">
        <w:rPr>
          <w:rFonts w:cs="Times New Roman"/>
          <w:b/>
          <w:i/>
          <w:szCs w:val="24"/>
        </w:rPr>
        <w:t>General</w:t>
      </w:r>
    </w:p>
    <w:p w14:paraId="6FA0BC44" w14:textId="77777777" w:rsidR="005A0292" w:rsidRDefault="005A0292" w:rsidP="00145E27">
      <w:pPr>
        <w:pStyle w:val="NoSpacing"/>
        <w:rPr>
          <w:rFonts w:cs="Times New Roman"/>
          <w:b/>
          <w:szCs w:val="24"/>
        </w:rPr>
      </w:pPr>
    </w:p>
    <w:p w14:paraId="64E7A244" w14:textId="1E5C5CCB" w:rsidR="008D729F" w:rsidRDefault="008D729F" w:rsidP="00B21502">
      <w:pPr>
        <w:pStyle w:val="NoSpacing"/>
        <w:numPr>
          <w:ilvl w:val="0"/>
          <w:numId w:val="22"/>
        </w:numPr>
        <w:rPr>
          <w:rFonts w:cs="Times New Roman"/>
          <w:szCs w:val="24"/>
        </w:rPr>
      </w:pPr>
      <w:r w:rsidRPr="00971CB4">
        <w:rPr>
          <w:rFonts w:cs="Times New Roman"/>
          <w:i/>
          <w:szCs w:val="24"/>
        </w:rPr>
        <w:t>Purpose</w:t>
      </w:r>
      <w:r>
        <w:rPr>
          <w:rFonts w:cs="Times New Roman"/>
          <w:i/>
          <w:szCs w:val="24"/>
        </w:rPr>
        <w:t xml:space="preserve"> </w:t>
      </w:r>
      <w:r>
        <w:rPr>
          <w:rFonts w:cs="Times New Roman"/>
          <w:szCs w:val="24"/>
        </w:rPr>
        <w:t>– The duty of confidentiality is primarily encouraged to allow the client to:</w:t>
      </w:r>
    </w:p>
    <w:p w14:paraId="3EFB93D6" w14:textId="77777777" w:rsidR="008D729F" w:rsidRPr="008D729F" w:rsidRDefault="008D729F" w:rsidP="00B21502">
      <w:pPr>
        <w:pStyle w:val="NoSpacing"/>
        <w:numPr>
          <w:ilvl w:val="1"/>
          <w:numId w:val="22"/>
        </w:numPr>
        <w:rPr>
          <w:rFonts w:cs="Times New Roman"/>
          <w:szCs w:val="24"/>
        </w:rPr>
      </w:pPr>
      <w:r w:rsidRPr="008D729F">
        <w:rPr>
          <w:rFonts w:cs="Times New Roman"/>
          <w:szCs w:val="24"/>
        </w:rPr>
        <w:t>Encourage full and frank disclosure;</w:t>
      </w:r>
    </w:p>
    <w:p w14:paraId="54635EF2" w14:textId="77777777" w:rsidR="008D729F" w:rsidRPr="008D729F" w:rsidRDefault="008D729F" w:rsidP="00B21502">
      <w:pPr>
        <w:pStyle w:val="NoSpacing"/>
        <w:numPr>
          <w:ilvl w:val="1"/>
          <w:numId w:val="22"/>
        </w:numPr>
        <w:rPr>
          <w:rFonts w:cs="Times New Roman"/>
          <w:szCs w:val="24"/>
        </w:rPr>
      </w:pPr>
      <w:r w:rsidRPr="008D729F">
        <w:rPr>
          <w:rFonts w:cs="Times New Roman"/>
          <w:szCs w:val="24"/>
        </w:rPr>
        <w:t>Foster Trust in lawyers and legal system</w:t>
      </w:r>
    </w:p>
    <w:p w14:paraId="033E3A77" w14:textId="77777777" w:rsidR="008D729F" w:rsidRPr="008D729F" w:rsidRDefault="008D729F" w:rsidP="00B21502">
      <w:pPr>
        <w:pStyle w:val="NoSpacing"/>
        <w:numPr>
          <w:ilvl w:val="1"/>
          <w:numId w:val="22"/>
        </w:numPr>
        <w:rPr>
          <w:rFonts w:cs="Times New Roman"/>
          <w:szCs w:val="24"/>
        </w:rPr>
      </w:pPr>
      <w:r w:rsidRPr="008D729F">
        <w:rPr>
          <w:rFonts w:cs="Times New Roman"/>
          <w:szCs w:val="24"/>
        </w:rPr>
        <w:t>Remind lawyers of duty to the clients</w:t>
      </w:r>
    </w:p>
    <w:p w14:paraId="58609CE7" w14:textId="2774EA2E" w:rsidR="008D729F" w:rsidRPr="002F5A85" w:rsidRDefault="00CA5654" w:rsidP="00B21502">
      <w:pPr>
        <w:pStyle w:val="NoSpacing"/>
        <w:numPr>
          <w:ilvl w:val="1"/>
          <w:numId w:val="22"/>
        </w:numPr>
        <w:rPr>
          <w:rFonts w:cs="Times New Roman"/>
          <w:szCs w:val="24"/>
        </w:rPr>
      </w:pPr>
      <w:r>
        <w:rPr>
          <w:rFonts w:cs="Times New Roman"/>
          <w:szCs w:val="24"/>
        </w:rPr>
        <w:t xml:space="preserve">Obtain legal advice with prejudice by disclosure – </w:t>
      </w:r>
      <w:r>
        <w:rPr>
          <w:rFonts w:cs="Times New Roman"/>
          <w:i/>
          <w:szCs w:val="24"/>
        </w:rPr>
        <w:t xml:space="preserve">Fruehauf Finance Corp v </w:t>
      </w:r>
      <w:proofErr w:type="spellStart"/>
      <w:r>
        <w:rPr>
          <w:rFonts w:cs="Times New Roman"/>
          <w:i/>
          <w:szCs w:val="24"/>
        </w:rPr>
        <w:t>Feez</w:t>
      </w:r>
      <w:proofErr w:type="spellEnd"/>
    </w:p>
    <w:p w14:paraId="6ED0D325" w14:textId="77777777" w:rsidR="002F5A85" w:rsidRPr="002F5A85" w:rsidRDefault="002F5A85" w:rsidP="002F5A85">
      <w:pPr>
        <w:pStyle w:val="NoSpacing"/>
        <w:ind w:left="1440"/>
        <w:rPr>
          <w:rFonts w:cs="Times New Roman"/>
          <w:szCs w:val="24"/>
        </w:rPr>
      </w:pPr>
    </w:p>
    <w:p w14:paraId="15645E4D" w14:textId="76B8001D" w:rsidR="008D729F" w:rsidRDefault="007F2749" w:rsidP="00B21502">
      <w:pPr>
        <w:pStyle w:val="NoSpacing"/>
        <w:numPr>
          <w:ilvl w:val="0"/>
          <w:numId w:val="22"/>
        </w:numPr>
        <w:rPr>
          <w:rFonts w:cs="Times New Roman"/>
          <w:szCs w:val="24"/>
        </w:rPr>
      </w:pPr>
      <w:r w:rsidRPr="00971CB4">
        <w:rPr>
          <w:rFonts w:cs="Times New Roman"/>
          <w:i/>
          <w:iCs/>
          <w:szCs w:val="24"/>
        </w:rPr>
        <w:t>PCPR</w:t>
      </w:r>
      <w:r w:rsidR="008D7485">
        <w:rPr>
          <w:rFonts w:cs="Times New Roman"/>
          <w:i/>
          <w:iCs/>
          <w:szCs w:val="24"/>
        </w:rPr>
        <w:t xml:space="preserve"> </w:t>
      </w:r>
      <w:r w:rsidR="00F37625">
        <w:rPr>
          <w:rFonts w:cs="Times New Roman"/>
          <w:i/>
          <w:iCs/>
          <w:szCs w:val="24"/>
        </w:rPr>
        <w:t>R</w:t>
      </w:r>
      <w:r w:rsidRPr="00971CB4">
        <w:rPr>
          <w:rFonts w:cs="Times New Roman"/>
          <w:i/>
          <w:szCs w:val="24"/>
        </w:rPr>
        <w:t>3.1</w:t>
      </w:r>
      <w:r w:rsidRPr="002264C2">
        <w:rPr>
          <w:rFonts w:cs="Times New Roman"/>
          <w:b/>
          <w:i/>
          <w:szCs w:val="24"/>
        </w:rPr>
        <w:t xml:space="preserve"> </w:t>
      </w:r>
      <w:r w:rsidRPr="002264C2">
        <w:rPr>
          <w:rFonts w:cs="Times New Roman"/>
          <w:i/>
          <w:szCs w:val="24"/>
        </w:rPr>
        <w:t>–</w:t>
      </w:r>
      <w:r w:rsidRPr="002264C2">
        <w:rPr>
          <w:rFonts w:cs="Times New Roman"/>
          <w:szCs w:val="24"/>
        </w:rPr>
        <w:t xml:space="preserve"> </w:t>
      </w:r>
      <w:r w:rsidR="008D729F" w:rsidRPr="008D729F">
        <w:rPr>
          <w:rFonts w:cs="Times New Roman"/>
          <w:szCs w:val="24"/>
        </w:rPr>
        <w:t>Arises via a term implied into the contract of retainer and equity protects confidential information from unauthorised use or disclosure, and from professional rules</w:t>
      </w:r>
      <w:r w:rsidR="000154F7">
        <w:rPr>
          <w:rFonts w:cs="Times New Roman"/>
          <w:szCs w:val="24"/>
        </w:rPr>
        <w:t>.</w:t>
      </w:r>
    </w:p>
    <w:p w14:paraId="3894A559" w14:textId="77777777" w:rsidR="001379DC" w:rsidRDefault="001379DC" w:rsidP="00B21502">
      <w:pPr>
        <w:pStyle w:val="NoSpacing"/>
        <w:numPr>
          <w:ilvl w:val="1"/>
          <w:numId w:val="22"/>
        </w:numPr>
        <w:rPr>
          <w:rFonts w:cs="Times New Roman"/>
          <w:szCs w:val="24"/>
        </w:rPr>
      </w:pPr>
    </w:p>
    <w:p w14:paraId="2385C81C" w14:textId="77777777" w:rsidR="000154F7" w:rsidRDefault="000154F7" w:rsidP="000154F7">
      <w:pPr>
        <w:pStyle w:val="NoSpacing"/>
        <w:rPr>
          <w:rFonts w:cs="Times New Roman"/>
          <w:szCs w:val="24"/>
        </w:rPr>
      </w:pPr>
    </w:p>
    <w:p w14:paraId="7FBAEC9F" w14:textId="3BEFA08D" w:rsidR="008D729F" w:rsidRPr="008D729F" w:rsidRDefault="00DE0D1D" w:rsidP="00B21502">
      <w:pPr>
        <w:pStyle w:val="NoSpacing"/>
        <w:numPr>
          <w:ilvl w:val="0"/>
          <w:numId w:val="22"/>
        </w:numPr>
        <w:rPr>
          <w:rFonts w:cs="Times New Roman"/>
          <w:szCs w:val="24"/>
        </w:rPr>
      </w:pPr>
      <w:r w:rsidRPr="00971CB4">
        <w:rPr>
          <w:rFonts w:cs="Times New Roman"/>
          <w:i/>
          <w:szCs w:val="24"/>
        </w:rPr>
        <w:t>No Benefit</w:t>
      </w:r>
      <w:r>
        <w:rPr>
          <w:rFonts w:cs="Times New Roman"/>
          <w:i/>
          <w:szCs w:val="24"/>
        </w:rPr>
        <w:t xml:space="preserve"> – </w:t>
      </w:r>
      <w:r w:rsidR="008D729F" w:rsidRPr="008D729F">
        <w:rPr>
          <w:rFonts w:cs="Times New Roman"/>
          <w:szCs w:val="24"/>
        </w:rPr>
        <w:t>The duty requires that a practitioner not use the confidence for his/her own benefit or for the benefit of another client – the ‘no conflict’ rule</w:t>
      </w:r>
    </w:p>
    <w:p w14:paraId="3BF2908C" w14:textId="77777777" w:rsidR="00DE0D1D" w:rsidRDefault="00DE0D1D" w:rsidP="008D729F">
      <w:pPr>
        <w:pStyle w:val="NoSpacing"/>
        <w:rPr>
          <w:rFonts w:cs="Times New Roman"/>
          <w:b/>
          <w:szCs w:val="24"/>
        </w:rPr>
      </w:pPr>
    </w:p>
    <w:p w14:paraId="4DACFF6D" w14:textId="12959842" w:rsidR="008D729F" w:rsidRPr="003A2A5C" w:rsidRDefault="008D729F" w:rsidP="008D729F">
      <w:pPr>
        <w:pStyle w:val="NoSpacing"/>
        <w:rPr>
          <w:rFonts w:cs="Times New Roman"/>
          <w:b/>
          <w:i/>
          <w:szCs w:val="24"/>
        </w:rPr>
      </w:pPr>
      <w:r w:rsidRPr="003A2A5C">
        <w:rPr>
          <w:rFonts w:cs="Times New Roman"/>
          <w:b/>
          <w:i/>
          <w:szCs w:val="24"/>
        </w:rPr>
        <w:t xml:space="preserve">Scope </w:t>
      </w:r>
    </w:p>
    <w:p w14:paraId="0FFEC843" w14:textId="77777777" w:rsidR="007C5B86" w:rsidRPr="008D729F" w:rsidRDefault="007C5B86" w:rsidP="008D729F">
      <w:pPr>
        <w:pStyle w:val="NoSpacing"/>
        <w:rPr>
          <w:rFonts w:cs="Times New Roman"/>
          <w:b/>
          <w:szCs w:val="24"/>
        </w:rPr>
      </w:pPr>
    </w:p>
    <w:p w14:paraId="00CFC507" w14:textId="7BEA2A42" w:rsidR="008D729F" w:rsidRPr="008D729F" w:rsidRDefault="003A2A5C" w:rsidP="00B21502">
      <w:pPr>
        <w:pStyle w:val="NoSpacing"/>
        <w:numPr>
          <w:ilvl w:val="0"/>
          <w:numId w:val="23"/>
        </w:numPr>
        <w:rPr>
          <w:rFonts w:cs="Times New Roman"/>
          <w:szCs w:val="24"/>
        </w:rPr>
      </w:pPr>
      <w:r w:rsidRPr="00A46847">
        <w:rPr>
          <w:rFonts w:cs="Times New Roman"/>
          <w:i/>
          <w:szCs w:val="24"/>
        </w:rPr>
        <w:t>Extent of information covered</w:t>
      </w:r>
      <w:r>
        <w:rPr>
          <w:rFonts w:cs="Times New Roman"/>
          <w:szCs w:val="24"/>
        </w:rPr>
        <w:t xml:space="preserve"> – </w:t>
      </w:r>
      <w:r w:rsidR="008D729F" w:rsidRPr="008D729F">
        <w:rPr>
          <w:rFonts w:cs="Times New Roman"/>
          <w:szCs w:val="24"/>
        </w:rPr>
        <w:t>The duty of confidentiality covers information received by a practitioner in the course of acting for a client.</w:t>
      </w:r>
    </w:p>
    <w:p w14:paraId="49EB4687" w14:textId="77777777" w:rsidR="00CA3775" w:rsidRPr="00CA3775" w:rsidRDefault="00CA3775" w:rsidP="00CA3775">
      <w:pPr>
        <w:pStyle w:val="NoSpacing"/>
        <w:ind w:left="720"/>
        <w:rPr>
          <w:rFonts w:cs="Times New Roman"/>
          <w:szCs w:val="24"/>
        </w:rPr>
      </w:pPr>
    </w:p>
    <w:p w14:paraId="3DC65B82" w14:textId="180C6AE1" w:rsidR="008D729F" w:rsidRDefault="0078136D" w:rsidP="00B21502">
      <w:pPr>
        <w:pStyle w:val="NoSpacing"/>
        <w:numPr>
          <w:ilvl w:val="0"/>
          <w:numId w:val="23"/>
        </w:numPr>
        <w:rPr>
          <w:rFonts w:cs="Times New Roman"/>
          <w:szCs w:val="24"/>
        </w:rPr>
      </w:pPr>
      <w:r>
        <w:rPr>
          <w:rFonts w:cs="Times New Roman"/>
          <w:i/>
          <w:szCs w:val="24"/>
        </w:rPr>
        <w:t xml:space="preserve">Connection to the retainer and receipt of information – </w:t>
      </w:r>
      <w:r w:rsidR="008D729F" w:rsidRPr="008D729F">
        <w:rPr>
          <w:rFonts w:cs="Times New Roman"/>
          <w:szCs w:val="24"/>
        </w:rPr>
        <w:t>The duty is not premised on the source of the information (it can be conveyed by a third party) but on its connection with the retainer and its receipt in the capacity of a practitioner.</w:t>
      </w:r>
    </w:p>
    <w:p w14:paraId="5D356B96" w14:textId="77777777" w:rsidR="005155E3" w:rsidRDefault="005155E3" w:rsidP="005155E3">
      <w:pPr>
        <w:pStyle w:val="ListParagraph"/>
      </w:pPr>
    </w:p>
    <w:p w14:paraId="58030885" w14:textId="683FA556" w:rsidR="005155E3" w:rsidRDefault="005155E3" w:rsidP="00B21502">
      <w:pPr>
        <w:pStyle w:val="NoSpacing"/>
        <w:numPr>
          <w:ilvl w:val="0"/>
          <w:numId w:val="23"/>
        </w:numPr>
        <w:rPr>
          <w:rFonts w:cs="Times New Roman"/>
          <w:szCs w:val="24"/>
        </w:rPr>
      </w:pPr>
      <w:r>
        <w:rPr>
          <w:rFonts w:cs="Times New Roman"/>
          <w:i/>
          <w:szCs w:val="24"/>
        </w:rPr>
        <w:t>Duration</w:t>
      </w:r>
      <w:r w:rsidR="006C4254">
        <w:rPr>
          <w:rFonts w:cs="Times New Roman"/>
          <w:i/>
          <w:szCs w:val="24"/>
        </w:rPr>
        <w:t xml:space="preserve"> &amp; Survives Termination</w:t>
      </w:r>
      <w:r>
        <w:rPr>
          <w:rFonts w:cs="Times New Roman"/>
          <w:i/>
          <w:szCs w:val="24"/>
        </w:rPr>
        <w:t xml:space="preserve"> </w:t>
      </w:r>
      <w:r w:rsidR="006C4254">
        <w:rPr>
          <w:rFonts w:cs="Times New Roman"/>
          <w:i/>
          <w:szCs w:val="24"/>
        </w:rPr>
        <w:t>–</w:t>
      </w:r>
      <w:r>
        <w:rPr>
          <w:rFonts w:cs="Times New Roman"/>
          <w:i/>
          <w:szCs w:val="24"/>
        </w:rPr>
        <w:t xml:space="preserve"> </w:t>
      </w:r>
      <w:r w:rsidR="006C4254">
        <w:rPr>
          <w:rFonts w:cs="Times New Roman"/>
          <w:szCs w:val="24"/>
        </w:rPr>
        <w:t>The duty survives termination of the practitioner</w:t>
      </w:r>
      <w:r w:rsidR="00F97190">
        <w:rPr>
          <w:rFonts w:cs="Times New Roman"/>
          <w:szCs w:val="24"/>
        </w:rPr>
        <w:t>–</w:t>
      </w:r>
      <w:r w:rsidR="006C4254">
        <w:rPr>
          <w:rFonts w:cs="Times New Roman"/>
          <w:szCs w:val="24"/>
        </w:rPr>
        <w:t xml:space="preserve">client relationship and the death </w:t>
      </w:r>
      <w:r w:rsidR="007245C4">
        <w:rPr>
          <w:rFonts w:cs="Times New Roman"/>
          <w:szCs w:val="24"/>
        </w:rPr>
        <w:t xml:space="preserve">of the client per </w:t>
      </w:r>
      <w:proofErr w:type="spellStart"/>
      <w:r w:rsidR="008B7837">
        <w:rPr>
          <w:rFonts w:cs="Times New Roman"/>
          <w:i/>
          <w:szCs w:val="24"/>
        </w:rPr>
        <w:t>Gartside</w:t>
      </w:r>
      <w:proofErr w:type="spellEnd"/>
      <w:r w:rsidR="008B7837">
        <w:rPr>
          <w:rFonts w:cs="Times New Roman"/>
          <w:i/>
          <w:szCs w:val="24"/>
        </w:rPr>
        <w:t xml:space="preserve"> v Sheffield, Young &amp; Ellis</w:t>
      </w:r>
      <w:r w:rsidR="00B27922">
        <w:rPr>
          <w:rFonts w:cs="Times New Roman"/>
          <w:szCs w:val="24"/>
        </w:rPr>
        <w:t>.</w:t>
      </w:r>
    </w:p>
    <w:p w14:paraId="0209C3BC" w14:textId="25B427F1" w:rsidR="006C4254" w:rsidRDefault="006C4254" w:rsidP="00B21502">
      <w:pPr>
        <w:pStyle w:val="NoSpacing"/>
        <w:numPr>
          <w:ilvl w:val="1"/>
          <w:numId w:val="23"/>
        </w:numPr>
        <w:rPr>
          <w:rFonts w:cs="Times New Roman"/>
          <w:szCs w:val="24"/>
        </w:rPr>
      </w:pPr>
      <w:r>
        <w:rPr>
          <w:rFonts w:cs="Times New Roman"/>
          <w:i/>
          <w:szCs w:val="24"/>
        </w:rPr>
        <w:t xml:space="preserve">Not Reduced </w:t>
      </w:r>
      <w:r w:rsidR="00927B7C">
        <w:rPr>
          <w:rFonts w:cs="Times New Roman"/>
          <w:i/>
          <w:szCs w:val="24"/>
        </w:rPr>
        <w:t>–</w:t>
      </w:r>
      <w:r>
        <w:rPr>
          <w:rFonts w:cs="Times New Roman"/>
          <w:i/>
          <w:szCs w:val="24"/>
        </w:rPr>
        <w:t xml:space="preserve"> </w:t>
      </w:r>
      <w:r w:rsidR="00927B7C">
        <w:rPr>
          <w:rFonts w:cs="Times New Roman"/>
          <w:szCs w:val="24"/>
        </w:rPr>
        <w:t>The duty is not reduced because of a duty owed to another client.</w:t>
      </w:r>
    </w:p>
    <w:p w14:paraId="55B22515" w14:textId="77777777" w:rsidR="002054C7" w:rsidRDefault="002054C7" w:rsidP="003A2A5C">
      <w:pPr>
        <w:pStyle w:val="NoSpacing"/>
        <w:rPr>
          <w:rFonts w:cs="Times New Roman"/>
          <w:b/>
          <w:i/>
          <w:szCs w:val="24"/>
        </w:rPr>
      </w:pPr>
    </w:p>
    <w:p w14:paraId="61FD7D09" w14:textId="77777777" w:rsidR="00CA3775" w:rsidRDefault="00CA3775" w:rsidP="003A2A5C">
      <w:pPr>
        <w:pStyle w:val="NoSpacing"/>
        <w:rPr>
          <w:rFonts w:cs="Times New Roman"/>
          <w:b/>
          <w:i/>
          <w:szCs w:val="24"/>
        </w:rPr>
      </w:pPr>
      <w:r>
        <w:rPr>
          <w:rFonts w:cs="Times New Roman"/>
          <w:b/>
          <w:i/>
          <w:szCs w:val="24"/>
        </w:rPr>
        <w:t>The Legal Test</w:t>
      </w:r>
    </w:p>
    <w:p w14:paraId="66AAE6D8" w14:textId="77777777" w:rsidR="00CA3775" w:rsidRDefault="00CA3775" w:rsidP="003A2A5C">
      <w:pPr>
        <w:pStyle w:val="NoSpacing"/>
        <w:rPr>
          <w:rFonts w:cs="Times New Roman"/>
          <w:b/>
          <w:i/>
          <w:szCs w:val="24"/>
        </w:rPr>
      </w:pPr>
    </w:p>
    <w:p w14:paraId="4566EA33" w14:textId="169E8AD3" w:rsidR="00CA3775" w:rsidRDefault="002B4ADA" w:rsidP="00B21502">
      <w:pPr>
        <w:pStyle w:val="NoSpacing"/>
        <w:numPr>
          <w:ilvl w:val="0"/>
          <w:numId w:val="24"/>
        </w:numPr>
        <w:rPr>
          <w:rFonts w:cs="Times New Roman"/>
          <w:szCs w:val="24"/>
        </w:rPr>
      </w:pPr>
      <w:r w:rsidRPr="0000137D">
        <w:rPr>
          <w:rFonts w:cs="Times New Roman"/>
          <w:i/>
          <w:szCs w:val="24"/>
        </w:rPr>
        <w:t>Test</w:t>
      </w:r>
      <w:r>
        <w:rPr>
          <w:rFonts w:cs="Times New Roman"/>
          <w:i/>
          <w:szCs w:val="24"/>
        </w:rPr>
        <w:t xml:space="preserve"> – </w:t>
      </w:r>
      <w:r>
        <w:rPr>
          <w:rFonts w:cs="Times New Roman"/>
          <w:szCs w:val="24"/>
        </w:rPr>
        <w:t xml:space="preserve">whether </w:t>
      </w:r>
      <w:r w:rsidR="002E5D18">
        <w:rPr>
          <w:rFonts w:cs="Times New Roman"/>
          <w:szCs w:val="24"/>
        </w:rPr>
        <w:t>the information is:</w:t>
      </w:r>
    </w:p>
    <w:p w14:paraId="709DD45D" w14:textId="77777777" w:rsidR="00A145E0" w:rsidRDefault="002B4ADA" w:rsidP="00B21502">
      <w:pPr>
        <w:pStyle w:val="ListParagraph"/>
        <w:numPr>
          <w:ilvl w:val="1"/>
          <w:numId w:val="24"/>
        </w:numPr>
      </w:pPr>
      <w:r w:rsidRPr="00484D92">
        <w:rPr>
          <w:i/>
          <w:u w:val="single"/>
        </w:rPr>
        <w:t>Public Knowledge</w:t>
      </w:r>
      <w:r w:rsidR="00E85D84">
        <w:t xml:space="preserve"> – </w:t>
      </w:r>
      <w:r w:rsidR="00A145E0" w:rsidRPr="00A145E0">
        <w:rPr>
          <w:i/>
        </w:rPr>
        <w:t>Coco v A N Clark Ltd</w:t>
      </w:r>
      <w:r w:rsidR="00A145E0">
        <w:t xml:space="preserve"> </w:t>
      </w:r>
    </w:p>
    <w:p w14:paraId="71E8EBAB" w14:textId="77777777" w:rsidR="00A145E0" w:rsidRDefault="00A145E0" w:rsidP="00B21502">
      <w:pPr>
        <w:numPr>
          <w:ilvl w:val="2"/>
          <w:numId w:val="24"/>
        </w:numPr>
      </w:pPr>
      <w:r>
        <w:t xml:space="preserve">Information must be of a confidential or secret nature. </w:t>
      </w:r>
    </w:p>
    <w:p w14:paraId="1CC7323F" w14:textId="77777777" w:rsidR="00571332" w:rsidRDefault="00571332" w:rsidP="00B21502">
      <w:pPr>
        <w:numPr>
          <w:ilvl w:val="3"/>
          <w:numId w:val="24"/>
        </w:numPr>
        <w:autoSpaceDE w:val="0"/>
        <w:autoSpaceDN w:val="0"/>
        <w:adjustRightInd w:val="0"/>
        <w:rPr>
          <w:i/>
        </w:rPr>
      </w:pPr>
      <w:r>
        <w:rPr>
          <w:i/>
        </w:rPr>
        <w:t>If the information is known to the relevant trade or industry then it is publicly known even if the public at large remains in ignorance.</w:t>
      </w:r>
    </w:p>
    <w:p w14:paraId="4891CF36" w14:textId="77777777" w:rsidR="00571332" w:rsidRDefault="00571332" w:rsidP="00A04759">
      <w:pPr>
        <w:ind w:left="2160"/>
      </w:pPr>
    </w:p>
    <w:p w14:paraId="6C18FDBA" w14:textId="3EE63A6C" w:rsidR="00A145E0" w:rsidRDefault="00A04759" w:rsidP="00B21502">
      <w:pPr>
        <w:pStyle w:val="ListParagraph"/>
        <w:numPr>
          <w:ilvl w:val="2"/>
          <w:numId w:val="24"/>
        </w:numPr>
      </w:pPr>
      <w:r>
        <w:t>Is</w:t>
      </w:r>
      <w:r w:rsidR="003C6357">
        <w:t xml:space="preserve"> the </w:t>
      </w:r>
      <w:proofErr w:type="gramStart"/>
      <w:r w:rsidR="003C6357">
        <w:t xml:space="preserve">information </w:t>
      </w:r>
      <w:r w:rsidR="00333462">
        <w:t>..</w:t>
      </w:r>
      <w:proofErr w:type="gramEnd"/>
      <w:r w:rsidR="00333462">
        <w:t>[</w:t>
      </w:r>
      <w:proofErr w:type="gramStart"/>
      <w:r w:rsidR="00333462">
        <w:t>below</w:t>
      </w:r>
      <w:proofErr w:type="gramEnd"/>
      <w:r w:rsidR="00333462">
        <w:t>].</w:t>
      </w:r>
      <w:r w:rsidR="003C6357">
        <w:t xml:space="preserve">. </w:t>
      </w:r>
      <w:proofErr w:type="gramStart"/>
      <w:r w:rsidR="003C6357">
        <w:t>then</w:t>
      </w:r>
      <w:proofErr w:type="gramEnd"/>
      <w:r w:rsidR="003C6357">
        <w:t xml:space="preserve"> it is confidential.</w:t>
      </w:r>
    </w:p>
    <w:p w14:paraId="15CAC0E8" w14:textId="58169154" w:rsidR="00A145E0" w:rsidRDefault="00331813" w:rsidP="00B21502">
      <w:pPr>
        <w:pStyle w:val="ListParagraph"/>
        <w:numPr>
          <w:ilvl w:val="3"/>
          <w:numId w:val="24"/>
        </w:numPr>
        <w:autoSpaceDE w:val="0"/>
        <w:autoSpaceDN w:val="0"/>
        <w:adjustRightInd w:val="0"/>
      </w:pPr>
      <w:r>
        <w:t xml:space="preserve">Is it </w:t>
      </w:r>
      <w:r w:rsidR="00A145E0">
        <w:t>secret in the sense of not being ‘publi</w:t>
      </w:r>
      <w:r w:rsidR="00A04759">
        <w:t>c property or public knowledge’?</w:t>
      </w:r>
    </w:p>
    <w:p w14:paraId="1E57532F" w14:textId="26099143" w:rsidR="00A145E0" w:rsidRDefault="00331813" w:rsidP="00B21502">
      <w:pPr>
        <w:pStyle w:val="ListParagraph"/>
        <w:numPr>
          <w:ilvl w:val="3"/>
          <w:numId w:val="24"/>
        </w:numPr>
        <w:autoSpaceDE w:val="0"/>
        <w:autoSpaceDN w:val="0"/>
        <w:adjustRightInd w:val="0"/>
      </w:pPr>
      <w:r>
        <w:t xml:space="preserve">Does it </w:t>
      </w:r>
      <w:r w:rsidR="00A145E0">
        <w:t>have some</w:t>
      </w:r>
      <w:r w:rsidR="00A04759">
        <w:t xml:space="preserve"> commercial importance or value?</w:t>
      </w:r>
    </w:p>
    <w:p w14:paraId="171EEFD1" w14:textId="04F7735F" w:rsidR="00A145E0" w:rsidRDefault="007537E9" w:rsidP="00B21502">
      <w:pPr>
        <w:pStyle w:val="ListParagraph"/>
        <w:numPr>
          <w:ilvl w:val="3"/>
          <w:numId w:val="24"/>
        </w:numPr>
        <w:autoSpaceDE w:val="0"/>
        <w:autoSpaceDN w:val="0"/>
        <w:adjustRightInd w:val="0"/>
      </w:pPr>
      <w:r>
        <w:t>Has</w:t>
      </w:r>
      <w:r w:rsidR="00331813">
        <w:t xml:space="preserve"> t</w:t>
      </w:r>
      <w:r w:rsidR="00A145E0">
        <w:t xml:space="preserve">he plaintiff treated </w:t>
      </w:r>
      <w:r w:rsidR="00A04759">
        <w:t>the information as confidential</w:t>
      </w:r>
      <w:r w:rsidR="00FE252E">
        <w:t xml:space="preserve"> and given it as such</w:t>
      </w:r>
      <w:r w:rsidR="00A04759">
        <w:t>?</w:t>
      </w:r>
    </w:p>
    <w:p w14:paraId="75683B68" w14:textId="29C5C500" w:rsidR="00311AAE" w:rsidRPr="00A05769" w:rsidRDefault="00311AAE" w:rsidP="00B21502">
      <w:pPr>
        <w:pStyle w:val="NoSpacing"/>
        <w:numPr>
          <w:ilvl w:val="3"/>
          <w:numId w:val="24"/>
        </w:numPr>
        <w:rPr>
          <w:rFonts w:cs="Times New Roman"/>
          <w:szCs w:val="24"/>
        </w:rPr>
      </w:pPr>
      <w:r>
        <w:rPr>
          <w:rFonts w:cs="Times New Roman"/>
          <w:szCs w:val="24"/>
        </w:rPr>
        <w:t xml:space="preserve">Was it </w:t>
      </w:r>
      <w:r w:rsidRPr="00A05769">
        <w:rPr>
          <w:rFonts w:cs="Times New Roman"/>
          <w:szCs w:val="24"/>
        </w:rPr>
        <w:t>communicat</w:t>
      </w:r>
      <w:r>
        <w:rPr>
          <w:rFonts w:cs="Times New Roman"/>
          <w:szCs w:val="24"/>
        </w:rPr>
        <w:t>ed</w:t>
      </w:r>
      <w:r w:rsidRPr="00A05769">
        <w:rPr>
          <w:rFonts w:cs="Times New Roman"/>
          <w:szCs w:val="24"/>
        </w:rPr>
        <w:t xml:space="preserve"> </w:t>
      </w:r>
      <w:r w:rsidR="008D4169">
        <w:rPr>
          <w:rFonts w:cs="Times New Roman"/>
          <w:szCs w:val="24"/>
        </w:rPr>
        <w:t>for a limited purpose?</w:t>
      </w:r>
    </w:p>
    <w:p w14:paraId="18E2F22E" w14:textId="1595A1A8" w:rsidR="00A145E0" w:rsidRDefault="00331813" w:rsidP="00B21502">
      <w:pPr>
        <w:pStyle w:val="ListParagraph"/>
        <w:numPr>
          <w:ilvl w:val="3"/>
          <w:numId w:val="24"/>
        </w:numPr>
        <w:autoSpaceDE w:val="0"/>
        <w:autoSpaceDN w:val="0"/>
        <w:adjustRightInd w:val="0"/>
      </w:pPr>
      <w:r>
        <w:t>Does t</w:t>
      </w:r>
      <w:r w:rsidR="00A145E0">
        <w:t xml:space="preserve">he information go beyond what the law regards as </w:t>
      </w:r>
      <w:proofErr w:type="gramStart"/>
      <w:r w:rsidR="00A145E0">
        <w:t>employee know</w:t>
      </w:r>
      <w:r w:rsidR="00F97190">
        <w:t>–</w:t>
      </w:r>
      <w:proofErr w:type="gramEnd"/>
      <w:r w:rsidR="00A145E0">
        <w:t>ho</w:t>
      </w:r>
      <w:r w:rsidR="00A04759">
        <w:t>w?</w:t>
      </w:r>
    </w:p>
    <w:p w14:paraId="55718C9A" w14:textId="77777777" w:rsidR="00A145E0" w:rsidRDefault="00A145E0" w:rsidP="00A145E0"/>
    <w:p w14:paraId="002BCB23" w14:textId="77777777" w:rsidR="00A145E0" w:rsidRDefault="00A145E0" w:rsidP="00B21502">
      <w:pPr>
        <w:pStyle w:val="ListParagraph"/>
        <w:numPr>
          <w:ilvl w:val="2"/>
          <w:numId w:val="24"/>
        </w:numPr>
        <w:autoSpaceDE w:val="0"/>
        <w:autoSpaceDN w:val="0"/>
        <w:adjustRightInd w:val="0"/>
      </w:pPr>
      <w:r>
        <w:t xml:space="preserve">Information may be in written form or it may be merely oral: see </w:t>
      </w:r>
      <w:r w:rsidRPr="00A145E0">
        <w:rPr>
          <w:i/>
          <w:iCs/>
        </w:rPr>
        <w:t xml:space="preserve">Fraser v Thames Television </w:t>
      </w:r>
      <w:r>
        <w:t>[3.13C].</w:t>
      </w:r>
    </w:p>
    <w:p w14:paraId="2B1CB35D" w14:textId="77777777" w:rsidR="00A145E0" w:rsidRDefault="00A145E0" w:rsidP="00A145E0"/>
    <w:p w14:paraId="18632890" w14:textId="77777777" w:rsidR="008D729F" w:rsidRPr="00D32F88" w:rsidRDefault="008D729F" w:rsidP="008D729F">
      <w:pPr>
        <w:pStyle w:val="NoSpacing"/>
        <w:rPr>
          <w:rFonts w:cs="Times New Roman"/>
          <w:i/>
          <w:szCs w:val="24"/>
        </w:rPr>
      </w:pPr>
      <w:r w:rsidRPr="00D32F88">
        <w:rPr>
          <w:rFonts w:cs="Times New Roman"/>
          <w:b/>
          <w:i/>
          <w:szCs w:val="24"/>
        </w:rPr>
        <w:t>Exceptions to the duty</w:t>
      </w:r>
    </w:p>
    <w:p w14:paraId="2F17CEE4" w14:textId="77777777" w:rsidR="008D729F" w:rsidRDefault="008D729F" w:rsidP="008D729F">
      <w:pPr>
        <w:pStyle w:val="NoSpacing"/>
        <w:rPr>
          <w:rFonts w:cs="Times New Roman"/>
          <w:szCs w:val="24"/>
        </w:rPr>
      </w:pPr>
      <w:r w:rsidRPr="008D729F">
        <w:rPr>
          <w:rFonts w:cs="Times New Roman"/>
          <w:szCs w:val="24"/>
        </w:rPr>
        <w:t xml:space="preserve">There are </w:t>
      </w:r>
      <w:r w:rsidRPr="008D729F">
        <w:rPr>
          <w:rFonts w:cs="Times New Roman"/>
          <w:szCs w:val="24"/>
          <w:u w:val="single"/>
        </w:rPr>
        <w:t>seven main</w:t>
      </w:r>
      <w:r w:rsidRPr="008D729F">
        <w:rPr>
          <w:rFonts w:cs="Times New Roman"/>
          <w:szCs w:val="24"/>
        </w:rPr>
        <w:t xml:space="preserve"> exceptions to the requirement that client information be kept confidential:</w:t>
      </w:r>
    </w:p>
    <w:p w14:paraId="32C21C6D" w14:textId="77777777" w:rsidR="00D32F88" w:rsidRPr="008D729F" w:rsidRDefault="00D32F88" w:rsidP="008D729F">
      <w:pPr>
        <w:pStyle w:val="NoSpacing"/>
        <w:rPr>
          <w:rFonts w:cs="Times New Roman"/>
          <w:szCs w:val="24"/>
          <w:lang w:val="en-US"/>
        </w:rPr>
      </w:pPr>
    </w:p>
    <w:p w14:paraId="3F68CB9B" w14:textId="1CBA2D47" w:rsidR="008D729F" w:rsidRPr="008D729F" w:rsidRDefault="005E0282" w:rsidP="00B21502">
      <w:pPr>
        <w:pStyle w:val="NoSpacing"/>
        <w:numPr>
          <w:ilvl w:val="0"/>
          <w:numId w:val="25"/>
        </w:numPr>
        <w:rPr>
          <w:rFonts w:cs="Times New Roman"/>
          <w:szCs w:val="24"/>
        </w:rPr>
      </w:pPr>
      <w:r w:rsidRPr="003C4472">
        <w:rPr>
          <w:rFonts w:cs="Times New Roman"/>
          <w:i/>
          <w:szCs w:val="24"/>
          <w:u w:val="single"/>
        </w:rPr>
        <w:t>Client Consent</w:t>
      </w:r>
      <w:r>
        <w:rPr>
          <w:rFonts w:cs="Times New Roman"/>
          <w:szCs w:val="24"/>
        </w:rPr>
        <w:t xml:space="preserve"> – </w:t>
      </w:r>
      <w:r w:rsidR="008D729F" w:rsidRPr="008D729F">
        <w:rPr>
          <w:rFonts w:cs="Times New Roman"/>
          <w:i/>
          <w:szCs w:val="24"/>
        </w:rPr>
        <w:t>Permissive</w:t>
      </w:r>
      <w:r w:rsidR="008D729F" w:rsidRPr="008D729F">
        <w:rPr>
          <w:rFonts w:cs="Times New Roman"/>
          <w:szCs w:val="24"/>
        </w:rPr>
        <w:t xml:space="preserve"> </w:t>
      </w:r>
      <w:r w:rsidR="005333A2" w:rsidRPr="000B4323">
        <w:rPr>
          <w:rFonts w:cs="Times New Roman"/>
          <w:b/>
          <w:i/>
          <w:iCs/>
          <w:szCs w:val="24"/>
        </w:rPr>
        <w:t>PCPR 3</w:t>
      </w:r>
      <w:r w:rsidR="005333A2" w:rsidRPr="000B4323">
        <w:rPr>
          <w:rFonts w:cs="Times New Roman"/>
          <w:b/>
          <w:i/>
          <w:szCs w:val="24"/>
        </w:rPr>
        <w:t xml:space="preserve"> </w:t>
      </w:r>
      <w:r w:rsidR="005333A2">
        <w:rPr>
          <w:rFonts w:cs="Times New Roman"/>
          <w:b/>
          <w:i/>
          <w:szCs w:val="24"/>
        </w:rPr>
        <w:t>&amp;</w:t>
      </w:r>
      <w:r w:rsidR="005333A2" w:rsidRPr="000B4323">
        <w:rPr>
          <w:rFonts w:cs="Times New Roman"/>
          <w:b/>
          <w:i/>
          <w:szCs w:val="24"/>
        </w:rPr>
        <w:t>R 3.1.1</w:t>
      </w:r>
      <w:r w:rsidR="00F97190">
        <w:rPr>
          <w:rFonts w:cs="Times New Roman"/>
          <w:szCs w:val="24"/>
        </w:rPr>
        <w:t>–</w:t>
      </w:r>
      <w:r w:rsidR="008D729F" w:rsidRPr="008D729F">
        <w:rPr>
          <w:rFonts w:cs="Times New Roman"/>
          <w:szCs w:val="24"/>
        </w:rPr>
        <w:t xml:space="preserve"> When the client consents (expressly or impliedly) to disclosure</w:t>
      </w:r>
      <w:r w:rsidR="005333A2">
        <w:rPr>
          <w:rFonts w:cs="Times New Roman"/>
          <w:szCs w:val="24"/>
        </w:rPr>
        <w:t>.</w:t>
      </w:r>
      <w:r w:rsidR="004E0950">
        <w:rPr>
          <w:rFonts w:cs="Times New Roman"/>
          <w:szCs w:val="24"/>
        </w:rPr>
        <w:t xml:space="preserve"> </w:t>
      </w:r>
    </w:p>
    <w:p w14:paraId="3257DDCA" w14:textId="31AA8EFE" w:rsidR="008D729F" w:rsidRPr="008D729F" w:rsidRDefault="00A81E6C" w:rsidP="00B21502">
      <w:pPr>
        <w:pStyle w:val="NoSpacing"/>
        <w:numPr>
          <w:ilvl w:val="0"/>
          <w:numId w:val="26"/>
        </w:numPr>
        <w:rPr>
          <w:rFonts w:cs="Times New Roman"/>
          <w:szCs w:val="24"/>
        </w:rPr>
      </w:pPr>
      <w:r w:rsidRPr="00E20179">
        <w:rPr>
          <w:rFonts w:cs="Times New Roman"/>
          <w:i/>
          <w:szCs w:val="24"/>
        </w:rPr>
        <w:t>I</w:t>
      </w:r>
      <w:r w:rsidR="008D729F" w:rsidRPr="00E20179">
        <w:rPr>
          <w:rFonts w:cs="Times New Roman"/>
          <w:i/>
          <w:szCs w:val="24"/>
        </w:rPr>
        <w:t>mplied</w:t>
      </w:r>
      <w:r w:rsidRPr="00E20179">
        <w:rPr>
          <w:rFonts w:cs="Times New Roman"/>
          <w:i/>
          <w:szCs w:val="24"/>
        </w:rPr>
        <w:t xml:space="preserve"> Consent</w:t>
      </w:r>
      <w:r>
        <w:rPr>
          <w:rFonts w:cs="Times New Roman"/>
          <w:szCs w:val="24"/>
        </w:rPr>
        <w:t xml:space="preserve"> – </w:t>
      </w:r>
      <w:r w:rsidR="008D729F" w:rsidRPr="008D729F">
        <w:rPr>
          <w:rFonts w:cs="Times New Roman"/>
          <w:szCs w:val="24"/>
        </w:rPr>
        <w:t xml:space="preserve">disclose information to other lawyers </w:t>
      </w:r>
      <w:r w:rsidR="00623805">
        <w:rPr>
          <w:rFonts w:cs="Times New Roman"/>
          <w:szCs w:val="24"/>
        </w:rPr>
        <w:t>within</w:t>
      </w:r>
      <w:r w:rsidR="008D729F" w:rsidRPr="008D729F">
        <w:rPr>
          <w:rFonts w:cs="Times New Roman"/>
          <w:szCs w:val="24"/>
        </w:rPr>
        <w:t xml:space="preserve"> the firm (retainer is ordinarily with the firm)</w:t>
      </w:r>
    </w:p>
    <w:p w14:paraId="6FE4581C" w14:textId="2D67BB96" w:rsidR="008D729F" w:rsidRPr="008D729F" w:rsidRDefault="00AE2F3C" w:rsidP="00B21502">
      <w:pPr>
        <w:pStyle w:val="NoSpacing"/>
        <w:numPr>
          <w:ilvl w:val="0"/>
          <w:numId w:val="26"/>
        </w:numPr>
        <w:rPr>
          <w:rFonts w:cs="Times New Roman"/>
          <w:szCs w:val="24"/>
        </w:rPr>
      </w:pPr>
      <w:r w:rsidRPr="0032487A">
        <w:rPr>
          <w:rFonts w:cs="Times New Roman"/>
          <w:i/>
          <w:szCs w:val="24"/>
        </w:rPr>
        <w:t>Express Consent</w:t>
      </w:r>
      <w:r>
        <w:rPr>
          <w:rFonts w:cs="Times New Roman"/>
          <w:szCs w:val="24"/>
        </w:rPr>
        <w:t xml:space="preserve"> – </w:t>
      </w:r>
      <w:r w:rsidR="008D729F" w:rsidRPr="008D729F">
        <w:rPr>
          <w:rFonts w:cs="Times New Roman"/>
          <w:szCs w:val="24"/>
        </w:rPr>
        <w:t>if a client has agreed for his/her lawyer to seek counsel’s advice</w:t>
      </w:r>
      <w:r w:rsidR="005333A2">
        <w:rPr>
          <w:rFonts w:cs="Times New Roman"/>
          <w:szCs w:val="24"/>
        </w:rPr>
        <w:t>.</w:t>
      </w:r>
    </w:p>
    <w:p w14:paraId="202C670F" w14:textId="77777777" w:rsidR="000C6670" w:rsidRDefault="000C6670" w:rsidP="008D729F">
      <w:pPr>
        <w:pStyle w:val="NoSpacing"/>
        <w:rPr>
          <w:rFonts w:cs="Times New Roman"/>
          <w:szCs w:val="24"/>
        </w:rPr>
      </w:pPr>
    </w:p>
    <w:p w14:paraId="21629984" w14:textId="440F5EF1" w:rsidR="003D53BC" w:rsidRDefault="0039089F" w:rsidP="00B21502">
      <w:pPr>
        <w:pStyle w:val="NoSpacing"/>
        <w:numPr>
          <w:ilvl w:val="0"/>
          <w:numId w:val="25"/>
        </w:numPr>
        <w:rPr>
          <w:rFonts w:cs="Times New Roman"/>
          <w:szCs w:val="24"/>
          <w:lang w:val="en-US"/>
        </w:rPr>
      </w:pPr>
      <w:r w:rsidRPr="00475A12">
        <w:rPr>
          <w:rFonts w:cs="Times New Roman"/>
          <w:i/>
          <w:szCs w:val="24"/>
          <w:u w:val="single"/>
        </w:rPr>
        <w:t>Public Knowledge</w:t>
      </w:r>
      <w:r>
        <w:rPr>
          <w:rFonts w:cs="Times New Roman"/>
          <w:i/>
          <w:szCs w:val="24"/>
        </w:rPr>
        <w:t xml:space="preserve"> – </w:t>
      </w:r>
      <w:r w:rsidR="008D729F" w:rsidRPr="008D729F">
        <w:rPr>
          <w:rFonts w:cs="Times New Roman"/>
          <w:i/>
          <w:szCs w:val="24"/>
        </w:rPr>
        <w:t>Permissive</w:t>
      </w:r>
      <w:r w:rsidR="00DB29A2">
        <w:rPr>
          <w:rFonts w:cs="Times New Roman"/>
          <w:i/>
          <w:szCs w:val="24"/>
        </w:rPr>
        <w:t xml:space="preserve"> </w:t>
      </w:r>
      <w:proofErr w:type="gramStart"/>
      <w:r w:rsidR="005333A2" w:rsidRPr="005333A2">
        <w:rPr>
          <w:rFonts w:cs="Times New Roman"/>
          <w:b/>
          <w:i/>
          <w:iCs/>
          <w:szCs w:val="24"/>
        </w:rPr>
        <w:t xml:space="preserve">PCPR  </w:t>
      </w:r>
      <w:r w:rsidR="005333A2" w:rsidRPr="005333A2">
        <w:rPr>
          <w:rFonts w:cs="Times New Roman"/>
          <w:b/>
          <w:i/>
          <w:szCs w:val="24"/>
        </w:rPr>
        <w:t>R</w:t>
      </w:r>
      <w:proofErr w:type="gramEnd"/>
      <w:r w:rsidR="005333A2" w:rsidRPr="005333A2">
        <w:rPr>
          <w:rFonts w:cs="Times New Roman"/>
          <w:b/>
          <w:i/>
          <w:szCs w:val="24"/>
        </w:rPr>
        <w:t xml:space="preserve"> 3.1.4 &amp; 3.1.5</w:t>
      </w:r>
      <w:r w:rsidR="007D1833">
        <w:rPr>
          <w:rFonts w:cs="Times New Roman"/>
          <w:i/>
          <w:szCs w:val="24"/>
        </w:rPr>
        <w:t>–</w:t>
      </w:r>
      <w:r w:rsidR="00DB29A2">
        <w:rPr>
          <w:rFonts w:cs="Times New Roman"/>
          <w:i/>
          <w:szCs w:val="24"/>
        </w:rPr>
        <w:t xml:space="preserve"> </w:t>
      </w:r>
      <w:r w:rsidR="008D729F" w:rsidRPr="008D729F">
        <w:rPr>
          <w:rFonts w:cs="Times New Roman"/>
          <w:szCs w:val="24"/>
        </w:rPr>
        <w:t>Where the information is public knowledge and the purpose served by confidentiality no longer exists</w:t>
      </w:r>
      <w:r w:rsidR="005333A2">
        <w:rPr>
          <w:rFonts w:cs="Times New Roman"/>
          <w:szCs w:val="24"/>
        </w:rPr>
        <w:t>.</w:t>
      </w:r>
      <w:r w:rsidR="006952C1">
        <w:rPr>
          <w:rFonts w:cs="Times New Roman"/>
          <w:i/>
          <w:szCs w:val="24"/>
        </w:rPr>
        <w:t xml:space="preserve"> </w:t>
      </w:r>
    </w:p>
    <w:p w14:paraId="5EA81958" w14:textId="77777777" w:rsidR="003D53BC" w:rsidRDefault="003D53BC" w:rsidP="003D53BC">
      <w:pPr>
        <w:pStyle w:val="ListParagraph"/>
        <w:rPr>
          <w:i/>
        </w:rPr>
      </w:pPr>
    </w:p>
    <w:p w14:paraId="13808837" w14:textId="56E6C289" w:rsidR="008D729F" w:rsidRPr="00430059" w:rsidRDefault="000A1140" w:rsidP="00B21502">
      <w:pPr>
        <w:pStyle w:val="NoSpacing"/>
        <w:numPr>
          <w:ilvl w:val="0"/>
          <w:numId w:val="25"/>
        </w:numPr>
        <w:rPr>
          <w:rFonts w:cs="Times New Roman"/>
          <w:szCs w:val="24"/>
          <w:lang w:val="en-US"/>
        </w:rPr>
      </w:pPr>
      <w:r w:rsidRPr="003248C8">
        <w:rPr>
          <w:rFonts w:cs="Times New Roman"/>
          <w:i/>
          <w:szCs w:val="24"/>
          <w:u w:val="single"/>
        </w:rPr>
        <w:t>Mandatory Disclosure Requirements</w:t>
      </w:r>
      <w:r>
        <w:rPr>
          <w:rFonts w:cs="Times New Roman"/>
          <w:i/>
          <w:szCs w:val="24"/>
        </w:rPr>
        <w:t xml:space="preserve"> – </w:t>
      </w:r>
      <w:r w:rsidR="008D729F" w:rsidRPr="003D53BC">
        <w:rPr>
          <w:rFonts w:cs="Times New Roman"/>
          <w:i/>
          <w:szCs w:val="24"/>
        </w:rPr>
        <w:t>Mandatory</w:t>
      </w:r>
      <w:r w:rsidR="008D729F" w:rsidRPr="003D53BC">
        <w:rPr>
          <w:rFonts w:cs="Times New Roman"/>
          <w:szCs w:val="24"/>
        </w:rPr>
        <w:t xml:space="preserve"> </w:t>
      </w:r>
      <w:r w:rsidR="005333A2" w:rsidRPr="003C3ADD">
        <w:rPr>
          <w:rFonts w:cs="Times New Roman"/>
          <w:b/>
          <w:i/>
          <w:iCs/>
          <w:szCs w:val="24"/>
        </w:rPr>
        <w:t xml:space="preserve">PCPR </w:t>
      </w:r>
      <w:r w:rsidR="005333A2" w:rsidRPr="003C3ADD">
        <w:rPr>
          <w:rFonts w:cs="Times New Roman"/>
          <w:b/>
          <w:i/>
          <w:szCs w:val="24"/>
        </w:rPr>
        <w:t>R 3.1.2</w:t>
      </w:r>
      <w:r w:rsidR="005333A2">
        <w:rPr>
          <w:rFonts w:cs="Times New Roman"/>
          <w:b/>
          <w:i/>
          <w:szCs w:val="24"/>
        </w:rPr>
        <w:t xml:space="preserve"> </w:t>
      </w:r>
      <w:r w:rsidR="00F97190">
        <w:rPr>
          <w:rFonts w:cs="Times New Roman"/>
          <w:szCs w:val="24"/>
        </w:rPr>
        <w:t>–</w:t>
      </w:r>
      <w:r w:rsidR="008D729F" w:rsidRPr="003D53BC">
        <w:rPr>
          <w:rFonts w:cs="Times New Roman"/>
          <w:szCs w:val="24"/>
        </w:rPr>
        <w:t xml:space="preserve"> Where the duty is expressly overridden by mandatory disclosure requirements </w:t>
      </w:r>
      <w:r w:rsidR="00F97190">
        <w:rPr>
          <w:rFonts w:cs="Times New Roman"/>
          <w:szCs w:val="24"/>
        </w:rPr>
        <w:t>–</w:t>
      </w:r>
      <w:r w:rsidR="008D729F" w:rsidRPr="003D53BC">
        <w:rPr>
          <w:rFonts w:cs="Times New Roman"/>
          <w:szCs w:val="24"/>
        </w:rPr>
        <w:t xml:space="preserve"> </w:t>
      </w:r>
      <w:proofErr w:type="spellStart"/>
      <w:r w:rsidR="008D729F" w:rsidRPr="003D53BC">
        <w:rPr>
          <w:rFonts w:cs="Times New Roman"/>
          <w:szCs w:val="24"/>
        </w:rPr>
        <w:t>eg</w:t>
      </w:r>
      <w:proofErr w:type="spellEnd"/>
      <w:r w:rsidR="008D729F" w:rsidRPr="003D53BC">
        <w:rPr>
          <w:rFonts w:cs="Times New Roman"/>
          <w:szCs w:val="24"/>
        </w:rPr>
        <w:t xml:space="preserve"> disclosure of information under the </w:t>
      </w:r>
      <w:r w:rsidR="008D729F" w:rsidRPr="003D53BC">
        <w:rPr>
          <w:rFonts w:cs="Times New Roman"/>
          <w:i/>
          <w:iCs/>
          <w:szCs w:val="24"/>
        </w:rPr>
        <w:t>Legal Aid Act 1978</w:t>
      </w:r>
      <w:r w:rsidR="008D729F" w:rsidRPr="003D53BC">
        <w:rPr>
          <w:rFonts w:cs="Times New Roman"/>
          <w:szCs w:val="24"/>
        </w:rPr>
        <w:t xml:space="preserve"> (Vic), or under the A</w:t>
      </w:r>
      <w:r w:rsidR="003C3ADD">
        <w:rPr>
          <w:rFonts w:cs="Times New Roman"/>
          <w:szCs w:val="24"/>
        </w:rPr>
        <w:t>TO, ASIC or ACCC legislation</w:t>
      </w:r>
      <w:r w:rsidR="005333A2">
        <w:rPr>
          <w:rFonts w:cs="Times New Roman"/>
          <w:szCs w:val="24"/>
        </w:rPr>
        <w:t>.</w:t>
      </w:r>
    </w:p>
    <w:p w14:paraId="483E797F" w14:textId="77777777" w:rsidR="00430059" w:rsidRDefault="00430059" w:rsidP="00430059">
      <w:pPr>
        <w:pStyle w:val="ListParagraph"/>
      </w:pPr>
    </w:p>
    <w:p w14:paraId="7B495B3F" w14:textId="5A39271E" w:rsidR="00430059" w:rsidRDefault="00B55EE0" w:rsidP="00B21502">
      <w:pPr>
        <w:pStyle w:val="NoSpacing"/>
        <w:numPr>
          <w:ilvl w:val="0"/>
          <w:numId w:val="25"/>
        </w:numPr>
        <w:rPr>
          <w:rFonts w:cs="Times New Roman"/>
          <w:szCs w:val="24"/>
          <w:lang w:val="en-US"/>
        </w:rPr>
      </w:pPr>
      <w:r w:rsidRPr="00923E3D">
        <w:rPr>
          <w:rFonts w:cs="Times New Roman"/>
          <w:i/>
          <w:szCs w:val="24"/>
          <w:u w:val="single"/>
          <w:lang w:val="en-US"/>
        </w:rPr>
        <w:t>Substantiate</w:t>
      </w:r>
      <w:r w:rsidR="00430059" w:rsidRPr="00923E3D">
        <w:rPr>
          <w:rFonts w:cs="Times New Roman"/>
          <w:i/>
          <w:szCs w:val="24"/>
          <w:u w:val="single"/>
          <w:lang w:val="en-US"/>
        </w:rPr>
        <w:t xml:space="preserve"> Remuneration</w:t>
      </w:r>
      <w:r w:rsidR="00430059">
        <w:rPr>
          <w:rFonts w:cs="Times New Roman"/>
          <w:i/>
          <w:szCs w:val="24"/>
          <w:lang w:val="en-US"/>
        </w:rPr>
        <w:t xml:space="preserve"> </w:t>
      </w:r>
      <w:r w:rsidR="00430059">
        <w:rPr>
          <w:rFonts w:cs="Times New Roman"/>
          <w:szCs w:val="24"/>
          <w:lang w:val="en-US"/>
        </w:rPr>
        <w:t xml:space="preserve">– </w:t>
      </w:r>
      <w:r w:rsidR="00CB20B0">
        <w:rPr>
          <w:rFonts w:cs="Times New Roman"/>
          <w:i/>
          <w:szCs w:val="24"/>
          <w:lang w:val="en-US"/>
        </w:rPr>
        <w:t xml:space="preserve">Permissive </w:t>
      </w:r>
      <w:r w:rsidR="00CB20B0">
        <w:rPr>
          <w:rFonts w:cs="Times New Roman"/>
          <w:szCs w:val="24"/>
          <w:lang w:val="en-US"/>
        </w:rPr>
        <w:t xml:space="preserve">– </w:t>
      </w:r>
      <w:r w:rsidR="003C3034">
        <w:rPr>
          <w:rFonts w:cs="Times New Roman"/>
          <w:szCs w:val="24"/>
          <w:lang w:val="en-US"/>
        </w:rPr>
        <w:t>Lawyer may disclose confidential information pertaining to the retainer in reasonably seeking to establish or collect the fee in respect to the retainer.</w:t>
      </w:r>
    </w:p>
    <w:p w14:paraId="677124E8" w14:textId="77777777" w:rsidR="005A03BF" w:rsidRDefault="005A03BF" w:rsidP="005A03BF">
      <w:pPr>
        <w:pStyle w:val="ListParagraph"/>
      </w:pPr>
    </w:p>
    <w:p w14:paraId="60EFB7F5" w14:textId="12C08610" w:rsidR="005A03BF" w:rsidRPr="00CC7371" w:rsidRDefault="005A03BF" w:rsidP="00B21502">
      <w:pPr>
        <w:pStyle w:val="NoSpacing"/>
        <w:numPr>
          <w:ilvl w:val="0"/>
          <w:numId w:val="25"/>
        </w:numPr>
        <w:rPr>
          <w:rFonts w:cs="Times New Roman"/>
          <w:szCs w:val="24"/>
          <w:lang w:val="en-US"/>
        </w:rPr>
      </w:pPr>
      <w:r w:rsidRPr="00B26A43">
        <w:rPr>
          <w:rFonts w:cs="Times New Roman"/>
          <w:i/>
          <w:szCs w:val="24"/>
          <w:u w:val="single"/>
          <w:lang w:val="en-US"/>
        </w:rPr>
        <w:t>Defense against legal proceedings</w:t>
      </w:r>
      <w:r>
        <w:rPr>
          <w:rFonts w:cs="Times New Roman"/>
          <w:i/>
          <w:szCs w:val="24"/>
          <w:lang w:val="en-US"/>
        </w:rPr>
        <w:t xml:space="preserve"> – </w:t>
      </w:r>
      <w:r w:rsidR="00C76858">
        <w:rPr>
          <w:rFonts w:cs="Times New Roman"/>
          <w:i/>
          <w:szCs w:val="24"/>
          <w:lang w:val="en-US"/>
        </w:rPr>
        <w:t xml:space="preserve">Permissive </w:t>
      </w:r>
      <w:r w:rsidR="00C76858">
        <w:rPr>
          <w:rFonts w:cs="Times New Roman"/>
          <w:szCs w:val="24"/>
          <w:lang w:val="en-US"/>
        </w:rPr>
        <w:t xml:space="preserve">– A client who instigates legal </w:t>
      </w:r>
      <w:r w:rsidR="00B26A43">
        <w:rPr>
          <w:rFonts w:cs="Times New Roman"/>
          <w:szCs w:val="24"/>
          <w:lang w:val="en-US"/>
        </w:rPr>
        <w:t>proceedings</w:t>
      </w:r>
      <w:r w:rsidR="00C76858">
        <w:rPr>
          <w:rFonts w:cs="Times New Roman"/>
          <w:szCs w:val="24"/>
          <w:lang w:val="en-US"/>
        </w:rPr>
        <w:t xml:space="preserve"> against a lawyer for breach of duty is treated as having waived the right to confidentiality by pursing a claim per </w:t>
      </w:r>
      <w:r w:rsidR="00C76858">
        <w:rPr>
          <w:rFonts w:cs="Times New Roman"/>
          <w:i/>
          <w:szCs w:val="24"/>
          <w:lang w:val="en-US"/>
        </w:rPr>
        <w:t xml:space="preserve"> </w:t>
      </w:r>
      <w:proofErr w:type="spellStart"/>
      <w:r w:rsidR="00C76858">
        <w:rPr>
          <w:rFonts w:cs="Times New Roman"/>
          <w:i/>
          <w:szCs w:val="24"/>
          <w:lang w:val="en-US"/>
        </w:rPr>
        <w:t>Benecke</w:t>
      </w:r>
      <w:proofErr w:type="spellEnd"/>
      <w:r w:rsidR="00C76858">
        <w:rPr>
          <w:rFonts w:cs="Times New Roman"/>
          <w:i/>
          <w:szCs w:val="24"/>
          <w:lang w:val="en-US"/>
        </w:rPr>
        <w:t xml:space="preserve"> v National Australia Bank Ltd</w:t>
      </w:r>
    </w:p>
    <w:p w14:paraId="17C8E947" w14:textId="77777777" w:rsidR="00CC7371" w:rsidRDefault="00CC7371" w:rsidP="00CC7371">
      <w:pPr>
        <w:pStyle w:val="ListParagraph"/>
      </w:pPr>
    </w:p>
    <w:p w14:paraId="44F650FD" w14:textId="71645989" w:rsidR="008D729F" w:rsidRPr="008D729F" w:rsidRDefault="00613E22" w:rsidP="00B21502">
      <w:pPr>
        <w:pStyle w:val="NoSpacing"/>
        <w:numPr>
          <w:ilvl w:val="0"/>
          <w:numId w:val="25"/>
        </w:numPr>
        <w:rPr>
          <w:rFonts w:cs="Times New Roman"/>
          <w:szCs w:val="24"/>
          <w:lang w:val="en-US"/>
        </w:rPr>
      </w:pPr>
      <w:r w:rsidRPr="00A97D38">
        <w:rPr>
          <w:rFonts w:cs="Times New Roman"/>
          <w:i/>
          <w:szCs w:val="24"/>
          <w:u w:val="single"/>
        </w:rPr>
        <w:t>Incidental</w:t>
      </w:r>
      <w:r w:rsidR="00CC7371" w:rsidRPr="00A97D38">
        <w:rPr>
          <w:rFonts w:cs="Times New Roman"/>
          <w:i/>
          <w:szCs w:val="24"/>
          <w:u w:val="single"/>
        </w:rPr>
        <w:t xml:space="preserve"> to normal conduct</w:t>
      </w:r>
      <w:r w:rsidR="00CC7371">
        <w:rPr>
          <w:rFonts w:cs="Times New Roman"/>
          <w:i/>
          <w:szCs w:val="24"/>
        </w:rPr>
        <w:t xml:space="preserve"> – </w:t>
      </w:r>
      <w:r w:rsidR="008D729F" w:rsidRPr="008D729F">
        <w:rPr>
          <w:rFonts w:cs="Times New Roman"/>
          <w:i/>
          <w:szCs w:val="24"/>
        </w:rPr>
        <w:t>Permissive</w:t>
      </w:r>
      <w:r w:rsidR="008D729F" w:rsidRPr="008D729F">
        <w:rPr>
          <w:rFonts w:cs="Times New Roman"/>
          <w:szCs w:val="24"/>
        </w:rPr>
        <w:t xml:space="preserve"> </w:t>
      </w:r>
      <w:r w:rsidR="00F97190">
        <w:rPr>
          <w:rFonts w:cs="Times New Roman"/>
          <w:szCs w:val="24"/>
        </w:rPr>
        <w:t>–</w:t>
      </w:r>
      <w:r w:rsidR="008D729F" w:rsidRPr="008D729F">
        <w:rPr>
          <w:rFonts w:cs="Times New Roman"/>
          <w:szCs w:val="24"/>
        </w:rPr>
        <w:t xml:space="preserve"> Where communication of the confidential information is incidental to the normal conduct of a matter</w:t>
      </w:r>
      <w:r w:rsidR="005333A2">
        <w:rPr>
          <w:rFonts w:cs="Times New Roman"/>
          <w:szCs w:val="24"/>
        </w:rPr>
        <w:t>.</w:t>
      </w:r>
    </w:p>
    <w:p w14:paraId="39BDE572" w14:textId="77777777" w:rsidR="00613E22" w:rsidRPr="00613E22" w:rsidRDefault="00613E22" w:rsidP="00613E22">
      <w:pPr>
        <w:pStyle w:val="NoSpacing"/>
        <w:ind w:left="720"/>
        <w:rPr>
          <w:rFonts w:cs="Times New Roman"/>
          <w:szCs w:val="24"/>
        </w:rPr>
      </w:pPr>
    </w:p>
    <w:p w14:paraId="388DDDCA" w14:textId="59F85A61" w:rsidR="008D729F" w:rsidRPr="008D729F" w:rsidRDefault="00CC337C" w:rsidP="00B21502">
      <w:pPr>
        <w:pStyle w:val="NoSpacing"/>
        <w:numPr>
          <w:ilvl w:val="0"/>
          <w:numId w:val="25"/>
        </w:numPr>
        <w:rPr>
          <w:rFonts w:cs="Times New Roman"/>
          <w:szCs w:val="24"/>
        </w:rPr>
      </w:pPr>
      <w:r w:rsidRPr="00FC57D6">
        <w:rPr>
          <w:rFonts w:cs="Times New Roman"/>
          <w:i/>
          <w:szCs w:val="24"/>
          <w:u w:val="single"/>
        </w:rPr>
        <w:t>Serious Criminal Offences</w:t>
      </w:r>
      <w:r>
        <w:rPr>
          <w:rFonts w:cs="Times New Roman"/>
          <w:i/>
          <w:szCs w:val="24"/>
        </w:rPr>
        <w:t xml:space="preserve"> – </w:t>
      </w:r>
      <w:r w:rsidR="008D729F" w:rsidRPr="008D729F">
        <w:rPr>
          <w:rFonts w:cs="Times New Roman"/>
          <w:i/>
          <w:szCs w:val="24"/>
        </w:rPr>
        <w:t>Permissive</w:t>
      </w:r>
      <w:r w:rsidR="008D729F" w:rsidRPr="008D729F">
        <w:rPr>
          <w:rFonts w:cs="Times New Roman"/>
          <w:szCs w:val="24"/>
        </w:rPr>
        <w:t xml:space="preserve"> </w:t>
      </w:r>
      <w:r w:rsidR="00F87A14" w:rsidRPr="008D729F">
        <w:rPr>
          <w:rFonts w:cs="Times New Roman"/>
          <w:szCs w:val="24"/>
        </w:rPr>
        <w:t>(</w:t>
      </w:r>
      <w:r w:rsidR="00F87A14" w:rsidRPr="008D729F">
        <w:rPr>
          <w:rFonts w:cs="Times New Roman"/>
          <w:b/>
          <w:i/>
          <w:iCs/>
          <w:szCs w:val="24"/>
        </w:rPr>
        <w:t xml:space="preserve">PCPR </w:t>
      </w:r>
      <w:r w:rsidR="00F87A14" w:rsidRPr="008D729F">
        <w:rPr>
          <w:rFonts w:cs="Times New Roman"/>
          <w:b/>
          <w:szCs w:val="24"/>
        </w:rPr>
        <w:t xml:space="preserve"> R 3.1.3</w:t>
      </w:r>
      <w:r w:rsidR="00F87A14" w:rsidRPr="008D729F">
        <w:rPr>
          <w:rFonts w:cs="Times New Roman"/>
          <w:szCs w:val="24"/>
        </w:rPr>
        <w:t xml:space="preserve">) </w:t>
      </w:r>
      <w:r w:rsidR="00F97190">
        <w:rPr>
          <w:rFonts w:cs="Times New Roman"/>
          <w:szCs w:val="24"/>
        </w:rPr>
        <w:t>–</w:t>
      </w:r>
      <w:r w:rsidR="008D729F" w:rsidRPr="008D729F">
        <w:rPr>
          <w:rFonts w:cs="Times New Roman"/>
          <w:szCs w:val="24"/>
        </w:rPr>
        <w:t xml:space="preserve"> Where communication is necessary for the purpose of avoiding the probable commission </w:t>
      </w:r>
      <w:r w:rsidR="008D729F" w:rsidRPr="008D729F">
        <w:rPr>
          <w:rFonts w:cs="Times New Roman"/>
          <w:szCs w:val="24"/>
          <w:u w:val="single"/>
        </w:rPr>
        <w:t>or concealment</w:t>
      </w:r>
      <w:r w:rsidR="008D729F" w:rsidRPr="008D729F">
        <w:rPr>
          <w:rFonts w:cs="Times New Roman"/>
          <w:szCs w:val="24"/>
        </w:rPr>
        <w:t xml:space="preserve"> of a serious criminal offence </w:t>
      </w:r>
      <w:r w:rsidR="00F97190">
        <w:rPr>
          <w:rFonts w:cs="Times New Roman"/>
          <w:szCs w:val="24"/>
        </w:rPr>
        <w:t>–</w:t>
      </w:r>
      <w:r w:rsidR="008D729F" w:rsidRPr="008D729F">
        <w:rPr>
          <w:rFonts w:cs="Times New Roman"/>
          <w:szCs w:val="24"/>
        </w:rPr>
        <w:t xml:space="preserve"> </w:t>
      </w:r>
    </w:p>
    <w:p w14:paraId="45181B62" w14:textId="77777777" w:rsidR="00613E22" w:rsidRPr="00613E22" w:rsidRDefault="00613E22" w:rsidP="00613E22">
      <w:pPr>
        <w:pStyle w:val="NoSpacing"/>
        <w:ind w:left="720"/>
        <w:rPr>
          <w:rFonts w:cs="Times New Roman"/>
          <w:szCs w:val="24"/>
        </w:rPr>
      </w:pPr>
    </w:p>
    <w:p w14:paraId="35826D18" w14:textId="425A6CD5" w:rsidR="008D729F" w:rsidRPr="008D729F" w:rsidRDefault="005F6EB1" w:rsidP="00B21502">
      <w:pPr>
        <w:pStyle w:val="NoSpacing"/>
        <w:numPr>
          <w:ilvl w:val="0"/>
          <w:numId w:val="25"/>
        </w:numPr>
        <w:rPr>
          <w:rFonts w:cs="Times New Roman"/>
          <w:szCs w:val="24"/>
        </w:rPr>
      </w:pPr>
      <w:r w:rsidRPr="00256728">
        <w:rPr>
          <w:rFonts w:cs="Times New Roman"/>
          <w:i/>
          <w:szCs w:val="24"/>
          <w:u w:val="single"/>
        </w:rPr>
        <w:t>Disobeying Court Order or Persons Safety</w:t>
      </w:r>
      <w:r>
        <w:rPr>
          <w:rFonts w:cs="Times New Roman"/>
          <w:i/>
          <w:szCs w:val="24"/>
        </w:rPr>
        <w:t xml:space="preserve"> – </w:t>
      </w:r>
      <w:r w:rsidR="008D729F" w:rsidRPr="008D729F">
        <w:rPr>
          <w:rFonts w:cs="Times New Roman"/>
          <w:i/>
          <w:szCs w:val="24"/>
        </w:rPr>
        <w:t>Permissive</w:t>
      </w:r>
      <w:r w:rsidR="008D729F" w:rsidRPr="008D729F">
        <w:rPr>
          <w:rFonts w:cs="Times New Roman"/>
          <w:szCs w:val="24"/>
        </w:rPr>
        <w:t xml:space="preserve"> </w:t>
      </w:r>
      <w:proofErr w:type="gramStart"/>
      <w:r w:rsidR="005333A2" w:rsidRPr="001E3A0C">
        <w:rPr>
          <w:rFonts w:cs="Times New Roman"/>
          <w:b/>
          <w:i/>
          <w:iCs/>
          <w:szCs w:val="24"/>
        </w:rPr>
        <w:t xml:space="preserve">PCPR </w:t>
      </w:r>
      <w:r w:rsidR="005333A2" w:rsidRPr="001E3A0C">
        <w:rPr>
          <w:rFonts w:cs="Times New Roman"/>
          <w:b/>
          <w:i/>
          <w:szCs w:val="24"/>
        </w:rPr>
        <w:t xml:space="preserve"> R</w:t>
      </w:r>
      <w:proofErr w:type="gramEnd"/>
      <w:r w:rsidR="005333A2" w:rsidRPr="001E3A0C">
        <w:rPr>
          <w:rFonts w:cs="Times New Roman"/>
          <w:b/>
          <w:i/>
          <w:szCs w:val="24"/>
        </w:rPr>
        <w:t xml:space="preserve"> 15.3</w:t>
      </w:r>
      <w:r w:rsidR="005333A2" w:rsidRPr="001E3A0C">
        <w:rPr>
          <w:rFonts w:cs="Times New Roman"/>
          <w:i/>
          <w:szCs w:val="24"/>
        </w:rPr>
        <w:t xml:space="preserve"> and </w:t>
      </w:r>
      <w:r w:rsidR="0014124F" w:rsidRPr="001E3A0C">
        <w:rPr>
          <w:rFonts w:cs="Times New Roman"/>
          <w:b/>
          <w:i/>
          <w:szCs w:val="24"/>
        </w:rPr>
        <w:t>Vic Bar Rule</w:t>
      </w:r>
      <w:r w:rsidR="005333A2" w:rsidRPr="001E3A0C">
        <w:rPr>
          <w:rFonts w:cs="Times New Roman"/>
          <w:b/>
          <w:i/>
          <w:szCs w:val="24"/>
        </w:rPr>
        <w:t xml:space="preserve"> 30</w:t>
      </w:r>
      <w:r w:rsidR="005333A2" w:rsidRPr="008D729F">
        <w:rPr>
          <w:rFonts w:cs="Times New Roman"/>
          <w:szCs w:val="24"/>
        </w:rPr>
        <w:t xml:space="preserve"> </w:t>
      </w:r>
      <w:r w:rsidR="00F97190">
        <w:rPr>
          <w:rFonts w:cs="Times New Roman"/>
          <w:szCs w:val="24"/>
        </w:rPr>
        <w:t>–</w:t>
      </w:r>
      <w:r w:rsidR="008D729F" w:rsidRPr="008D729F">
        <w:rPr>
          <w:rFonts w:cs="Times New Roman"/>
          <w:szCs w:val="24"/>
        </w:rPr>
        <w:t xml:space="preserve"> Where a client informs their practitioner that they intend to disobey a court order and the practitioner reasonably believes the client’s conduct constitute</w:t>
      </w:r>
      <w:r w:rsidR="006E2253">
        <w:rPr>
          <w:rFonts w:cs="Times New Roman"/>
          <w:szCs w:val="24"/>
        </w:rPr>
        <w:t>s a threat to a person’s safety.</w:t>
      </w:r>
    </w:p>
    <w:p w14:paraId="48DF57B1" w14:textId="77777777" w:rsidR="00613E22" w:rsidRPr="00613E22" w:rsidRDefault="00613E22" w:rsidP="00613E22">
      <w:pPr>
        <w:pStyle w:val="NoSpacing"/>
        <w:ind w:left="720"/>
        <w:rPr>
          <w:rFonts w:cs="Times New Roman"/>
          <w:szCs w:val="24"/>
          <w:lang w:val="en-US"/>
        </w:rPr>
      </w:pPr>
    </w:p>
    <w:p w14:paraId="7F925984" w14:textId="63DA7E30" w:rsidR="008D729F" w:rsidRPr="00613E22" w:rsidRDefault="007A6483" w:rsidP="00B21502">
      <w:pPr>
        <w:pStyle w:val="NoSpacing"/>
        <w:numPr>
          <w:ilvl w:val="0"/>
          <w:numId w:val="25"/>
        </w:numPr>
        <w:rPr>
          <w:rFonts w:cs="Times New Roman"/>
          <w:szCs w:val="24"/>
          <w:lang w:val="en-US"/>
        </w:rPr>
      </w:pPr>
      <w:r w:rsidRPr="00B568CC">
        <w:rPr>
          <w:rFonts w:cs="Times New Roman"/>
          <w:i/>
          <w:szCs w:val="24"/>
          <w:u w:val="single"/>
        </w:rPr>
        <w:t>Public Interest</w:t>
      </w:r>
      <w:r>
        <w:rPr>
          <w:rFonts w:cs="Times New Roman"/>
          <w:i/>
          <w:szCs w:val="24"/>
        </w:rPr>
        <w:t xml:space="preserve"> – </w:t>
      </w:r>
      <w:r w:rsidR="008D729F" w:rsidRPr="008D729F">
        <w:rPr>
          <w:rFonts w:cs="Times New Roman"/>
          <w:i/>
          <w:szCs w:val="24"/>
        </w:rPr>
        <w:t>Permissive</w:t>
      </w:r>
      <w:r w:rsidR="004442E4">
        <w:rPr>
          <w:rFonts w:cs="Times New Roman"/>
          <w:i/>
          <w:szCs w:val="24"/>
        </w:rPr>
        <w:t xml:space="preserve"> &amp; Difficult Exception</w:t>
      </w:r>
      <w:r w:rsidR="008D729F" w:rsidRPr="008D729F">
        <w:rPr>
          <w:rFonts w:cs="Times New Roman"/>
          <w:szCs w:val="24"/>
        </w:rPr>
        <w:t xml:space="preserve"> </w:t>
      </w:r>
      <w:r w:rsidR="00F97190">
        <w:rPr>
          <w:rFonts w:cs="Times New Roman"/>
          <w:szCs w:val="24"/>
        </w:rPr>
        <w:t>–</w:t>
      </w:r>
      <w:r w:rsidR="008D729F" w:rsidRPr="008D729F">
        <w:rPr>
          <w:rFonts w:cs="Times New Roman"/>
          <w:szCs w:val="24"/>
        </w:rPr>
        <w:t xml:space="preserve"> Where the duty lies in the equitable doctrine of confidence and disclosure would be in the public interest </w:t>
      </w:r>
      <w:r w:rsidR="008D729F" w:rsidRPr="00613E22">
        <w:rPr>
          <w:rFonts w:cs="Times New Roman"/>
          <w:szCs w:val="24"/>
        </w:rPr>
        <w:t xml:space="preserve">potentially, the most difficult exception. </w:t>
      </w:r>
    </w:p>
    <w:p w14:paraId="3D188DBB" w14:textId="77777777" w:rsidR="00012D36" w:rsidRPr="00012D36" w:rsidRDefault="00012D36" w:rsidP="00012D36">
      <w:pPr>
        <w:pStyle w:val="NoSpacing"/>
        <w:ind w:left="1440"/>
        <w:rPr>
          <w:rFonts w:cs="Times New Roman"/>
          <w:szCs w:val="24"/>
        </w:rPr>
      </w:pPr>
    </w:p>
    <w:p w14:paraId="7231034A" w14:textId="7202037E" w:rsidR="008D729F" w:rsidRPr="00E562C7" w:rsidRDefault="007A68D2" w:rsidP="00B21502">
      <w:pPr>
        <w:pStyle w:val="NoSpacing"/>
        <w:numPr>
          <w:ilvl w:val="1"/>
          <w:numId w:val="30"/>
        </w:numPr>
        <w:rPr>
          <w:rFonts w:cs="Times New Roman"/>
          <w:szCs w:val="24"/>
        </w:rPr>
      </w:pPr>
      <w:r w:rsidRPr="00E562C7">
        <w:rPr>
          <w:rFonts w:cs="Times New Roman"/>
          <w:i/>
          <w:szCs w:val="24"/>
        </w:rPr>
        <w:t xml:space="preserve">Lawyer Conflict – </w:t>
      </w:r>
      <w:r w:rsidR="008D729F" w:rsidRPr="00E562C7">
        <w:rPr>
          <w:rFonts w:cs="Times New Roman"/>
          <w:szCs w:val="24"/>
        </w:rPr>
        <w:t>The Q is the extent to which lawyers should permit client interest to outweigh others’ interests where these conflict? In criminal case, the public interest in protecting members of the community from harm poses moral ethical Qs,</w:t>
      </w:r>
      <w:r w:rsidR="00E562C7">
        <w:rPr>
          <w:rFonts w:cs="Times New Roman"/>
          <w:szCs w:val="24"/>
        </w:rPr>
        <w:t xml:space="preserve"> o</w:t>
      </w:r>
      <w:r w:rsidR="008D729F" w:rsidRPr="00E562C7">
        <w:rPr>
          <w:rFonts w:cs="Times New Roman"/>
          <w:szCs w:val="24"/>
        </w:rPr>
        <w:t>r client’s right to confidentiality should yield to an innocent person’s right to freedom.</w:t>
      </w:r>
    </w:p>
    <w:p w14:paraId="616A7827" w14:textId="77777777" w:rsidR="002617CB" w:rsidRDefault="002617CB" w:rsidP="002617CB">
      <w:pPr>
        <w:pStyle w:val="NoSpacing"/>
        <w:ind w:left="1440"/>
        <w:rPr>
          <w:rFonts w:cs="Times New Roman"/>
          <w:szCs w:val="24"/>
        </w:rPr>
      </w:pPr>
    </w:p>
    <w:p w14:paraId="17AF383C" w14:textId="77777777" w:rsidR="008E544A" w:rsidRPr="00C441DC" w:rsidRDefault="008E544A" w:rsidP="00B21502">
      <w:pPr>
        <w:pStyle w:val="NoSpacing"/>
        <w:numPr>
          <w:ilvl w:val="1"/>
          <w:numId w:val="30"/>
        </w:numPr>
        <w:rPr>
          <w:rFonts w:cs="Times New Roman"/>
          <w:szCs w:val="24"/>
        </w:rPr>
      </w:pPr>
      <w:r w:rsidRPr="00C441DC">
        <w:rPr>
          <w:rFonts w:cs="Times New Roman"/>
          <w:szCs w:val="24"/>
        </w:rPr>
        <w:t xml:space="preserve">Statements made to the public </w:t>
      </w:r>
      <w:r>
        <w:rPr>
          <w:rFonts w:cs="Times New Roman"/>
          <w:szCs w:val="24"/>
        </w:rPr>
        <w:t xml:space="preserve">cannot </w:t>
      </w:r>
      <w:r w:rsidRPr="00C441DC">
        <w:rPr>
          <w:rFonts w:cs="Times New Roman"/>
          <w:szCs w:val="24"/>
        </w:rPr>
        <w:t xml:space="preserve">assist clients </w:t>
      </w:r>
      <w:r w:rsidRPr="00C441DC">
        <w:rPr>
          <w:szCs w:val="24"/>
        </w:rPr>
        <w:t>–</w:t>
      </w:r>
    </w:p>
    <w:p w14:paraId="380D0CB8" w14:textId="77777777" w:rsidR="008E544A" w:rsidRPr="00A34213" w:rsidRDefault="008E544A" w:rsidP="00B21502">
      <w:pPr>
        <w:pStyle w:val="NoSpacing"/>
        <w:numPr>
          <w:ilvl w:val="2"/>
          <w:numId w:val="30"/>
        </w:numPr>
        <w:rPr>
          <w:rFonts w:cs="Times New Roman"/>
          <w:szCs w:val="24"/>
        </w:rPr>
      </w:pPr>
      <w:r w:rsidRPr="00C441DC">
        <w:rPr>
          <w:i/>
          <w:szCs w:val="24"/>
        </w:rPr>
        <w:t xml:space="preserve">Legal Practitioners Complaints Committee v </w:t>
      </w:r>
      <w:proofErr w:type="spellStart"/>
      <w:r w:rsidRPr="00C441DC">
        <w:rPr>
          <w:i/>
          <w:szCs w:val="24"/>
        </w:rPr>
        <w:t>Trowell</w:t>
      </w:r>
      <w:proofErr w:type="spellEnd"/>
      <w:r w:rsidRPr="00C441DC">
        <w:rPr>
          <w:i/>
          <w:szCs w:val="24"/>
        </w:rPr>
        <w:t xml:space="preserve"> – </w:t>
      </w:r>
      <w:r w:rsidRPr="00C441DC">
        <w:rPr>
          <w:szCs w:val="24"/>
        </w:rPr>
        <w:t>‘statements made to the public at large are not generally regarded as the appropriate way of protecting a person’s interests’</w:t>
      </w:r>
    </w:p>
    <w:p w14:paraId="7BFF9976" w14:textId="77777777" w:rsidR="008E544A" w:rsidRDefault="008E544A" w:rsidP="007537E9">
      <w:pPr>
        <w:pStyle w:val="NoSpacing"/>
        <w:rPr>
          <w:rFonts w:cs="Times New Roman"/>
          <w:szCs w:val="24"/>
        </w:rPr>
      </w:pPr>
    </w:p>
    <w:p w14:paraId="119F3EE5" w14:textId="77777777" w:rsidR="00052FD6" w:rsidRDefault="00052FD6" w:rsidP="00052FD6">
      <w:pPr>
        <w:pStyle w:val="NoSpacing"/>
        <w:rPr>
          <w:rFonts w:cs="Times New Roman"/>
          <w:b/>
          <w:i/>
          <w:szCs w:val="24"/>
        </w:rPr>
      </w:pPr>
      <w:r w:rsidRPr="007537E9">
        <w:rPr>
          <w:rFonts w:cs="Times New Roman"/>
          <w:b/>
          <w:i/>
          <w:szCs w:val="24"/>
        </w:rPr>
        <w:t xml:space="preserve">Breach of duty/ and remedies </w:t>
      </w:r>
    </w:p>
    <w:p w14:paraId="253C8726" w14:textId="77777777" w:rsidR="00052FD6" w:rsidRPr="007537E9" w:rsidRDefault="00052FD6" w:rsidP="00052FD6">
      <w:pPr>
        <w:pStyle w:val="NoSpacing"/>
        <w:rPr>
          <w:rFonts w:cs="Times New Roman"/>
          <w:b/>
          <w:i/>
          <w:szCs w:val="24"/>
        </w:rPr>
      </w:pPr>
    </w:p>
    <w:p w14:paraId="1E1979E0" w14:textId="56518E71" w:rsidR="00052FD6" w:rsidRPr="008D729F" w:rsidRDefault="00052FD6" w:rsidP="00B21502">
      <w:pPr>
        <w:pStyle w:val="NoSpacing"/>
        <w:numPr>
          <w:ilvl w:val="0"/>
          <w:numId w:val="29"/>
        </w:numPr>
        <w:rPr>
          <w:rFonts w:cs="Times New Roman"/>
          <w:szCs w:val="24"/>
        </w:rPr>
      </w:pPr>
      <w:r>
        <w:rPr>
          <w:rFonts w:cs="Times New Roman"/>
          <w:i/>
          <w:szCs w:val="24"/>
        </w:rPr>
        <w:t xml:space="preserve">Client can sue – </w:t>
      </w:r>
      <w:r w:rsidRPr="008D729F">
        <w:rPr>
          <w:rFonts w:cs="Times New Roman"/>
          <w:szCs w:val="24"/>
        </w:rPr>
        <w:t>If breach the duty client can sue for breach of contract and fiduciary duty</w:t>
      </w:r>
    </w:p>
    <w:p w14:paraId="3CF56202" w14:textId="77777777" w:rsidR="00774F9D" w:rsidRPr="00774F9D" w:rsidRDefault="00774F9D" w:rsidP="00774F9D">
      <w:pPr>
        <w:pStyle w:val="NoSpacing"/>
        <w:ind w:left="720"/>
        <w:rPr>
          <w:rFonts w:cs="Times New Roman"/>
          <w:szCs w:val="24"/>
        </w:rPr>
      </w:pPr>
    </w:p>
    <w:p w14:paraId="52653B46" w14:textId="312BBB6A" w:rsidR="00052FD6" w:rsidRPr="008D729F" w:rsidRDefault="00774F9D" w:rsidP="00B21502">
      <w:pPr>
        <w:pStyle w:val="NoSpacing"/>
        <w:numPr>
          <w:ilvl w:val="0"/>
          <w:numId w:val="29"/>
        </w:numPr>
        <w:rPr>
          <w:rFonts w:cs="Times New Roman"/>
          <w:szCs w:val="24"/>
        </w:rPr>
      </w:pPr>
      <w:r>
        <w:rPr>
          <w:rFonts w:cs="Times New Roman"/>
          <w:i/>
          <w:szCs w:val="24"/>
        </w:rPr>
        <w:t>Injunction</w:t>
      </w:r>
      <w:r w:rsidR="00035F09">
        <w:rPr>
          <w:rFonts w:cs="Times New Roman"/>
          <w:i/>
          <w:szCs w:val="24"/>
        </w:rPr>
        <w:t xml:space="preserve"> – </w:t>
      </w:r>
      <w:r w:rsidR="00052FD6" w:rsidRPr="008D729F">
        <w:rPr>
          <w:rFonts w:cs="Times New Roman"/>
          <w:szCs w:val="24"/>
        </w:rPr>
        <w:t>A threatened or actual breach of confidence:  client can seek an injunction to prevent or stop the breach</w:t>
      </w:r>
    </w:p>
    <w:p w14:paraId="2CBDCAC2" w14:textId="77777777" w:rsidR="00774F9D" w:rsidRPr="00774F9D" w:rsidRDefault="00774F9D" w:rsidP="00774F9D">
      <w:pPr>
        <w:pStyle w:val="NoSpacing"/>
        <w:ind w:left="720"/>
        <w:rPr>
          <w:rFonts w:cs="Times New Roman"/>
          <w:szCs w:val="24"/>
        </w:rPr>
      </w:pPr>
    </w:p>
    <w:p w14:paraId="109FCF6A" w14:textId="1BCF1FAE" w:rsidR="00052FD6" w:rsidRPr="008D729F" w:rsidRDefault="00724061" w:rsidP="00B21502">
      <w:pPr>
        <w:pStyle w:val="NoSpacing"/>
        <w:numPr>
          <w:ilvl w:val="0"/>
          <w:numId w:val="29"/>
        </w:numPr>
        <w:rPr>
          <w:rFonts w:cs="Times New Roman"/>
          <w:szCs w:val="24"/>
        </w:rPr>
      </w:pPr>
      <w:r>
        <w:rPr>
          <w:rFonts w:cs="Times New Roman"/>
          <w:i/>
          <w:szCs w:val="24"/>
        </w:rPr>
        <w:t xml:space="preserve">Damages – </w:t>
      </w:r>
      <w:r w:rsidR="00052FD6" w:rsidRPr="008D729F">
        <w:rPr>
          <w:rFonts w:cs="Times New Roman"/>
          <w:szCs w:val="24"/>
        </w:rPr>
        <w:t>A client may claim damages in respect of a breach that has already occurred.</w:t>
      </w:r>
    </w:p>
    <w:p w14:paraId="08183AC3" w14:textId="77777777" w:rsidR="00774F9D" w:rsidRDefault="00774F9D" w:rsidP="00774F9D">
      <w:pPr>
        <w:pStyle w:val="NoSpacing"/>
        <w:ind w:left="720"/>
        <w:rPr>
          <w:rFonts w:cs="Times New Roman"/>
          <w:szCs w:val="24"/>
        </w:rPr>
      </w:pPr>
    </w:p>
    <w:p w14:paraId="2CB1A0B6" w14:textId="0488E492" w:rsidR="00052FD6" w:rsidRPr="008D729F" w:rsidRDefault="000E4A06" w:rsidP="00B21502">
      <w:pPr>
        <w:pStyle w:val="NoSpacing"/>
        <w:numPr>
          <w:ilvl w:val="0"/>
          <w:numId w:val="29"/>
        </w:numPr>
        <w:rPr>
          <w:rFonts w:cs="Times New Roman"/>
          <w:szCs w:val="24"/>
        </w:rPr>
      </w:pPr>
      <w:r>
        <w:rPr>
          <w:rFonts w:cs="Times New Roman"/>
          <w:b/>
          <w:i/>
          <w:szCs w:val="24"/>
        </w:rPr>
        <w:t>See</w:t>
      </w:r>
      <w:r w:rsidR="00FE494B">
        <w:rPr>
          <w:rFonts w:cs="Times New Roman"/>
          <w:b/>
          <w:i/>
          <w:szCs w:val="24"/>
        </w:rPr>
        <w:t xml:space="preserve"> Section</w:t>
      </w:r>
      <w:r w:rsidR="007222D2">
        <w:rPr>
          <w:rFonts w:cs="Times New Roman"/>
          <w:b/>
          <w:i/>
          <w:szCs w:val="24"/>
        </w:rPr>
        <w:t xml:space="preserve"> on</w:t>
      </w:r>
      <w:r>
        <w:rPr>
          <w:rFonts w:cs="Times New Roman"/>
          <w:b/>
          <w:i/>
          <w:szCs w:val="24"/>
        </w:rPr>
        <w:t xml:space="preserve"> Conflicts between Clients </w:t>
      </w:r>
    </w:p>
    <w:p w14:paraId="13BE8F35" w14:textId="7526D18F" w:rsidR="00AB3CA0" w:rsidRPr="003C1D0D" w:rsidRDefault="00AB3CA0" w:rsidP="00B21502">
      <w:pPr>
        <w:pStyle w:val="NoSpacing"/>
        <w:numPr>
          <w:ilvl w:val="1"/>
          <w:numId w:val="29"/>
        </w:numPr>
        <w:rPr>
          <w:rFonts w:cs="Times New Roman"/>
          <w:i/>
          <w:szCs w:val="24"/>
        </w:rPr>
      </w:pPr>
      <w:r w:rsidRPr="003C1D0D">
        <w:rPr>
          <w:rFonts w:cs="Times New Roman"/>
          <w:i/>
          <w:szCs w:val="24"/>
        </w:rPr>
        <w:t>Rule 4 – Acting against a Former Client</w:t>
      </w:r>
    </w:p>
    <w:p w14:paraId="356F3BB0" w14:textId="77777777" w:rsidR="00052FD6" w:rsidRPr="003C1D0D" w:rsidRDefault="00052FD6" w:rsidP="00B21502">
      <w:pPr>
        <w:pStyle w:val="NoSpacing"/>
        <w:numPr>
          <w:ilvl w:val="1"/>
          <w:numId w:val="29"/>
        </w:numPr>
        <w:rPr>
          <w:rFonts w:cs="Times New Roman"/>
          <w:i/>
          <w:szCs w:val="24"/>
        </w:rPr>
      </w:pPr>
      <w:r w:rsidRPr="003C1D0D">
        <w:rPr>
          <w:rFonts w:cs="Times New Roman"/>
          <w:i/>
          <w:szCs w:val="24"/>
        </w:rPr>
        <w:t>Rule 8.2 – a practitioner must avoid conflict of interest between two or more clients of the practitioner</w:t>
      </w:r>
    </w:p>
    <w:p w14:paraId="5A382080" w14:textId="77777777" w:rsidR="009166A9" w:rsidRDefault="009166A9" w:rsidP="008D729F">
      <w:pPr>
        <w:pStyle w:val="NoSpacing"/>
        <w:rPr>
          <w:rFonts w:cs="Times New Roman"/>
          <w:b/>
          <w:i/>
          <w:szCs w:val="24"/>
        </w:rPr>
      </w:pPr>
    </w:p>
    <w:p w14:paraId="5D582A90" w14:textId="4D754EFE" w:rsidR="008D729F" w:rsidRPr="00D26990" w:rsidRDefault="00D82ACC" w:rsidP="008D729F">
      <w:pPr>
        <w:pStyle w:val="NoSpacing"/>
        <w:rPr>
          <w:rFonts w:cs="Times New Roman"/>
          <w:b/>
          <w:i/>
          <w:szCs w:val="24"/>
        </w:rPr>
      </w:pPr>
      <w:r>
        <w:rPr>
          <w:rFonts w:cs="Times New Roman"/>
          <w:b/>
          <w:i/>
          <w:szCs w:val="24"/>
        </w:rPr>
        <w:t>Example</w:t>
      </w:r>
    </w:p>
    <w:p w14:paraId="28047EC5" w14:textId="775949B5" w:rsidR="008D729F" w:rsidRPr="008D729F" w:rsidRDefault="008D729F" w:rsidP="00D82ACC">
      <w:pPr>
        <w:pStyle w:val="NoSpacing"/>
        <w:pBdr>
          <w:top w:val="single" w:sz="4" w:space="0" w:color="auto"/>
          <w:left w:val="single" w:sz="4" w:space="4" w:color="auto"/>
          <w:bottom w:val="single" w:sz="4" w:space="1" w:color="auto"/>
          <w:right w:val="single" w:sz="4" w:space="4" w:color="auto"/>
        </w:pBdr>
        <w:shd w:val="clear" w:color="auto" w:fill="BFBFBF" w:themeFill="background1" w:themeFillShade="BF"/>
        <w:rPr>
          <w:rFonts w:cs="Times New Roman"/>
          <w:szCs w:val="24"/>
        </w:rPr>
      </w:pPr>
      <w:r w:rsidRPr="008D729F">
        <w:rPr>
          <w:rFonts w:cs="Times New Roman"/>
          <w:szCs w:val="24"/>
        </w:rPr>
        <w:t>You are consulted by a client who claims to have been left a large estate under an uncle’s will.</w:t>
      </w:r>
      <w:r w:rsidR="009166A9">
        <w:rPr>
          <w:rFonts w:cs="Times New Roman"/>
          <w:szCs w:val="24"/>
        </w:rPr>
        <w:t xml:space="preserve"> </w:t>
      </w:r>
      <w:r w:rsidRPr="008D729F">
        <w:rPr>
          <w:rFonts w:cs="Times New Roman"/>
          <w:szCs w:val="24"/>
        </w:rPr>
        <w:t>A number of relatives get nothing.</w:t>
      </w:r>
      <w:r w:rsidR="009166A9">
        <w:rPr>
          <w:rFonts w:cs="Times New Roman"/>
          <w:szCs w:val="24"/>
        </w:rPr>
        <w:t xml:space="preserve"> </w:t>
      </w:r>
      <w:r w:rsidRPr="008D729F">
        <w:rPr>
          <w:rFonts w:cs="Times New Roman"/>
          <w:szCs w:val="24"/>
        </w:rPr>
        <w:t xml:space="preserve">On examining the will you notice that only one witness has witnessed the </w:t>
      </w:r>
      <w:proofErr w:type="spellStart"/>
      <w:r w:rsidRPr="008D729F">
        <w:rPr>
          <w:rFonts w:cs="Times New Roman"/>
          <w:szCs w:val="24"/>
        </w:rPr>
        <w:t>willmaker’s</w:t>
      </w:r>
      <w:proofErr w:type="spellEnd"/>
      <w:r w:rsidRPr="008D729F">
        <w:rPr>
          <w:rFonts w:cs="Times New Roman"/>
          <w:szCs w:val="24"/>
        </w:rPr>
        <w:t xml:space="preserve"> signature. [Two signatures are required under the </w:t>
      </w:r>
      <w:r w:rsidRPr="008D729F">
        <w:rPr>
          <w:rFonts w:cs="Times New Roman"/>
          <w:i/>
          <w:iCs/>
          <w:szCs w:val="24"/>
        </w:rPr>
        <w:t>Wills Act</w:t>
      </w:r>
      <w:r w:rsidRPr="008D729F">
        <w:rPr>
          <w:rFonts w:cs="Times New Roman"/>
          <w:szCs w:val="24"/>
        </w:rPr>
        <w:t>.]</w:t>
      </w:r>
      <w:r w:rsidR="009166A9">
        <w:rPr>
          <w:rFonts w:cs="Times New Roman"/>
          <w:szCs w:val="24"/>
        </w:rPr>
        <w:t xml:space="preserve"> </w:t>
      </w:r>
      <w:r w:rsidRPr="008D729F">
        <w:rPr>
          <w:rFonts w:cs="Times New Roman"/>
          <w:szCs w:val="24"/>
        </w:rPr>
        <w:t>You tell your client that for this reason the will is invalid and that, if the Uncle dies without a valid will, your client will inherit only a small portion of the estate.</w:t>
      </w:r>
      <w:r w:rsidR="009166A9">
        <w:rPr>
          <w:rFonts w:cs="Times New Roman"/>
          <w:szCs w:val="24"/>
        </w:rPr>
        <w:t xml:space="preserve"> </w:t>
      </w:r>
      <w:r w:rsidRPr="008D729F">
        <w:rPr>
          <w:rFonts w:cs="Times New Roman"/>
          <w:szCs w:val="24"/>
        </w:rPr>
        <w:t>Your client is annoyed and suggests you put your signature on it. Naturally, you refuse. As your client leaves the office, you ask her what she will do.  She says she will obtain another signature and then consult another solicitor</w:t>
      </w:r>
      <w:r w:rsidR="009166A9">
        <w:rPr>
          <w:rFonts w:cs="Times New Roman"/>
          <w:szCs w:val="24"/>
        </w:rPr>
        <w:t xml:space="preserve">. </w:t>
      </w:r>
      <w:r w:rsidRPr="008D729F">
        <w:rPr>
          <w:rFonts w:cs="Times New Roman"/>
          <w:szCs w:val="24"/>
        </w:rPr>
        <w:t xml:space="preserve">What </w:t>
      </w:r>
      <w:r w:rsidR="009166A9">
        <w:rPr>
          <w:rFonts w:cs="Times New Roman"/>
          <w:szCs w:val="24"/>
        </w:rPr>
        <w:t>do</w:t>
      </w:r>
      <w:r w:rsidRPr="008D729F">
        <w:rPr>
          <w:rFonts w:cs="Times New Roman"/>
          <w:szCs w:val="24"/>
        </w:rPr>
        <w:t xml:space="preserve"> you do?  </w:t>
      </w:r>
      <w:proofErr w:type="gramStart"/>
      <w:r w:rsidRPr="008D729F">
        <w:rPr>
          <w:rFonts w:cs="Times New Roman"/>
          <w:szCs w:val="24"/>
        </w:rPr>
        <w:t>Silence or Disclosure?</w:t>
      </w:r>
      <w:proofErr w:type="gramEnd"/>
    </w:p>
    <w:p w14:paraId="6B9EBC6F" w14:textId="77777777" w:rsidR="005E0282" w:rsidRDefault="005E0282" w:rsidP="008D729F">
      <w:pPr>
        <w:pStyle w:val="NoSpacing"/>
        <w:rPr>
          <w:rFonts w:cs="Times New Roman"/>
          <w:b/>
          <w:bCs/>
          <w:szCs w:val="24"/>
        </w:rPr>
      </w:pPr>
    </w:p>
    <w:p w14:paraId="4F802135" w14:textId="3ED0B384" w:rsidR="008D729F" w:rsidRPr="009166A9" w:rsidRDefault="00065393" w:rsidP="008D729F">
      <w:pPr>
        <w:pStyle w:val="NoSpacing"/>
        <w:rPr>
          <w:rFonts w:cs="Times New Roman"/>
          <w:bCs/>
          <w:i/>
          <w:szCs w:val="24"/>
          <w:lang w:val="en-US"/>
        </w:rPr>
      </w:pPr>
      <w:r w:rsidRPr="009166A9">
        <w:rPr>
          <w:rFonts w:cs="Times New Roman"/>
          <w:bCs/>
          <w:i/>
          <w:szCs w:val="24"/>
        </w:rPr>
        <w:t>Arguments in support of silence</w:t>
      </w:r>
    </w:p>
    <w:p w14:paraId="0186DFB3" w14:textId="4145818A" w:rsidR="008D729F" w:rsidRPr="008D729F" w:rsidRDefault="00065393" w:rsidP="00B21502">
      <w:pPr>
        <w:pStyle w:val="NoSpacing"/>
        <w:numPr>
          <w:ilvl w:val="0"/>
          <w:numId w:val="27"/>
        </w:numPr>
        <w:rPr>
          <w:rFonts w:cs="Times New Roman"/>
          <w:szCs w:val="24"/>
        </w:rPr>
      </w:pPr>
      <w:r w:rsidRPr="008D729F">
        <w:rPr>
          <w:rFonts w:cs="Times New Roman"/>
          <w:szCs w:val="24"/>
        </w:rPr>
        <w:t>The duty of confidentiality binds you</w:t>
      </w:r>
    </w:p>
    <w:p w14:paraId="2E4089A8" w14:textId="3DE085A6" w:rsidR="008D729F" w:rsidRPr="008D729F" w:rsidRDefault="00065393" w:rsidP="00B21502">
      <w:pPr>
        <w:pStyle w:val="NoSpacing"/>
        <w:numPr>
          <w:ilvl w:val="0"/>
          <w:numId w:val="27"/>
        </w:numPr>
        <w:rPr>
          <w:rFonts w:cs="Times New Roman"/>
          <w:szCs w:val="24"/>
          <w:lang w:val="en-US"/>
        </w:rPr>
      </w:pPr>
      <w:r w:rsidRPr="008D729F">
        <w:rPr>
          <w:rFonts w:cs="Times New Roman"/>
          <w:szCs w:val="24"/>
        </w:rPr>
        <w:t>You may be prosecuted for misconduct</w:t>
      </w:r>
    </w:p>
    <w:p w14:paraId="7CEDAB46" w14:textId="232A2422" w:rsidR="008D729F" w:rsidRPr="008D729F" w:rsidRDefault="00065393" w:rsidP="00B21502">
      <w:pPr>
        <w:pStyle w:val="NoSpacing"/>
        <w:numPr>
          <w:ilvl w:val="0"/>
          <w:numId w:val="27"/>
        </w:numPr>
        <w:rPr>
          <w:rFonts w:cs="Times New Roman"/>
          <w:szCs w:val="24"/>
        </w:rPr>
      </w:pPr>
      <w:r w:rsidRPr="008D729F">
        <w:rPr>
          <w:rFonts w:cs="Times New Roman"/>
          <w:szCs w:val="24"/>
        </w:rPr>
        <w:t>You are not certain that your client will do anything – if you decided to breach confidentiality your client may deny it all and you could be sued for slander</w:t>
      </w:r>
    </w:p>
    <w:p w14:paraId="44D09F71" w14:textId="2334B541" w:rsidR="008D729F" w:rsidRPr="008D729F" w:rsidRDefault="00065393" w:rsidP="008D729F">
      <w:pPr>
        <w:pStyle w:val="NoSpacing"/>
        <w:rPr>
          <w:rFonts w:cs="Times New Roman"/>
          <w:szCs w:val="24"/>
        </w:rPr>
      </w:pPr>
      <w:r w:rsidRPr="008D729F">
        <w:rPr>
          <w:rFonts w:cs="Times New Roman"/>
          <w:b/>
          <w:bCs/>
          <w:szCs w:val="24"/>
        </w:rPr>
        <w:t> </w:t>
      </w:r>
    </w:p>
    <w:p w14:paraId="12818FA4" w14:textId="2D29EEC1" w:rsidR="008D729F" w:rsidRPr="009166A9" w:rsidRDefault="00065393" w:rsidP="008D729F">
      <w:pPr>
        <w:pStyle w:val="NoSpacing"/>
        <w:rPr>
          <w:rFonts w:cs="Times New Roman"/>
          <w:bCs/>
          <w:i/>
          <w:szCs w:val="24"/>
          <w:lang w:val="en-US"/>
        </w:rPr>
      </w:pPr>
      <w:r w:rsidRPr="009166A9">
        <w:rPr>
          <w:rFonts w:cs="Times New Roman"/>
          <w:bCs/>
          <w:i/>
          <w:szCs w:val="24"/>
        </w:rPr>
        <w:t>Arguments in support of action</w:t>
      </w:r>
    </w:p>
    <w:p w14:paraId="0F703509" w14:textId="255B3E10" w:rsidR="008D729F" w:rsidRPr="008D729F" w:rsidRDefault="00065393" w:rsidP="00B21502">
      <w:pPr>
        <w:pStyle w:val="NoSpacing"/>
        <w:numPr>
          <w:ilvl w:val="0"/>
          <w:numId w:val="28"/>
        </w:numPr>
        <w:rPr>
          <w:rFonts w:cs="Times New Roman"/>
          <w:szCs w:val="24"/>
        </w:rPr>
      </w:pPr>
      <w:r w:rsidRPr="008D729F">
        <w:rPr>
          <w:rFonts w:cs="Times New Roman"/>
          <w:szCs w:val="24"/>
        </w:rPr>
        <w:t xml:space="preserve">The public interest (expressed as the interests of the other beneficiaries) will be </w:t>
      </w:r>
      <w:proofErr w:type="spellStart"/>
      <w:r w:rsidRPr="008D729F">
        <w:rPr>
          <w:rFonts w:cs="Times New Roman"/>
          <w:szCs w:val="24"/>
        </w:rPr>
        <w:t>prejuduced</w:t>
      </w:r>
      <w:proofErr w:type="spellEnd"/>
    </w:p>
    <w:p w14:paraId="5EAF656C" w14:textId="2199A136" w:rsidR="008D729F" w:rsidRPr="008D729F" w:rsidRDefault="00065393" w:rsidP="00B21502">
      <w:pPr>
        <w:pStyle w:val="NoSpacing"/>
        <w:numPr>
          <w:ilvl w:val="0"/>
          <w:numId w:val="28"/>
        </w:numPr>
        <w:rPr>
          <w:rFonts w:cs="Times New Roman"/>
          <w:szCs w:val="24"/>
        </w:rPr>
      </w:pPr>
      <w:r w:rsidRPr="008D729F">
        <w:rPr>
          <w:rFonts w:cs="Times New Roman"/>
          <w:szCs w:val="24"/>
        </w:rPr>
        <w:t>There could be a fraud on the deceased</w:t>
      </w:r>
    </w:p>
    <w:p w14:paraId="09D2C132" w14:textId="76813844" w:rsidR="008D729F" w:rsidRPr="008D729F" w:rsidRDefault="00065393" w:rsidP="00B21502">
      <w:pPr>
        <w:pStyle w:val="NoSpacing"/>
        <w:numPr>
          <w:ilvl w:val="0"/>
          <w:numId w:val="28"/>
        </w:numPr>
        <w:rPr>
          <w:rFonts w:cs="Times New Roman"/>
          <w:szCs w:val="24"/>
        </w:rPr>
      </w:pPr>
      <w:r w:rsidRPr="008D729F">
        <w:rPr>
          <w:rFonts w:cs="Times New Roman"/>
          <w:szCs w:val="24"/>
        </w:rPr>
        <w:t>Your client has no interests at heart except her own and does not deserve the benefit of confidentiality</w:t>
      </w:r>
    </w:p>
    <w:p w14:paraId="754A5049" w14:textId="1972AD1B" w:rsidR="008D729F" w:rsidRPr="008D729F" w:rsidRDefault="00065393" w:rsidP="00B21502">
      <w:pPr>
        <w:pStyle w:val="NoSpacing"/>
        <w:numPr>
          <w:ilvl w:val="0"/>
          <w:numId w:val="28"/>
        </w:numPr>
        <w:rPr>
          <w:rFonts w:cs="Times New Roman"/>
          <w:szCs w:val="24"/>
        </w:rPr>
      </w:pPr>
      <w:r w:rsidRPr="008D729F">
        <w:rPr>
          <w:rFonts w:cs="Times New Roman"/>
          <w:szCs w:val="24"/>
        </w:rPr>
        <w:t>An anonymous letter to the registrar of probates will not hurt!</w:t>
      </w:r>
    </w:p>
    <w:p w14:paraId="26EC5E6A" w14:textId="7CDD4C83" w:rsidR="00485ED1" w:rsidRPr="00576EDC" w:rsidRDefault="00485ED1" w:rsidP="0079364B">
      <w:pPr>
        <w:pStyle w:val="NoSpacing"/>
        <w:rPr>
          <w:rFonts w:cs="Times New Roman"/>
          <w:szCs w:val="24"/>
        </w:rPr>
      </w:pPr>
    </w:p>
    <w:p w14:paraId="4507BAA7" w14:textId="733A0B26" w:rsidR="00AF47FC" w:rsidRPr="00D82ACC" w:rsidRDefault="00AF47FC" w:rsidP="00AF47FC">
      <w:pPr>
        <w:pStyle w:val="NoSpacing"/>
        <w:rPr>
          <w:rFonts w:cs="Times New Roman"/>
          <w:b/>
          <w:i/>
          <w:szCs w:val="24"/>
        </w:rPr>
      </w:pPr>
      <w:r>
        <w:rPr>
          <w:rFonts w:cs="Times New Roman"/>
          <w:b/>
          <w:i/>
          <w:szCs w:val="24"/>
        </w:rPr>
        <w:t>*</w:t>
      </w:r>
      <w:r w:rsidRPr="00D82ACC">
        <w:rPr>
          <w:rFonts w:cs="Times New Roman"/>
          <w:b/>
          <w:i/>
          <w:szCs w:val="24"/>
        </w:rPr>
        <w:t>Differences to Legal Professional Privilege</w:t>
      </w:r>
    </w:p>
    <w:p w14:paraId="54907B33" w14:textId="77777777" w:rsidR="00AF47FC" w:rsidRPr="00D82ACC" w:rsidRDefault="00AF47FC" w:rsidP="00AF47FC">
      <w:pPr>
        <w:pStyle w:val="NoSpacing"/>
        <w:rPr>
          <w:rFonts w:cs="Times New Roman"/>
          <w:b/>
          <w:szCs w:val="24"/>
        </w:rPr>
      </w:pPr>
    </w:p>
    <w:p w14:paraId="45D327E6" w14:textId="77777777" w:rsidR="00AF47FC" w:rsidRDefault="00AF47FC" w:rsidP="00B21502">
      <w:pPr>
        <w:pStyle w:val="NoSpacing"/>
        <w:numPr>
          <w:ilvl w:val="0"/>
          <w:numId w:val="31"/>
        </w:numPr>
        <w:rPr>
          <w:rFonts w:cs="Times New Roman"/>
          <w:szCs w:val="24"/>
        </w:rPr>
      </w:pPr>
      <w:r>
        <w:rPr>
          <w:rFonts w:cs="Times New Roman"/>
          <w:i/>
          <w:szCs w:val="24"/>
        </w:rPr>
        <w:t xml:space="preserve">Isn’t dependent – </w:t>
      </w:r>
      <w:r w:rsidRPr="000A617F">
        <w:rPr>
          <w:rFonts w:cs="Times New Roman"/>
          <w:szCs w:val="24"/>
        </w:rPr>
        <w:t>Legal professional privilege does not depend on contractual, equitable or professional duties but on a wider stance of public policy by allowing and promoting the freedom of consultation of legal advisers.</w:t>
      </w:r>
    </w:p>
    <w:p w14:paraId="50AE6A43" w14:textId="77777777" w:rsidR="00AF47FC" w:rsidRPr="00426020" w:rsidRDefault="00AF47FC" w:rsidP="00AF47FC">
      <w:pPr>
        <w:pStyle w:val="NoSpacing"/>
        <w:ind w:left="720"/>
        <w:rPr>
          <w:rFonts w:cs="Times New Roman"/>
          <w:szCs w:val="24"/>
        </w:rPr>
      </w:pPr>
    </w:p>
    <w:p w14:paraId="4E2F5FA9" w14:textId="77777777" w:rsidR="00AF47FC" w:rsidRDefault="00AF47FC" w:rsidP="00B21502">
      <w:pPr>
        <w:pStyle w:val="NoSpacing"/>
        <w:numPr>
          <w:ilvl w:val="0"/>
          <w:numId w:val="31"/>
        </w:numPr>
        <w:rPr>
          <w:rFonts w:cs="Times New Roman"/>
          <w:szCs w:val="24"/>
        </w:rPr>
      </w:pPr>
      <w:r>
        <w:rPr>
          <w:rFonts w:cs="Times New Roman"/>
          <w:i/>
          <w:szCs w:val="24"/>
        </w:rPr>
        <w:lastRenderedPageBreak/>
        <w:t xml:space="preserve">More Extensive </w:t>
      </w:r>
      <w:r>
        <w:rPr>
          <w:rFonts w:cs="Times New Roman"/>
          <w:szCs w:val="24"/>
        </w:rPr>
        <w:t>– Communications protected by confidential are more extensive than those that are privilege as privilege is based upon confidentiality.</w:t>
      </w:r>
    </w:p>
    <w:p w14:paraId="0A75AFA3" w14:textId="77777777" w:rsidR="00AF47FC" w:rsidRPr="00426020" w:rsidRDefault="00AF47FC" w:rsidP="00AF47FC">
      <w:pPr>
        <w:pStyle w:val="NoSpacing"/>
        <w:ind w:left="720"/>
        <w:rPr>
          <w:rFonts w:cs="Times New Roman"/>
          <w:szCs w:val="24"/>
        </w:rPr>
      </w:pPr>
    </w:p>
    <w:p w14:paraId="5FDFC080" w14:textId="77777777" w:rsidR="00AF47FC" w:rsidRDefault="00AF47FC" w:rsidP="00B21502">
      <w:pPr>
        <w:pStyle w:val="NoSpacing"/>
        <w:numPr>
          <w:ilvl w:val="0"/>
          <w:numId w:val="31"/>
        </w:numPr>
        <w:rPr>
          <w:rFonts w:cs="Times New Roman"/>
          <w:szCs w:val="24"/>
        </w:rPr>
      </w:pPr>
      <w:r>
        <w:rPr>
          <w:rFonts w:cs="Times New Roman"/>
          <w:i/>
          <w:szCs w:val="24"/>
        </w:rPr>
        <w:t xml:space="preserve">Isn’t Destroyed </w:t>
      </w:r>
      <w:r>
        <w:rPr>
          <w:rFonts w:cs="Times New Roman"/>
          <w:szCs w:val="24"/>
        </w:rPr>
        <w:t>– The obligation of confidence arises, any loss of privilege does not automatically destroy that obligation if it has arisen independently of the privilege</w:t>
      </w:r>
    </w:p>
    <w:p w14:paraId="25E8E8DC" w14:textId="77777777" w:rsidR="00AF47FC" w:rsidRPr="008503BF" w:rsidRDefault="00AF47FC" w:rsidP="00B21502">
      <w:pPr>
        <w:pStyle w:val="NoSpacing"/>
        <w:numPr>
          <w:ilvl w:val="1"/>
          <w:numId w:val="31"/>
        </w:numPr>
        <w:rPr>
          <w:rFonts w:cs="Times New Roman"/>
          <w:szCs w:val="24"/>
        </w:rPr>
      </w:pPr>
      <w:r w:rsidRPr="003D4CFA">
        <w:rPr>
          <w:rFonts w:cs="Times New Roman"/>
          <w:i/>
          <w:szCs w:val="24"/>
        </w:rPr>
        <w:t>Director of Public Prosecutions v Kane</w:t>
      </w:r>
    </w:p>
    <w:p w14:paraId="68A28234" w14:textId="77777777" w:rsidR="00485ED1" w:rsidRDefault="00485ED1" w:rsidP="0079364B">
      <w:pPr>
        <w:pStyle w:val="NoSpacing"/>
        <w:rPr>
          <w:rFonts w:cs="Times New Roman"/>
          <w:szCs w:val="24"/>
        </w:rPr>
      </w:pPr>
    </w:p>
    <w:p w14:paraId="05D3D30B" w14:textId="77777777" w:rsidR="00E32C84" w:rsidRDefault="00E32C84" w:rsidP="0079364B">
      <w:pPr>
        <w:pStyle w:val="NoSpacing"/>
        <w:rPr>
          <w:rFonts w:cs="Times New Roman"/>
          <w:szCs w:val="24"/>
        </w:rPr>
      </w:pPr>
    </w:p>
    <w:p w14:paraId="2A53EE44" w14:textId="77777777" w:rsidR="00E32C84" w:rsidRDefault="00E32C84" w:rsidP="0079364B">
      <w:pPr>
        <w:pStyle w:val="NoSpacing"/>
        <w:rPr>
          <w:rFonts w:cs="Times New Roman"/>
          <w:szCs w:val="24"/>
        </w:rPr>
      </w:pPr>
    </w:p>
    <w:p w14:paraId="70E8730D" w14:textId="77777777" w:rsidR="00E32C84" w:rsidRDefault="00E32C84" w:rsidP="0079364B">
      <w:pPr>
        <w:pStyle w:val="NoSpacing"/>
        <w:rPr>
          <w:rFonts w:cs="Times New Roman"/>
          <w:szCs w:val="24"/>
        </w:rPr>
      </w:pPr>
    </w:p>
    <w:p w14:paraId="2092BD73" w14:textId="77777777" w:rsidR="00E32C84" w:rsidRDefault="00E32C84" w:rsidP="0079364B">
      <w:pPr>
        <w:pStyle w:val="NoSpacing"/>
        <w:rPr>
          <w:rFonts w:cs="Times New Roman"/>
          <w:szCs w:val="24"/>
        </w:rPr>
      </w:pPr>
    </w:p>
    <w:p w14:paraId="387AA4B1" w14:textId="77777777" w:rsidR="00E32C84" w:rsidRDefault="00E32C84" w:rsidP="0079364B">
      <w:pPr>
        <w:pStyle w:val="NoSpacing"/>
        <w:rPr>
          <w:rFonts w:cs="Times New Roman"/>
          <w:szCs w:val="24"/>
        </w:rPr>
      </w:pPr>
    </w:p>
    <w:p w14:paraId="540CF1D1" w14:textId="77777777" w:rsidR="00E32C84" w:rsidRDefault="00E32C84" w:rsidP="0079364B">
      <w:pPr>
        <w:pStyle w:val="NoSpacing"/>
        <w:rPr>
          <w:rFonts w:cs="Times New Roman"/>
          <w:szCs w:val="24"/>
        </w:rPr>
      </w:pPr>
    </w:p>
    <w:p w14:paraId="0FA5BEC3" w14:textId="77777777" w:rsidR="00E32C84" w:rsidRDefault="00E32C84" w:rsidP="0079364B">
      <w:pPr>
        <w:pStyle w:val="NoSpacing"/>
        <w:rPr>
          <w:rFonts w:cs="Times New Roman"/>
          <w:szCs w:val="24"/>
        </w:rPr>
      </w:pPr>
    </w:p>
    <w:p w14:paraId="6493FE87" w14:textId="77777777" w:rsidR="00E32C84" w:rsidRDefault="00E32C84" w:rsidP="0079364B">
      <w:pPr>
        <w:pStyle w:val="NoSpacing"/>
        <w:rPr>
          <w:rFonts w:cs="Times New Roman"/>
          <w:szCs w:val="24"/>
        </w:rPr>
      </w:pPr>
    </w:p>
    <w:p w14:paraId="1C986A05" w14:textId="77777777" w:rsidR="00E32C84" w:rsidRDefault="00E32C84" w:rsidP="0079364B">
      <w:pPr>
        <w:pStyle w:val="NoSpacing"/>
        <w:rPr>
          <w:rFonts w:cs="Times New Roman"/>
          <w:szCs w:val="24"/>
        </w:rPr>
      </w:pPr>
    </w:p>
    <w:p w14:paraId="1E2807A7" w14:textId="77777777" w:rsidR="00E32C84" w:rsidRDefault="00E32C84" w:rsidP="0079364B">
      <w:pPr>
        <w:pStyle w:val="NoSpacing"/>
        <w:rPr>
          <w:rFonts w:cs="Times New Roman"/>
          <w:szCs w:val="24"/>
        </w:rPr>
      </w:pPr>
    </w:p>
    <w:p w14:paraId="00BA503D" w14:textId="77777777" w:rsidR="00E32C84" w:rsidRDefault="00E32C84" w:rsidP="0079364B">
      <w:pPr>
        <w:pStyle w:val="NoSpacing"/>
        <w:rPr>
          <w:rFonts w:cs="Times New Roman"/>
          <w:szCs w:val="24"/>
        </w:rPr>
      </w:pPr>
    </w:p>
    <w:p w14:paraId="06A4DAFA" w14:textId="77777777" w:rsidR="00E32C84" w:rsidRDefault="00E32C84" w:rsidP="0079364B">
      <w:pPr>
        <w:pStyle w:val="NoSpacing"/>
        <w:rPr>
          <w:rFonts w:cs="Times New Roman"/>
          <w:szCs w:val="24"/>
        </w:rPr>
      </w:pPr>
    </w:p>
    <w:p w14:paraId="7D715FBE" w14:textId="77777777" w:rsidR="00E32C84" w:rsidRDefault="00E32C84" w:rsidP="0079364B">
      <w:pPr>
        <w:pStyle w:val="NoSpacing"/>
        <w:rPr>
          <w:rFonts w:cs="Times New Roman"/>
          <w:szCs w:val="24"/>
        </w:rPr>
      </w:pPr>
    </w:p>
    <w:p w14:paraId="0172E6D6" w14:textId="77777777" w:rsidR="00E32C84" w:rsidRDefault="00E32C84" w:rsidP="0079364B">
      <w:pPr>
        <w:pStyle w:val="NoSpacing"/>
        <w:rPr>
          <w:rFonts w:cs="Times New Roman"/>
          <w:szCs w:val="24"/>
        </w:rPr>
      </w:pPr>
    </w:p>
    <w:p w14:paraId="300E63B4" w14:textId="77777777" w:rsidR="00E32C84" w:rsidRDefault="00E32C84" w:rsidP="0079364B">
      <w:pPr>
        <w:pStyle w:val="NoSpacing"/>
        <w:rPr>
          <w:rFonts w:cs="Times New Roman"/>
          <w:szCs w:val="24"/>
        </w:rPr>
      </w:pPr>
    </w:p>
    <w:p w14:paraId="3313C091" w14:textId="77777777" w:rsidR="00E32C84" w:rsidRDefault="00E32C84" w:rsidP="0079364B">
      <w:pPr>
        <w:pStyle w:val="NoSpacing"/>
        <w:rPr>
          <w:rFonts w:cs="Times New Roman"/>
          <w:szCs w:val="24"/>
        </w:rPr>
      </w:pPr>
    </w:p>
    <w:p w14:paraId="17CF474B" w14:textId="77777777" w:rsidR="00E32C84" w:rsidRDefault="00E32C84" w:rsidP="0079364B">
      <w:pPr>
        <w:pStyle w:val="NoSpacing"/>
        <w:rPr>
          <w:rFonts w:cs="Times New Roman"/>
          <w:szCs w:val="24"/>
        </w:rPr>
      </w:pPr>
    </w:p>
    <w:p w14:paraId="05EEC474" w14:textId="77777777" w:rsidR="00E32C84" w:rsidRDefault="00E32C84" w:rsidP="0079364B">
      <w:pPr>
        <w:pStyle w:val="NoSpacing"/>
        <w:rPr>
          <w:rFonts w:cs="Times New Roman"/>
          <w:szCs w:val="24"/>
        </w:rPr>
      </w:pPr>
    </w:p>
    <w:p w14:paraId="33F35AD0" w14:textId="77777777" w:rsidR="00E32C84" w:rsidRDefault="00E32C84" w:rsidP="0079364B">
      <w:pPr>
        <w:pStyle w:val="NoSpacing"/>
        <w:rPr>
          <w:rFonts w:cs="Times New Roman"/>
          <w:szCs w:val="24"/>
        </w:rPr>
      </w:pPr>
    </w:p>
    <w:p w14:paraId="19EFB665" w14:textId="77777777" w:rsidR="00E32C84" w:rsidRDefault="00E32C84" w:rsidP="0079364B">
      <w:pPr>
        <w:pStyle w:val="NoSpacing"/>
        <w:rPr>
          <w:rFonts w:cs="Times New Roman"/>
          <w:szCs w:val="24"/>
        </w:rPr>
      </w:pPr>
    </w:p>
    <w:p w14:paraId="1C34EDD7" w14:textId="77777777" w:rsidR="00E32C84" w:rsidRDefault="00E32C84" w:rsidP="0079364B">
      <w:pPr>
        <w:pStyle w:val="NoSpacing"/>
        <w:rPr>
          <w:rFonts w:cs="Times New Roman"/>
          <w:szCs w:val="24"/>
        </w:rPr>
      </w:pPr>
    </w:p>
    <w:p w14:paraId="35950239" w14:textId="77777777" w:rsidR="00E32C84" w:rsidRDefault="00E32C84" w:rsidP="0079364B">
      <w:pPr>
        <w:pStyle w:val="NoSpacing"/>
        <w:rPr>
          <w:rFonts w:cs="Times New Roman"/>
          <w:szCs w:val="24"/>
        </w:rPr>
      </w:pPr>
    </w:p>
    <w:p w14:paraId="30830DE0" w14:textId="77777777" w:rsidR="00E32C84" w:rsidRDefault="00E32C84" w:rsidP="0079364B">
      <w:pPr>
        <w:pStyle w:val="NoSpacing"/>
        <w:rPr>
          <w:rFonts w:cs="Times New Roman"/>
          <w:szCs w:val="24"/>
        </w:rPr>
      </w:pPr>
    </w:p>
    <w:p w14:paraId="2EB81F58" w14:textId="77777777" w:rsidR="00E32C84" w:rsidRDefault="00E32C84" w:rsidP="0079364B">
      <w:pPr>
        <w:pStyle w:val="NoSpacing"/>
        <w:rPr>
          <w:rFonts w:cs="Times New Roman"/>
          <w:szCs w:val="24"/>
        </w:rPr>
      </w:pPr>
    </w:p>
    <w:p w14:paraId="68974C0E" w14:textId="77777777" w:rsidR="00E32C84" w:rsidRDefault="00E32C84" w:rsidP="0079364B">
      <w:pPr>
        <w:pStyle w:val="NoSpacing"/>
        <w:rPr>
          <w:rFonts w:cs="Times New Roman"/>
          <w:szCs w:val="24"/>
        </w:rPr>
      </w:pPr>
    </w:p>
    <w:p w14:paraId="0F4DB42B" w14:textId="77777777" w:rsidR="00E32C84" w:rsidRDefault="00E32C84" w:rsidP="0079364B">
      <w:pPr>
        <w:pStyle w:val="NoSpacing"/>
        <w:rPr>
          <w:rFonts w:cs="Times New Roman"/>
          <w:szCs w:val="24"/>
        </w:rPr>
      </w:pPr>
    </w:p>
    <w:p w14:paraId="33058B7F" w14:textId="77777777" w:rsidR="00E32C84" w:rsidRDefault="00E32C84" w:rsidP="0079364B">
      <w:pPr>
        <w:pStyle w:val="NoSpacing"/>
        <w:rPr>
          <w:rFonts w:cs="Times New Roman"/>
          <w:szCs w:val="24"/>
        </w:rPr>
      </w:pPr>
    </w:p>
    <w:p w14:paraId="76C5519D" w14:textId="77777777" w:rsidR="00E32C84" w:rsidRDefault="00E32C84" w:rsidP="0079364B">
      <w:pPr>
        <w:pStyle w:val="NoSpacing"/>
        <w:rPr>
          <w:rFonts w:cs="Times New Roman"/>
          <w:szCs w:val="24"/>
        </w:rPr>
      </w:pPr>
    </w:p>
    <w:p w14:paraId="0AD8E302" w14:textId="77777777" w:rsidR="00E32C84" w:rsidRDefault="00E32C84" w:rsidP="0079364B">
      <w:pPr>
        <w:pStyle w:val="NoSpacing"/>
        <w:rPr>
          <w:rFonts w:cs="Times New Roman"/>
          <w:szCs w:val="24"/>
        </w:rPr>
      </w:pPr>
    </w:p>
    <w:p w14:paraId="3D8977A7" w14:textId="77777777" w:rsidR="00E32C84" w:rsidRDefault="00E32C84" w:rsidP="0079364B">
      <w:pPr>
        <w:pStyle w:val="NoSpacing"/>
        <w:rPr>
          <w:rFonts w:cs="Times New Roman"/>
          <w:szCs w:val="24"/>
        </w:rPr>
      </w:pPr>
    </w:p>
    <w:p w14:paraId="5DC016C9" w14:textId="77777777" w:rsidR="00E32C84" w:rsidRDefault="00E32C84" w:rsidP="0079364B">
      <w:pPr>
        <w:pStyle w:val="NoSpacing"/>
        <w:rPr>
          <w:rFonts w:cs="Times New Roman"/>
          <w:szCs w:val="24"/>
        </w:rPr>
      </w:pPr>
    </w:p>
    <w:p w14:paraId="2D37040C" w14:textId="77777777" w:rsidR="00E32C84" w:rsidRDefault="00E32C84" w:rsidP="0079364B">
      <w:pPr>
        <w:pStyle w:val="NoSpacing"/>
        <w:rPr>
          <w:rFonts w:cs="Times New Roman"/>
          <w:szCs w:val="24"/>
        </w:rPr>
      </w:pPr>
    </w:p>
    <w:p w14:paraId="32A310D5" w14:textId="77777777" w:rsidR="00E32C84" w:rsidRDefault="00E32C84" w:rsidP="0079364B">
      <w:pPr>
        <w:pStyle w:val="NoSpacing"/>
        <w:rPr>
          <w:rFonts w:cs="Times New Roman"/>
          <w:szCs w:val="24"/>
        </w:rPr>
      </w:pPr>
    </w:p>
    <w:p w14:paraId="34C9985E" w14:textId="77777777" w:rsidR="00E32C84" w:rsidRDefault="00E32C84" w:rsidP="0079364B">
      <w:pPr>
        <w:pStyle w:val="NoSpacing"/>
        <w:rPr>
          <w:rFonts w:cs="Times New Roman"/>
          <w:szCs w:val="24"/>
        </w:rPr>
      </w:pPr>
    </w:p>
    <w:p w14:paraId="34E71196" w14:textId="77777777" w:rsidR="00E32C84" w:rsidRDefault="00E32C84" w:rsidP="0079364B">
      <w:pPr>
        <w:pStyle w:val="NoSpacing"/>
        <w:rPr>
          <w:rFonts w:cs="Times New Roman"/>
          <w:szCs w:val="24"/>
        </w:rPr>
      </w:pPr>
    </w:p>
    <w:p w14:paraId="1F9A6D41" w14:textId="77777777" w:rsidR="00E32C84" w:rsidRDefault="00E32C84" w:rsidP="0079364B">
      <w:pPr>
        <w:pStyle w:val="NoSpacing"/>
        <w:rPr>
          <w:rFonts w:cs="Times New Roman"/>
          <w:szCs w:val="24"/>
        </w:rPr>
      </w:pPr>
    </w:p>
    <w:p w14:paraId="025E0E37" w14:textId="77777777" w:rsidR="00E32C84" w:rsidRDefault="00E32C84" w:rsidP="0079364B">
      <w:pPr>
        <w:pStyle w:val="NoSpacing"/>
        <w:rPr>
          <w:rFonts w:cs="Times New Roman"/>
          <w:szCs w:val="24"/>
        </w:rPr>
      </w:pPr>
    </w:p>
    <w:p w14:paraId="6D53FEE9" w14:textId="77777777" w:rsidR="00E32C84" w:rsidRDefault="00E32C84" w:rsidP="0079364B">
      <w:pPr>
        <w:pStyle w:val="NoSpacing"/>
        <w:rPr>
          <w:rFonts w:cs="Times New Roman"/>
          <w:szCs w:val="24"/>
        </w:rPr>
      </w:pPr>
    </w:p>
    <w:p w14:paraId="4A6733EC" w14:textId="77777777" w:rsidR="00E32C84" w:rsidRDefault="00E32C84" w:rsidP="0079364B">
      <w:pPr>
        <w:pStyle w:val="NoSpacing"/>
        <w:rPr>
          <w:rFonts w:cs="Times New Roman"/>
          <w:szCs w:val="24"/>
        </w:rPr>
      </w:pPr>
    </w:p>
    <w:p w14:paraId="743FB820" w14:textId="77777777" w:rsidR="00E32C84" w:rsidRDefault="00E32C84" w:rsidP="0079364B">
      <w:pPr>
        <w:pStyle w:val="NoSpacing"/>
        <w:rPr>
          <w:rFonts w:cs="Times New Roman"/>
          <w:szCs w:val="24"/>
        </w:rPr>
      </w:pPr>
    </w:p>
    <w:p w14:paraId="4B87AA32" w14:textId="77777777" w:rsidR="00E32C84" w:rsidRDefault="00E32C84" w:rsidP="0079364B">
      <w:pPr>
        <w:pStyle w:val="NoSpacing"/>
        <w:rPr>
          <w:rFonts w:cs="Times New Roman"/>
          <w:szCs w:val="24"/>
        </w:rPr>
      </w:pPr>
    </w:p>
    <w:p w14:paraId="2E9922B2" w14:textId="77777777" w:rsidR="00E32C84" w:rsidRDefault="00E32C84" w:rsidP="0079364B">
      <w:pPr>
        <w:pStyle w:val="NoSpacing"/>
        <w:rPr>
          <w:rFonts w:cs="Times New Roman"/>
          <w:szCs w:val="24"/>
        </w:rPr>
      </w:pPr>
    </w:p>
    <w:p w14:paraId="43D4DB09" w14:textId="77777777" w:rsidR="00E32C84" w:rsidRDefault="00E32C84" w:rsidP="0079364B">
      <w:pPr>
        <w:pStyle w:val="NoSpacing"/>
        <w:rPr>
          <w:rFonts w:cs="Times New Roman"/>
          <w:szCs w:val="24"/>
        </w:rPr>
      </w:pPr>
    </w:p>
    <w:p w14:paraId="57E3AFFA" w14:textId="77777777" w:rsidR="00E32C84" w:rsidRDefault="00E32C84" w:rsidP="0079364B">
      <w:pPr>
        <w:pStyle w:val="NoSpacing"/>
        <w:rPr>
          <w:rFonts w:cs="Times New Roman"/>
          <w:szCs w:val="24"/>
        </w:rPr>
      </w:pPr>
    </w:p>
    <w:p w14:paraId="54E2DD24" w14:textId="77777777" w:rsidR="00E32C84" w:rsidRDefault="00E32C84" w:rsidP="0079364B">
      <w:pPr>
        <w:pStyle w:val="NoSpacing"/>
        <w:rPr>
          <w:rFonts w:cs="Times New Roman"/>
          <w:szCs w:val="24"/>
        </w:rPr>
      </w:pPr>
    </w:p>
    <w:p w14:paraId="0F0C7640" w14:textId="7313DE90" w:rsidR="0045493E" w:rsidRPr="00E00FD3" w:rsidRDefault="0045493E" w:rsidP="0079364B">
      <w:pPr>
        <w:pStyle w:val="NoSpacing"/>
        <w:rPr>
          <w:rFonts w:cs="Times New Roman"/>
          <w:b/>
          <w:szCs w:val="24"/>
          <w:u w:val="single"/>
        </w:rPr>
      </w:pPr>
      <w:r w:rsidRPr="00E00FD3">
        <w:rPr>
          <w:rFonts w:cs="Times New Roman"/>
          <w:b/>
          <w:szCs w:val="24"/>
          <w:u w:val="single"/>
        </w:rPr>
        <w:lastRenderedPageBreak/>
        <w:t xml:space="preserve">Duty of Legal Professional </w:t>
      </w:r>
      <w:r w:rsidR="00510E28" w:rsidRPr="00E00FD3">
        <w:rPr>
          <w:rFonts w:cs="Times New Roman"/>
          <w:b/>
          <w:szCs w:val="24"/>
          <w:u w:val="single"/>
        </w:rPr>
        <w:t>Privilege</w:t>
      </w:r>
    </w:p>
    <w:p w14:paraId="719B6D7A" w14:textId="77777777" w:rsidR="00485ED1" w:rsidRDefault="00485ED1" w:rsidP="0079364B">
      <w:pPr>
        <w:pStyle w:val="NoSpacing"/>
        <w:rPr>
          <w:rFonts w:cs="Times New Roman"/>
          <w:szCs w:val="24"/>
        </w:rPr>
      </w:pPr>
    </w:p>
    <w:p w14:paraId="369138C0" w14:textId="7FF5E094" w:rsidR="00A32753" w:rsidRDefault="00A32753" w:rsidP="00392BC9">
      <w:pPr>
        <w:pStyle w:val="NoSpacing"/>
        <w:numPr>
          <w:ilvl w:val="0"/>
          <w:numId w:val="54"/>
        </w:numPr>
      </w:pPr>
      <w:r>
        <w:rPr>
          <w:i/>
        </w:rPr>
        <w:t xml:space="preserve">Purpose – </w:t>
      </w:r>
      <w:r>
        <w:t xml:space="preserve">Legal professional privilege relates to the confidential passing of communications between a client and their legal professional(s) whether this takes the form of oral or written communications, or some other type, for a dominant purpose in either a current </w:t>
      </w:r>
      <w:r w:rsidR="009A5B45">
        <w:t>–</w:t>
      </w:r>
      <w:r>
        <w:t xml:space="preserve"> as </w:t>
      </w:r>
      <w:r w:rsidRPr="002B273C">
        <w:t xml:space="preserve">per </w:t>
      </w:r>
      <w:r w:rsidRPr="002B273C">
        <w:rPr>
          <w:i/>
        </w:rPr>
        <w:t>Baker v Campbell</w:t>
      </w:r>
      <w:r w:rsidRPr="002B273C">
        <w:t> </w:t>
      </w:r>
      <w:r>
        <w:t xml:space="preserve">(1983) 153 CLR 52 </w:t>
      </w:r>
      <w:r w:rsidR="009A5B45">
        <w:t>–</w:t>
      </w:r>
      <w:r>
        <w:t xml:space="preserve"> or future </w:t>
      </w:r>
      <w:r w:rsidR="009A5B45">
        <w:t>–</w:t>
      </w:r>
      <w:r>
        <w:t xml:space="preserve"> </w:t>
      </w:r>
      <w:proofErr w:type="spellStart"/>
      <w:r w:rsidRPr="00C51C1F">
        <w:rPr>
          <w:i/>
        </w:rPr>
        <w:t>Nagan</w:t>
      </w:r>
      <w:proofErr w:type="spellEnd"/>
      <w:r w:rsidRPr="00C51C1F">
        <w:rPr>
          <w:i/>
        </w:rPr>
        <w:t xml:space="preserve"> v Holloway</w:t>
      </w:r>
      <w:r w:rsidRPr="00C51C1F">
        <w:t> </w:t>
      </w:r>
      <w:hyperlink r:id="rId9" w:tgtFrame="_parent" w:history="1">
        <w:r w:rsidRPr="00C51C1F">
          <w:t>[1996] 1 Qd R 607</w:t>
        </w:r>
      </w:hyperlink>
      <w:r>
        <w:t xml:space="preserve"> </w:t>
      </w:r>
      <w:r w:rsidR="009A5B45">
        <w:t>–</w:t>
      </w:r>
      <w:r>
        <w:t xml:space="preserve"> litigation proceeding.</w:t>
      </w:r>
    </w:p>
    <w:p w14:paraId="04C5A335" w14:textId="77777777" w:rsidR="00560ED0" w:rsidRPr="00560ED0" w:rsidRDefault="00560ED0" w:rsidP="00560ED0">
      <w:pPr>
        <w:pStyle w:val="NoSpacing"/>
        <w:ind w:left="1440"/>
      </w:pPr>
    </w:p>
    <w:p w14:paraId="73F81717" w14:textId="0145AD0B" w:rsidR="00A01E8B" w:rsidRDefault="00A01E8B" w:rsidP="00392BC9">
      <w:pPr>
        <w:pStyle w:val="NoSpacing"/>
        <w:numPr>
          <w:ilvl w:val="1"/>
          <w:numId w:val="54"/>
        </w:numPr>
      </w:pPr>
      <w:r w:rsidRPr="00323B8D">
        <w:rPr>
          <w:i/>
        </w:rPr>
        <w:t>PCPR 3.1.3</w:t>
      </w:r>
      <w:r>
        <w:t xml:space="preserve"> – </w:t>
      </w:r>
      <w:r w:rsidRPr="00323B8D">
        <w:rPr>
          <w:i/>
        </w:rPr>
        <w:t>Compel disclosure by statute</w:t>
      </w:r>
    </w:p>
    <w:p w14:paraId="690C2163" w14:textId="4435F5E4" w:rsidR="00A01E8B" w:rsidRPr="00BD2AC1" w:rsidRDefault="00A01E8B" w:rsidP="00392BC9">
      <w:pPr>
        <w:pStyle w:val="NoSpacing"/>
        <w:numPr>
          <w:ilvl w:val="1"/>
          <w:numId w:val="54"/>
        </w:numPr>
      </w:pPr>
      <w:r>
        <w:rPr>
          <w:i/>
        </w:rPr>
        <w:t>PCPR 14 –</w:t>
      </w:r>
      <w:r>
        <w:t xml:space="preserve"> </w:t>
      </w:r>
      <w:r w:rsidRPr="00323B8D">
        <w:rPr>
          <w:i/>
        </w:rPr>
        <w:t>Frankness in Court</w:t>
      </w:r>
      <w:r w:rsidR="009D0170" w:rsidRPr="00323B8D">
        <w:rPr>
          <w:i/>
        </w:rPr>
        <w:t xml:space="preserve"> &amp; waiver of privilege</w:t>
      </w:r>
      <w:r w:rsidR="00323B8D">
        <w:rPr>
          <w:i/>
        </w:rPr>
        <w:t xml:space="preserve"> [14.5.2]</w:t>
      </w:r>
    </w:p>
    <w:p w14:paraId="6B114B19" w14:textId="2B45C8E8" w:rsidR="00BD2AC1" w:rsidRDefault="00BD2AC1" w:rsidP="00392BC9">
      <w:pPr>
        <w:pStyle w:val="NoSpacing"/>
        <w:numPr>
          <w:ilvl w:val="1"/>
          <w:numId w:val="54"/>
        </w:numPr>
      </w:pPr>
      <w:r>
        <w:rPr>
          <w:i/>
        </w:rPr>
        <w:t>PCPR 16 – Responsible Use of Privilege</w:t>
      </w:r>
    </w:p>
    <w:p w14:paraId="7C3AEF45" w14:textId="77777777" w:rsidR="00A32753" w:rsidRDefault="00A32753" w:rsidP="00A32753">
      <w:pPr>
        <w:pStyle w:val="NoSpacing"/>
      </w:pPr>
    </w:p>
    <w:p w14:paraId="437726D1" w14:textId="2D6328A4" w:rsidR="005568D3" w:rsidRDefault="005568D3" w:rsidP="00392BC9">
      <w:pPr>
        <w:pStyle w:val="NoSpacing"/>
        <w:numPr>
          <w:ilvl w:val="0"/>
          <w:numId w:val="54"/>
        </w:numPr>
      </w:pPr>
      <w:r>
        <w:rPr>
          <w:i/>
        </w:rPr>
        <w:t>Scope</w:t>
      </w:r>
      <w:r w:rsidR="00560ED0">
        <w:t xml:space="preserve"> – </w:t>
      </w:r>
      <w:r w:rsidR="00A32753">
        <w:t>Confidential communications passing between a client and a legal adviser are not required to be given in evidence or disclosed by the client, without the clients consent, and are not required to be given in evidence or disclosed by a legal adviser if</w:t>
      </w:r>
    </w:p>
    <w:p w14:paraId="46BD5853" w14:textId="77777777" w:rsidR="005568D3" w:rsidRPr="005568D3" w:rsidRDefault="005568D3" w:rsidP="005568D3">
      <w:pPr>
        <w:pStyle w:val="NoSpacing"/>
        <w:ind w:left="1440"/>
      </w:pPr>
    </w:p>
    <w:p w14:paraId="6B91D875" w14:textId="4D6D7C57" w:rsidR="005568D3" w:rsidRDefault="00A32753" w:rsidP="00392BC9">
      <w:pPr>
        <w:pStyle w:val="NoSpacing"/>
        <w:numPr>
          <w:ilvl w:val="1"/>
          <w:numId w:val="54"/>
        </w:numPr>
        <w:rPr>
          <w:rStyle w:val="italic"/>
        </w:rPr>
      </w:pPr>
      <w:r w:rsidRPr="005568D3">
        <w:rPr>
          <w:i/>
        </w:rPr>
        <w:t xml:space="preserve">Giving of Advice </w:t>
      </w:r>
      <w:r w:rsidR="009A5B45">
        <w:rPr>
          <w:i/>
        </w:rPr>
        <w:t>–</w:t>
      </w:r>
      <w:r w:rsidRPr="005568D3">
        <w:rPr>
          <w:i/>
        </w:rPr>
        <w:t xml:space="preserve"> </w:t>
      </w:r>
      <w:r>
        <w:t xml:space="preserve">If the communication is to enable the client to obtain, or the legal adviser to give, legal advice or assistance per </w:t>
      </w:r>
      <w:r w:rsidRPr="005568D3">
        <w:rPr>
          <w:rStyle w:val="italic"/>
          <w:i/>
        </w:rPr>
        <w:t>Lawrence v Campbell</w:t>
      </w:r>
    </w:p>
    <w:p w14:paraId="68F24EF4" w14:textId="77777777" w:rsidR="005568D3" w:rsidRPr="005568D3" w:rsidRDefault="005568D3" w:rsidP="005568D3">
      <w:pPr>
        <w:pStyle w:val="NoSpacing"/>
        <w:ind w:left="1440"/>
      </w:pPr>
    </w:p>
    <w:p w14:paraId="5AA3C746" w14:textId="7106FF92" w:rsidR="00A32753" w:rsidRDefault="00A32753" w:rsidP="00392BC9">
      <w:pPr>
        <w:pStyle w:val="NoSpacing"/>
        <w:numPr>
          <w:ilvl w:val="1"/>
          <w:numId w:val="54"/>
        </w:numPr>
      </w:pPr>
      <w:r w:rsidRPr="005568D3">
        <w:rPr>
          <w:i/>
        </w:rPr>
        <w:t xml:space="preserve">During Litigation </w:t>
      </w:r>
      <w:r w:rsidR="009A5B45">
        <w:rPr>
          <w:i/>
        </w:rPr>
        <w:t>–</w:t>
      </w:r>
      <w:r w:rsidRPr="005568D3">
        <w:rPr>
          <w:i/>
        </w:rPr>
        <w:t xml:space="preserve"> </w:t>
      </w:r>
      <w:r>
        <w:rPr>
          <w:rStyle w:val="italic"/>
        </w:rPr>
        <w:t>If the communication is with reference to litigation that is actually taking place or is in the contemplation of taking place for the client</w:t>
      </w:r>
    </w:p>
    <w:p w14:paraId="5820BC6B" w14:textId="77777777" w:rsidR="00A32753" w:rsidRDefault="00A32753" w:rsidP="00A32753">
      <w:pPr>
        <w:pStyle w:val="NoSpacing"/>
      </w:pPr>
    </w:p>
    <w:p w14:paraId="077EA5B8" w14:textId="31C011A9" w:rsidR="00A32753" w:rsidRPr="00C65CE5" w:rsidRDefault="00C01A86" w:rsidP="00A32753">
      <w:pPr>
        <w:pStyle w:val="NoSpacing"/>
        <w:rPr>
          <w:b/>
          <w:i/>
        </w:rPr>
      </w:pPr>
      <w:r>
        <w:rPr>
          <w:b/>
          <w:i/>
        </w:rPr>
        <w:t>**</w:t>
      </w:r>
      <w:r w:rsidR="00A32753" w:rsidRPr="00C65CE5">
        <w:rPr>
          <w:b/>
          <w:i/>
        </w:rPr>
        <w:t>General Function</w:t>
      </w:r>
    </w:p>
    <w:p w14:paraId="20A827D0" w14:textId="77777777" w:rsidR="00A32753" w:rsidRDefault="00A32753" w:rsidP="00A32753">
      <w:pPr>
        <w:pStyle w:val="NoSpacing"/>
        <w:rPr>
          <w:b/>
          <w:i/>
        </w:rPr>
      </w:pPr>
    </w:p>
    <w:p w14:paraId="644D20EF" w14:textId="4DBB1257" w:rsidR="002102D1" w:rsidRDefault="00852750" w:rsidP="00392BC9">
      <w:pPr>
        <w:pStyle w:val="ListParagraph"/>
        <w:numPr>
          <w:ilvl w:val="0"/>
          <w:numId w:val="55"/>
        </w:numPr>
      </w:pPr>
      <w:r>
        <w:rPr>
          <w:i/>
        </w:rPr>
        <w:t>Rationale behind Privilege</w:t>
      </w:r>
      <w:r w:rsidR="00A32753" w:rsidRPr="00852750">
        <w:rPr>
          <w:i/>
        </w:rPr>
        <w:t xml:space="preserve"> </w:t>
      </w:r>
      <w:r w:rsidR="009A5B45">
        <w:rPr>
          <w:i/>
        </w:rPr>
        <w:t>–</w:t>
      </w:r>
      <w:r w:rsidR="00A32753" w:rsidRPr="00852750">
        <w:rPr>
          <w:i/>
        </w:rPr>
        <w:t xml:space="preserve"> </w:t>
      </w:r>
      <w:r w:rsidR="0001592E" w:rsidRPr="0001592E">
        <w:t>P</w:t>
      </w:r>
      <w:r w:rsidR="00A32753">
        <w:t xml:space="preserve">romote public interest by allowing a client to fully divulge all relevant circumstances to their legal adviser so that they are able to adequately understand all the issues and evidence involved in the matter. </w:t>
      </w:r>
    </w:p>
    <w:p w14:paraId="3EEC0BC4" w14:textId="77777777" w:rsidR="00D878BD" w:rsidRDefault="00D878BD" w:rsidP="00D878BD">
      <w:pPr>
        <w:pStyle w:val="ListParagraph"/>
        <w:ind w:left="1440"/>
      </w:pPr>
    </w:p>
    <w:p w14:paraId="2A8F863B" w14:textId="1DD0ED29" w:rsidR="00A32753" w:rsidRDefault="002102D1" w:rsidP="00392BC9">
      <w:pPr>
        <w:pStyle w:val="ListParagraph"/>
        <w:numPr>
          <w:ilvl w:val="1"/>
          <w:numId w:val="55"/>
        </w:numPr>
      </w:pPr>
      <w:r>
        <w:t>Without Privilege – No</w:t>
      </w:r>
      <w:r w:rsidR="00A32753">
        <w:t xml:space="preserve"> such a full and frank disclosure, it is clear that all relevant material would not be available and the ability to have a frank and fair trial would be at risk as discussed in </w:t>
      </w:r>
      <w:r w:rsidR="00A32753" w:rsidRPr="002102D1">
        <w:rPr>
          <w:i/>
        </w:rPr>
        <w:t>Esso Australia Resources Ltd v FCT</w:t>
      </w:r>
      <w:r w:rsidR="00A32753" w:rsidRPr="006F6AC4">
        <w:t> (1999) 201 CLR 49</w:t>
      </w:r>
      <w:r w:rsidR="00A32753">
        <w:t xml:space="preserve">. </w:t>
      </w:r>
    </w:p>
    <w:p w14:paraId="1EC78A3D" w14:textId="77777777" w:rsidR="00D878BD" w:rsidRDefault="00D878BD" w:rsidP="00D878BD">
      <w:pPr>
        <w:pStyle w:val="ListParagraph"/>
        <w:ind w:left="1440"/>
      </w:pPr>
    </w:p>
    <w:p w14:paraId="0A22320E" w14:textId="5D4F2B20" w:rsidR="00A32753" w:rsidRPr="00F4322B" w:rsidRDefault="00D878BD" w:rsidP="00392BC9">
      <w:pPr>
        <w:pStyle w:val="ListParagraph"/>
        <w:numPr>
          <w:ilvl w:val="0"/>
          <w:numId w:val="55"/>
        </w:numPr>
        <w:rPr>
          <w:rStyle w:val="verdana"/>
        </w:rPr>
      </w:pPr>
      <w:r w:rsidRPr="00D878BD">
        <w:rPr>
          <w:i/>
        </w:rPr>
        <w:t xml:space="preserve">Must be Lawyer – </w:t>
      </w:r>
      <w:r w:rsidR="00A32753">
        <w:t xml:space="preserve">To claim privilege, the </w:t>
      </w:r>
      <w:r w:rsidR="00A32753">
        <w:rPr>
          <w:rStyle w:val="verdana"/>
        </w:rPr>
        <w:t xml:space="preserve">adviser must be a lawyer admitted to practice per </w:t>
      </w:r>
      <w:proofErr w:type="spellStart"/>
      <w:r w:rsidR="00A32753" w:rsidRPr="00D878BD">
        <w:rPr>
          <w:rStyle w:val="italic"/>
          <w:i/>
        </w:rPr>
        <w:t>Glengallan</w:t>
      </w:r>
      <w:proofErr w:type="spellEnd"/>
      <w:r w:rsidR="00A32753" w:rsidRPr="00D878BD">
        <w:rPr>
          <w:rStyle w:val="italic"/>
          <w:i/>
        </w:rPr>
        <w:t xml:space="preserve"> Investments Pty Ltd v Andersen</w:t>
      </w:r>
      <w:r w:rsidR="00A32753">
        <w:rPr>
          <w:rStyle w:val="italic"/>
        </w:rPr>
        <w:t xml:space="preserve">. </w:t>
      </w:r>
      <w:r w:rsidR="00A32753">
        <w:rPr>
          <w:rStyle w:val="verdana"/>
        </w:rPr>
        <w:t xml:space="preserve">It is not enough that someone without formal legal professional qualification is performing the functions of a legal adviser such as a legal aid officer in a prison or a personnel consultant in an industrial dispute </w:t>
      </w:r>
      <w:r w:rsidR="00A32753" w:rsidRPr="00D878BD">
        <w:rPr>
          <w:rStyle w:val="verdana"/>
          <w:i/>
        </w:rPr>
        <w:t xml:space="preserve">per </w:t>
      </w:r>
      <w:bookmarkStart w:id="0" w:name="COE.25245.ANT14"/>
      <w:bookmarkEnd w:id="0"/>
      <w:r w:rsidR="00A32753" w:rsidRPr="00D878BD">
        <w:rPr>
          <w:rStyle w:val="italic"/>
          <w:i/>
        </w:rPr>
        <w:t>New Victoria Hospital v Ryan</w:t>
      </w:r>
      <w:r w:rsidR="00A32753">
        <w:rPr>
          <w:rStyle w:val="italic"/>
        </w:rPr>
        <w:t>.</w:t>
      </w:r>
      <w:r w:rsidR="00A32753" w:rsidRPr="00D878BD">
        <w:rPr>
          <w:rStyle w:val="verdana"/>
          <w:i/>
        </w:rPr>
        <w:t xml:space="preserve"> </w:t>
      </w:r>
    </w:p>
    <w:p w14:paraId="540F3BD1" w14:textId="77777777" w:rsidR="00A32753" w:rsidRDefault="00A32753" w:rsidP="00A32753"/>
    <w:p w14:paraId="1E4A8752" w14:textId="77777777" w:rsidR="00E32C84" w:rsidRDefault="00E32C84" w:rsidP="00A32753"/>
    <w:p w14:paraId="2C361514" w14:textId="77777777" w:rsidR="00E32C84" w:rsidRDefault="00E32C84" w:rsidP="00A32753"/>
    <w:p w14:paraId="31D37443" w14:textId="77777777" w:rsidR="00E32C84" w:rsidRDefault="00E32C84" w:rsidP="00A32753"/>
    <w:p w14:paraId="181FF992" w14:textId="77777777" w:rsidR="00E32C84" w:rsidRDefault="00E32C84" w:rsidP="00A32753"/>
    <w:p w14:paraId="1DB6179B" w14:textId="77777777" w:rsidR="00E32C84" w:rsidRDefault="00E32C84" w:rsidP="00A32753"/>
    <w:p w14:paraId="6DB4464F" w14:textId="77777777" w:rsidR="00E32C84" w:rsidRDefault="00E32C84" w:rsidP="00A32753"/>
    <w:p w14:paraId="37FA3CF6" w14:textId="77777777" w:rsidR="00E32C84" w:rsidRDefault="00E32C84" w:rsidP="00A32753"/>
    <w:p w14:paraId="16017160" w14:textId="77777777" w:rsidR="00E32C84" w:rsidRDefault="00E32C84" w:rsidP="00A32753"/>
    <w:p w14:paraId="506738B4" w14:textId="77777777" w:rsidR="00E32C84" w:rsidRDefault="00E32C84" w:rsidP="00A32753"/>
    <w:p w14:paraId="22F74083" w14:textId="77777777" w:rsidR="00E32C84" w:rsidRDefault="00E32C84" w:rsidP="00A32753"/>
    <w:p w14:paraId="0272A362" w14:textId="77777777" w:rsidR="00E32C84" w:rsidRDefault="00E32C84" w:rsidP="00A32753"/>
    <w:p w14:paraId="02F28627" w14:textId="77777777" w:rsidR="00E32C84" w:rsidRDefault="00E32C84" w:rsidP="00A32753"/>
    <w:p w14:paraId="2D112558" w14:textId="77777777" w:rsidR="00E32C84" w:rsidRDefault="00E32C84" w:rsidP="00A32753"/>
    <w:p w14:paraId="4D6C73BE" w14:textId="30724FE5" w:rsidR="00A32753" w:rsidRPr="008A6B39" w:rsidRDefault="00C01A86" w:rsidP="00A32753">
      <w:pPr>
        <w:rPr>
          <w:b/>
          <w:i/>
        </w:rPr>
      </w:pPr>
      <w:r>
        <w:rPr>
          <w:b/>
          <w:i/>
        </w:rPr>
        <w:lastRenderedPageBreak/>
        <w:t>**</w:t>
      </w:r>
      <w:r w:rsidR="00A32753" w:rsidRPr="008A6B39">
        <w:rPr>
          <w:b/>
          <w:i/>
        </w:rPr>
        <w:t>Must be Confidential</w:t>
      </w:r>
    </w:p>
    <w:p w14:paraId="54A129F9" w14:textId="77777777" w:rsidR="00A32753" w:rsidRDefault="00A32753" w:rsidP="00A32753">
      <w:pPr>
        <w:rPr>
          <w:b/>
          <w:i/>
        </w:rPr>
      </w:pPr>
    </w:p>
    <w:p w14:paraId="45D40927" w14:textId="5CBEA775" w:rsidR="00A32753" w:rsidRDefault="00DA56A9" w:rsidP="00392BC9">
      <w:pPr>
        <w:pStyle w:val="ListParagraph"/>
        <w:numPr>
          <w:ilvl w:val="0"/>
          <w:numId w:val="56"/>
        </w:numPr>
      </w:pPr>
      <w:r w:rsidRPr="00EA2D97">
        <w:rPr>
          <w:i/>
        </w:rPr>
        <w:t>Must be Confidential</w:t>
      </w:r>
      <w:r>
        <w:t xml:space="preserve"> – </w:t>
      </w:r>
      <w:r w:rsidR="00A32753">
        <w:t>The communication must be a confidential one.  The generally rule is that communications between a client</w:t>
      </w:r>
      <w:r w:rsidR="009A5B45">
        <w:t>–</w:t>
      </w:r>
      <w:r w:rsidR="00A32753">
        <w:t xml:space="preserve">lawyer relationship are held to be confidential. If communication in question is in the form of a document submitted by a client to his solicitor for use in existing or anticipated litigation, privilege will attach to it only if it comes into existence solely for that </w:t>
      </w:r>
      <w:proofErr w:type="spellStart"/>
      <w:r w:rsidR="00A32753">
        <w:t>prupose</w:t>
      </w:r>
      <w:proofErr w:type="spellEnd"/>
      <w:r w:rsidR="00A32753">
        <w:t xml:space="preserve">. </w:t>
      </w:r>
    </w:p>
    <w:p w14:paraId="726FF2E2" w14:textId="77777777" w:rsidR="00A32753" w:rsidRDefault="00A32753" w:rsidP="00A32753"/>
    <w:p w14:paraId="4BC5C083" w14:textId="2EDE8A3E" w:rsidR="00A32753" w:rsidRDefault="00A32753" w:rsidP="00392BC9">
      <w:pPr>
        <w:pStyle w:val="ListParagraph"/>
        <w:numPr>
          <w:ilvl w:val="0"/>
          <w:numId w:val="56"/>
        </w:numPr>
      </w:pPr>
      <w:r w:rsidRPr="003F6B2A">
        <w:rPr>
          <w:i/>
        </w:rPr>
        <w:t xml:space="preserve">Communications which </w:t>
      </w:r>
      <w:r w:rsidRPr="003F6B2A">
        <w:rPr>
          <w:b/>
          <w:i/>
          <w:u w:val="single"/>
        </w:rPr>
        <w:t>are not considered</w:t>
      </w:r>
      <w:r w:rsidRPr="003F6B2A">
        <w:rPr>
          <w:i/>
        </w:rPr>
        <w:t xml:space="preserve"> to be confidential include</w:t>
      </w:r>
      <w:r>
        <w:t>:</w:t>
      </w:r>
    </w:p>
    <w:p w14:paraId="7C773787" w14:textId="77777777" w:rsidR="00A32753" w:rsidRDefault="00A32753" w:rsidP="00A32753"/>
    <w:p w14:paraId="049A435D" w14:textId="244F9345" w:rsidR="00A32753" w:rsidRPr="00256D79" w:rsidRDefault="00A32753" w:rsidP="00392BC9">
      <w:pPr>
        <w:pStyle w:val="NoSpacing"/>
        <w:numPr>
          <w:ilvl w:val="1"/>
          <w:numId w:val="56"/>
        </w:numPr>
        <w:rPr>
          <w:rStyle w:val="italic"/>
        </w:rPr>
      </w:pPr>
      <w:r w:rsidRPr="00A27CEB">
        <w:rPr>
          <w:rStyle w:val="verdana"/>
          <w:b/>
        </w:rPr>
        <w:t>Where the document is read out in open Court</w:t>
      </w:r>
      <w:r>
        <w:rPr>
          <w:rStyle w:val="verdana"/>
        </w:rPr>
        <w:t xml:space="preserve"> </w:t>
      </w:r>
      <w:r w:rsidR="009A5B45">
        <w:rPr>
          <w:rStyle w:val="verdana"/>
        </w:rPr>
        <w:t>–</w:t>
      </w:r>
      <w:r>
        <w:rPr>
          <w:rStyle w:val="verdana"/>
        </w:rPr>
        <w:t xml:space="preserve"> </w:t>
      </w:r>
      <w:bookmarkStart w:id="1" w:name="COE.25255.ANT5G"/>
      <w:bookmarkEnd w:id="1"/>
      <w:r w:rsidRPr="00256D79">
        <w:rPr>
          <w:rStyle w:val="italic"/>
          <w:i/>
        </w:rPr>
        <w:t>Gotha City v Sotheby's</w:t>
      </w:r>
    </w:p>
    <w:p w14:paraId="2D16E9EE" w14:textId="77777777" w:rsidR="00A32753" w:rsidRDefault="00A32753" w:rsidP="00942FB3">
      <w:pPr>
        <w:pStyle w:val="NoSpacing"/>
        <w:rPr>
          <w:rStyle w:val="verdana"/>
        </w:rPr>
      </w:pPr>
    </w:p>
    <w:p w14:paraId="63190A34" w14:textId="51F719E0" w:rsidR="00A32753" w:rsidRDefault="00A32753" w:rsidP="00392BC9">
      <w:pPr>
        <w:pStyle w:val="NoSpacing"/>
        <w:numPr>
          <w:ilvl w:val="1"/>
          <w:numId w:val="56"/>
        </w:numPr>
        <w:rPr>
          <w:rStyle w:val="verdana"/>
        </w:rPr>
      </w:pPr>
      <w:r w:rsidRPr="00A27CEB">
        <w:rPr>
          <w:rStyle w:val="verdana"/>
          <w:b/>
        </w:rPr>
        <w:t>Discussion takes place in the presence of a third party</w:t>
      </w:r>
      <w:r>
        <w:rPr>
          <w:rStyle w:val="verdana"/>
        </w:rPr>
        <w:t xml:space="preserve"> </w:t>
      </w:r>
      <w:r w:rsidR="009A5B45">
        <w:rPr>
          <w:rStyle w:val="verdana"/>
        </w:rPr>
        <w:t>–</w:t>
      </w:r>
      <w:r>
        <w:rPr>
          <w:rStyle w:val="verdana"/>
        </w:rPr>
        <w:t xml:space="preserve"> </w:t>
      </w:r>
      <w:bookmarkStart w:id="2" w:name="COE.25255.ANT1"/>
      <w:bookmarkEnd w:id="2"/>
      <w:r w:rsidRPr="00256D79">
        <w:rPr>
          <w:rStyle w:val="italic"/>
          <w:i/>
        </w:rPr>
        <w:t>Re Griffin</w:t>
      </w:r>
    </w:p>
    <w:p w14:paraId="52A95650" w14:textId="77777777" w:rsidR="00A32753" w:rsidRDefault="00A32753" w:rsidP="00942FB3">
      <w:pPr>
        <w:pStyle w:val="NoSpacing"/>
        <w:rPr>
          <w:rStyle w:val="verdana"/>
        </w:rPr>
      </w:pPr>
    </w:p>
    <w:p w14:paraId="45612AB5" w14:textId="5098D524" w:rsidR="00A32753" w:rsidRDefault="00A32753" w:rsidP="00392BC9">
      <w:pPr>
        <w:pStyle w:val="NoSpacing"/>
        <w:numPr>
          <w:ilvl w:val="1"/>
          <w:numId w:val="56"/>
        </w:numPr>
        <w:rPr>
          <w:rStyle w:val="verdana"/>
        </w:rPr>
      </w:pPr>
      <w:r w:rsidRPr="00A27CEB">
        <w:rPr>
          <w:rStyle w:val="verdana"/>
          <w:b/>
        </w:rPr>
        <w:t xml:space="preserve">Discussion takes place in the presence of </w:t>
      </w:r>
      <w:proofErr w:type="spellStart"/>
      <w:r w:rsidRPr="00A27CEB">
        <w:rPr>
          <w:rStyle w:val="verdana"/>
          <w:b/>
        </w:rPr>
        <w:t>a</w:t>
      </w:r>
      <w:proofErr w:type="spellEnd"/>
      <w:r w:rsidRPr="00A27CEB">
        <w:rPr>
          <w:rStyle w:val="verdana"/>
          <w:b/>
        </w:rPr>
        <w:t xml:space="preserve"> adverse witness</w:t>
      </w:r>
      <w:r>
        <w:rPr>
          <w:rStyle w:val="verdana"/>
        </w:rPr>
        <w:t xml:space="preserve"> </w:t>
      </w:r>
      <w:r w:rsidR="009A5B45">
        <w:rPr>
          <w:rStyle w:val="verdana"/>
        </w:rPr>
        <w:t>–</w:t>
      </w:r>
      <w:r>
        <w:rPr>
          <w:rStyle w:val="verdana"/>
        </w:rPr>
        <w:t xml:space="preserve"> </w:t>
      </w:r>
      <w:bookmarkStart w:id="3" w:name="COE.25255.ANT2"/>
      <w:bookmarkEnd w:id="3"/>
      <w:r w:rsidRPr="00256D79">
        <w:rPr>
          <w:rStyle w:val="italic"/>
          <w:i/>
        </w:rPr>
        <w:t>Jamison v GIO</w:t>
      </w:r>
    </w:p>
    <w:p w14:paraId="3BB02DF5" w14:textId="77777777" w:rsidR="00A32753" w:rsidRDefault="00A32753" w:rsidP="00942FB3">
      <w:pPr>
        <w:pStyle w:val="NoSpacing"/>
        <w:rPr>
          <w:rStyle w:val="verdana"/>
        </w:rPr>
      </w:pPr>
    </w:p>
    <w:p w14:paraId="70DFDF6D" w14:textId="2E13EE3E" w:rsidR="00A32753" w:rsidRDefault="00A32753" w:rsidP="00392BC9">
      <w:pPr>
        <w:pStyle w:val="NoSpacing"/>
        <w:numPr>
          <w:ilvl w:val="1"/>
          <w:numId w:val="56"/>
        </w:numPr>
        <w:rPr>
          <w:rStyle w:val="verdana"/>
        </w:rPr>
      </w:pPr>
      <w:r w:rsidRPr="00A27CEB">
        <w:rPr>
          <w:rStyle w:val="verdana"/>
          <w:b/>
        </w:rPr>
        <w:t>The document has been made available to the other party to an action by order of the court</w:t>
      </w:r>
      <w:r>
        <w:rPr>
          <w:rStyle w:val="verdana"/>
        </w:rPr>
        <w:t xml:space="preserve"> </w:t>
      </w:r>
      <w:r w:rsidR="009A5B45">
        <w:rPr>
          <w:rStyle w:val="verdana"/>
        </w:rPr>
        <w:t>–</w:t>
      </w:r>
      <w:r>
        <w:rPr>
          <w:rStyle w:val="verdana"/>
        </w:rPr>
        <w:t xml:space="preserve"> </w:t>
      </w:r>
      <w:bookmarkStart w:id="4" w:name="COE.25255.ANT3"/>
      <w:bookmarkEnd w:id="4"/>
      <w:r w:rsidRPr="00256D79">
        <w:rPr>
          <w:rStyle w:val="italic"/>
          <w:i/>
        </w:rPr>
        <w:t>Warner v Women's Hospital</w:t>
      </w:r>
    </w:p>
    <w:p w14:paraId="578B471E" w14:textId="77777777" w:rsidR="00A32753" w:rsidRDefault="00A32753" w:rsidP="00942FB3">
      <w:pPr>
        <w:pStyle w:val="NoSpacing"/>
        <w:rPr>
          <w:rStyle w:val="verdana"/>
        </w:rPr>
      </w:pPr>
    </w:p>
    <w:p w14:paraId="153420BE" w14:textId="30C89FBF" w:rsidR="00A32753" w:rsidRDefault="00A32753" w:rsidP="00392BC9">
      <w:pPr>
        <w:pStyle w:val="NoSpacing"/>
        <w:numPr>
          <w:ilvl w:val="1"/>
          <w:numId w:val="56"/>
        </w:numPr>
        <w:rPr>
          <w:rStyle w:val="verdana"/>
        </w:rPr>
      </w:pPr>
      <w:r w:rsidRPr="00A27CEB">
        <w:rPr>
          <w:rStyle w:val="verdana"/>
          <w:b/>
        </w:rPr>
        <w:t>Evidence may be given of its substance</w:t>
      </w:r>
      <w:r>
        <w:rPr>
          <w:rStyle w:val="verdana"/>
        </w:rPr>
        <w:t xml:space="preserve"> </w:t>
      </w:r>
      <w:r w:rsidR="009A5B45">
        <w:rPr>
          <w:rStyle w:val="verdana"/>
        </w:rPr>
        <w:t>–</w:t>
      </w:r>
      <w:r>
        <w:rPr>
          <w:rStyle w:val="verdana"/>
        </w:rPr>
        <w:t xml:space="preserve"> </w:t>
      </w:r>
      <w:r w:rsidRPr="00256D79">
        <w:rPr>
          <w:rStyle w:val="italic"/>
          <w:i/>
        </w:rPr>
        <w:t xml:space="preserve">Bruce v </w:t>
      </w:r>
      <w:proofErr w:type="spellStart"/>
      <w:r w:rsidRPr="00256D79">
        <w:rPr>
          <w:rStyle w:val="italic"/>
          <w:i/>
        </w:rPr>
        <w:t>Ligar</w:t>
      </w:r>
      <w:proofErr w:type="spellEnd"/>
    </w:p>
    <w:p w14:paraId="0BD8E082" w14:textId="77777777" w:rsidR="00A32753" w:rsidRDefault="00A32753" w:rsidP="00942FB3">
      <w:pPr>
        <w:pStyle w:val="NoSpacing"/>
        <w:rPr>
          <w:rStyle w:val="verdana"/>
        </w:rPr>
      </w:pPr>
    </w:p>
    <w:p w14:paraId="1A2999A5" w14:textId="28612428" w:rsidR="00A32753" w:rsidRDefault="00A32753" w:rsidP="00392BC9">
      <w:pPr>
        <w:pStyle w:val="NoSpacing"/>
        <w:numPr>
          <w:ilvl w:val="1"/>
          <w:numId w:val="56"/>
        </w:numPr>
        <w:rPr>
          <w:rStyle w:val="verdana"/>
        </w:rPr>
      </w:pPr>
      <w:r w:rsidRPr="00A27CEB">
        <w:rPr>
          <w:rStyle w:val="verdana"/>
          <w:b/>
        </w:rPr>
        <w:t>Merely record what took place in open court</w:t>
      </w:r>
      <w:r>
        <w:rPr>
          <w:rStyle w:val="verdana"/>
        </w:rPr>
        <w:t xml:space="preserve"> </w:t>
      </w:r>
      <w:r w:rsidR="009A5B45">
        <w:rPr>
          <w:rStyle w:val="verdana"/>
        </w:rPr>
        <w:t>–</w:t>
      </w:r>
      <w:r>
        <w:rPr>
          <w:rStyle w:val="verdana"/>
        </w:rPr>
        <w:t xml:space="preserve"> </w:t>
      </w:r>
      <w:proofErr w:type="spellStart"/>
      <w:r w:rsidRPr="00256D79">
        <w:rPr>
          <w:rStyle w:val="italic"/>
          <w:i/>
        </w:rPr>
        <w:t>Nicholl</w:t>
      </w:r>
      <w:proofErr w:type="spellEnd"/>
      <w:r w:rsidRPr="00256D79">
        <w:rPr>
          <w:rStyle w:val="italic"/>
          <w:i/>
        </w:rPr>
        <w:t xml:space="preserve"> v Jones</w:t>
      </w:r>
    </w:p>
    <w:p w14:paraId="48F80E2E" w14:textId="77777777" w:rsidR="00A32753" w:rsidRDefault="00A32753" w:rsidP="00942FB3">
      <w:pPr>
        <w:pStyle w:val="NoSpacing"/>
        <w:rPr>
          <w:rStyle w:val="verdana"/>
        </w:rPr>
      </w:pPr>
    </w:p>
    <w:p w14:paraId="6F44E03C" w14:textId="012554FF" w:rsidR="00A32753" w:rsidRDefault="00A32753" w:rsidP="00392BC9">
      <w:pPr>
        <w:pStyle w:val="NoSpacing"/>
        <w:numPr>
          <w:ilvl w:val="1"/>
          <w:numId w:val="56"/>
        </w:numPr>
        <w:rPr>
          <w:rStyle w:val="verdana"/>
        </w:rPr>
      </w:pPr>
      <w:r w:rsidRPr="00A27CEB">
        <w:rPr>
          <w:rStyle w:val="verdana"/>
          <w:b/>
        </w:rPr>
        <w:t>Judges' chambers</w:t>
      </w:r>
      <w:r>
        <w:rPr>
          <w:rStyle w:val="verdana"/>
        </w:rPr>
        <w:t xml:space="preserve"> </w:t>
      </w:r>
      <w:r w:rsidR="009A5B45">
        <w:rPr>
          <w:rStyle w:val="verdana"/>
        </w:rPr>
        <w:t>–</w:t>
      </w:r>
      <w:r>
        <w:rPr>
          <w:rStyle w:val="verdana"/>
        </w:rPr>
        <w:t xml:space="preserve"> </w:t>
      </w:r>
      <w:r w:rsidRPr="00256D79">
        <w:rPr>
          <w:rStyle w:val="italic"/>
          <w:i/>
        </w:rPr>
        <w:t>Ainsworth v Wilding</w:t>
      </w:r>
    </w:p>
    <w:p w14:paraId="405B62B8" w14:textId="77777777" w:rsidR="00A32753" w:rsidRDefault="00A32753" w:rsidP="00942FB3">
      <w:pPr>
        <w:pStyle w:val="NoSpacing"/>
        <w:rPr>
          <w:rStyle w:val="verdana"/>
        </w:rPr>
      </w:pPr>
    </w:p>
    <w:p w14:paraId="0CE70F87" w14:textId="2A015E58" w:rsidR="00A32753" w:rsidRDefault="00A32753" w:rsidP="00392BC9">
      <w:pPr>
        <w:pStyle w:val="NoSpacing"/>
        <w:numPr>
          <w:ilvl w:val="1"/>
          <w:numId w:val="56"/>
        </w:numPr>
        <w:rPr>
          <w:rStyle w:val="verdana"/>
        </w:rPr>
      </w:pPr>
      <w:r w:rsidRPr="00A27CEB">
        <w:rPr>
          <w:rStyle w:val="verdana"/>
          <w:b/>
        </w:rPr>
        <w:t>In an arbitration</w:t>
      </w:r>
      <w:r>
        <w:rPr>
          <w:rStyle w:val="verdana"/>
        </w:rPr>
        <w:t xml:space="preserve"> </w:t>
      </w:r>
      <w:r w:rsidR="009A5B45">
        <w:rPr>
          <w:rStyle w:val="verdana"/>
        </w:rPr>
        <w:t>–</w:t>
      </w:r>
      <w:r>
        <w:rPr>
          <w:rStyle w:val="verdana"/>
        </w:rPr>
        <w:t xml:space="preserve"> </w:t>
      </w:r>
      <w:proofErr w:type="spellStart"/>
      <w:r w:rsidRPr="00256D79">
        <w:rPr>
          <w:rStyle w:val="italic"/>
          <w:i/>
        </w:rPr>
        <w:t>Rawstone</w:t>
      </w:r>
      <w:proofErr w:type="spellEnd"/>
      <w:r w:rsidRPr="00256D79">
        <w:rPr>
          <w:rStyle w:val="italic"/>
          <w:i/>
        </w:rPr>
        <w:t xml:space="preserve"> v Preston Corporation</w:t>
      </w:r>
    </w:p>
    <w:p w14:paraId="174B69FD" w14:textId="77777777" w:rsidR="00A32753" w:rsidRDefault="00A32753" w:rsidP="00942FB3">
      <w:pPr>
        <w:pStyle w:val="NoSpacing"/>
        <w:rPr>
          <w:rStyle w:val="verdana"/>
        </w:rPr>
      </w:pPr>
    </w:p>
    <w:p w14:paraId="432DCE60" w14:textId="6C834711" w:rsidR="00A32753" w:rsidRPr="00A46893" w:rsidRDefault="00A32753" w:rsidP="00392BC9">
      <w:pPr>
        <w:pStyle w:val="NoSpacing"/>
        <w:numPr>
          <w:ilvl w:val="1"/>
          <w:numId w:val="56"/>
        </w:numPr>
        <w:rPr>
          <w:rStyle w:val="italic"/>
        </w:rPr>
      </w:pPr>
      <w:r w:rsidRPr="00A27CEB">
        <w:rPr>
          <w:rStyle w:val="verdana"/>
          <w:b/>
        </w:rPr>
        <w:t>In the course of taking depositions in the presence of both parties</w:t>
      </w:r>
      <w:r>
        <w:rPr>
          <w:rStyle w:val="verdana"/>
        </w:rPr>
        <w:t xml:space="preserve"> </w:t>
      </w:r>
      <w:r w:rsidR="009A5B45">
        <w:rPr>
          <w:rStyle w:val="verdana"/>
        </w:rPr>
        <w:t>–</w:t>
      </w:r>
      <w:r>
        <w:rPr>
          <w:rStyle w:val="verdana"/>
        </w:rPr>
        <w:t xml:space="preserve"> </w:t>
      </w:r>
      <w:proofErr w:type="spellStart"/>
      <w:r w:rsidRPr="00256D79">
        <w:rPr>
          <w:rStyle w:val="italic"/>
          <w:i/>
        </w:rPr>
        <w:t>Visx</w:t>
      </w:r>
      <w:proofErr w:type="spellEnd"/>
      <w:r w:rsidRPr="00256D79">
        <w:rPr>
          <w:rStyle w:val="italic"/>
          <w:i/>
        </w:rPr>
        <w:t xml:space="preserve"> </w:t>
      </w:r>
      <w:proofErr w:type="spellStart"/>
      <w:r w:rsidRPr="00256D79">
        <w:rPr>
          <w:rStyle w:val="italic"/>
          <w:i/>
        </w:rPr>
        <w:t>Inc</w:t>
      </w:r>
      <w:proofErr w:type="spellEnd"/>
      <w:r w:rsidRPr="00256D79">
        <w:rPr>
          <w:rStyle w:val="italic"/>
          <w:i/>
        </w:rPr>
        <w:t xml:space="preserve"> v </w:t>
      </w:r>
      <w:proofErr w:type="spellStart"/>
      <w:r w:rsidRPr="00256D79">
        <w:rPr>
          <w:rStyle w:val="italic"/>
          <w:i/>
        </w:rPr>
        <w:t>Nidex</w:t>
      </w:r>
      <w:proofErr w:type="spellEnd"/>
      <w:r w:rsidRPr="00256D79">
        <w:rPr>
          <w:rStyle w:val="italic"/>
          <w:i/>
        </w:rPr>
        <w:t xml:space="preserve"> Co</w:t>
      </w:r>
    </w:p>
    <w:p w14:paraId="4F530CF2" w14:textId="77777777" w:rsidR="00A32753" w:rsidRDefault="00A32753" w:rsidP="00942FB3">
      <w:pPr>
        <w:pStyle w:val="NoSpacing"/>
      </w:pPr>
    </w:p>
    <w:p w14:paraId="4024721C" w14:textId="563663D0" w:rsidR="00A32753" w:rsidRPr="00F4322B" w:rsidRDefault="00A32753" w:rsidP="00392BC9">
      <w:pPr>
        <w:pStyle w:val="NoSpacing"/>
        <w:numPr>
          <w:ilvl w:val="1"/>
          <w:numId w:val="56"/>
        </w:numPr>
      </w:pPr>
      <w:r w:rsidRPr="00942FB3">
        <w:rPr>
          <w:b/>
        </w:rPr>
        <w:t>Taped recording merely to record conversion</w:t>
      </w:r>
      <w:r>
        <w:t xml:space="preserve"> </w:t>
      </w:r>
      <w:r w:rsidR="009A5B45">
        <w:t>–</w:t>
      </w:r>
      <w:r>
        <w:t xml:space="preserve"> </w:t>
      </w:r>
      <w:r w:rsidRPr="00A46893">
        <w:rPr>
          <w:rStyle w:val="italic"/>
          <w:i/>
        </w:rPr>
        <w:t>Parry v News Group Newspapers Ltd</w:t>
      </w:r>
    </w:p>
    <w:p w14:paraId="513A7FFA" w14:textId="77777777" w:rsidR="00A32753" w:rsidRDefault="00A32753" w:rsidP="00A32753"/>
    <w:p w14:paraId="4C4C7190" w14:textId="2F11A952" w:rsidR="00A32753" w:rsidRPr="00A37992" w:rsidRDefault="00A32753" w:rsidP="00392BC9">
      <w:pPr>
        <w:pStyle w:val="ListParagraph"/>
        <w:numPr>
          <w:ilvl w:val="0"/>
          <w:numId w:val="56"/>
        </w:numPr>
        <w:rPr>
          <w:i/>
        </w:rPr>
      </w:pPr>
      <w:r w:rsidRPr="00A37992">
        <w:rPr>
          <w:i/>
        </w:rPr>
        <w:t>Breach of Confidence</w:t>
      </w:r>
    </w:p>
    <w:p w14:paraId="2BAD6FB0" w14:textId="77777777" w:rsidR="00A32753" w:rsidRPr="00256D79" w:rsidRDefault="00A32753" w:rsidP="00A32753"/>
    <w:p w14:paraId="37A28CA1" w14:textId="131674DA" w:rsidR="00A32753" w:rsidRDefault="003B454E" w:rsidP="00392BC9">
      <w:pPr>
        <w:pStyle w:val="ListParagraph"/>
        <w:numPr>
          <w:ilvl w:val="1"/>
          <w:numId w:val="56"/>
        </w:numPr>
        <w:rPr>
          <w:rStyle w:val="verdana"/>
        </w:rPr>
      </w:pPr>
      <w:r>
        <w:rPr>
          <w:rStyle w:val="verdana"/>
          <w:i/>
        </w:rPr>
        <w:t xml:space="preserve">Injunctive Relief – </w:t>
      </w:r>
      <w:r w:rsidR="00A32753">
        <w:rPr>
          <w:rStyle w:val="verdana"/>
        </w:rPr>
        <w:t xml:space="preserve">Where copies of a privileged document are obtained through breach of confidence by the solicitor the court may grant an injunction to restrain their use in subsequent proceedings or otherwise by an extension of its power to prevent the disclosure of trade secrets. </w:t>
      </w:r>
    </w:p>
    <w:p w14:paraId="71F9C039" w14:textId="77777777" w:rsidR="00A32753" w:rsidRDefault="00A32753" w:rsidP="00A32753">
      <w:pPr>
        <w:rPr>
          <w:rStyle w:val="verdana"/>
        </w:rPr>
      </w:pPr>
    </w:p>
    <w:p w14:paraId="15502C57" w14:textId="77777777" w:rsidR="00A32753" w:rsidRPr="00256D79" w:rsidRDefault="00A32753" w:rsidP="00392BC9">
      <w:pPr>
        <w:pStyle w:val="ListParagraph"/>
        <w:numPr>
          <w:ilvl w:val="2"/>
          <w:numId w:val="56"/>
        </w:numPr>
      </w:pPr>
      <w:r>
        <w:rPr>
          <w:rStyle w:val="verdana"/>
        </w:rPr>
        <w:t>The application of this principle to the perfidious breach of confidential communications between legal advisers and clients leads to the paradox that, while an injunction may be available in separate proceedings, the court will not prevent the use of such improperly obtained copies as evidence in civil proceedings in which they are incidentally relevant.</w:t>
      </w:r>
    </w:p>
    <w:p w14:paraId="3FC1D328" w14:textId="77777777" w:rsidR="00A32753" w:rsidRDefault="00A32753" w:rsidP="00A32753"/>
    <w:p w14:paraId="09CE7F4D" w14:textId="77777777" w:rsidR="00A32753" w:rsidRDefault="00A32753" w:rsidP="00A32753"/>
    <w:p w14:paraId="51F65150" w14:textId="77777777" w:rsidR="00A32753" w:rsidRDefault="00A32753" w:rsidP="00A32753"/>
    <w:p w14:paraId="719A4792" w14:textId="77777777" w:rsidR="00A32753" w:rsidRDefault="00A32753" w:rsidP="00A32753"/>
    <w:p w14:paraId="46B8A041" w14:textId="77777777" w:rsidR="00A32753" w:rsidRDefault="00A32753" w:rsidP="00A32753"/>
    <w:p w14:paraId="05D25AAA" w14:textId="77777777" w:rsidR="00E32C84" w:rsidRDefault="00E32C84" w:rsidP="00A32753">
      <w:pPr>
        <w:pStyle w:val="NoSpacing"/>
        <w:rPr>
          <w:b/>
          <w:i/>
        </w:rPr>
      </w:pPr>
    </w:p>
    <w:p w14:paraId="3C075242" w14:textId="2C6FD351" w:rsidR="00A32753" w:rsidRPr="009C5A93" w:rsidRDefault="00C01A86" w:rsidP="00A32753">
      <w:pPr>
        <w:pStyle w:val="NoSpacing"/>
        <w:rPr>
          <w:b/>
          <w:i/>
        </w:rPr>
      </w:pPr>
      <w:r>
        <w:rPr>
          <w:b/>
          <w:i/>
        </w:rPr>
        <w:t>**</w:t>
      </w:r>
      <w:r w:rsidR="00A32753" w:rsidRPr="009C5A93">
        <w:rPr>
          <w:b/>
          <w:i/>
        </w:rPr>
        <w:t>Examination by the Court</w:t>
      </w:r>
    </w:p>
    <w:p w14:paraId="7FEB947A" w14:textId="77777777" w:rsidR="00A32753" w:rsidRDefault="00A32753" w:rsidP="00A32753">
      <w:pPr>
        <w:pStyle w:val="NoSpacing"/>
        <w:rPr>
          <w:b/>
          <w:i/>
        </w:rPr>
      </w:pPr>
    </w:p>
    <w:p w14:paraId="0BAC0722" w14:textId="4B62526B" w:rsidR="00A32753" w:rsidRDefault="0038268D" w:rsidP="00392BC9">
      <w:pPr>
        <w:pStyle w:val="NoSpacing"/>
        <w:numPr>
          <w:ilvl w:val="0"/>
          <w:numId w:val="57"/>
        </w:numPr>
      </w:pPr>
      <w:r>
        <w:rPr>
          <w:i/>
        </w:rPr>
        <w:t xml:space="preserve">Power to Inspect – </w:t>
      </w:r>
      <w:r w:rsidR="00A32753">
        <w:t xml:space="preserve">The court can inspect disputed documents for the purpose of determining whether legal professional privilege has been established and the document should bound by such a privilege as per </w:t>
      </w:r>
      <w:r w:rsidR="00A32753" w:rsidRPr="00F20823">
        <w:rPr>
          <w:i/>
        </w:rPr>
        <w:t>Grant v Downs</w:t>
      </w:r>
      <w:r w:rsidR="00A32753" w:rsidRPr="00F20823">
        <w:t> (1976) 135 CLR 674</w:t>
      </w:r>
      <w:r w:rsidR="00A32753">
        <w:t xml:space="preserve">. </w:t>
      </w:r>
    </w:p>
    <w:p w14:paraId="619A4BBC" w14:textId="77777777" w:rsidR="00A32753" w:rsidRDefault="00A32753" w:rsidP="00A32753">
      <w:pPr>
        <w:pStyle w:val="NoSpacing"/>
      </w:pPr>
    </w:p>
    <w:p w14:paraId="7758E810" w14:textId="77777777" w:rsidR="00300E8B" w:rsidRDefault="00041847" w:rsidP="00392BC9">
      <w:pPr>
        <w:pStyle w:val="NoSpacing"/>
        <w:numPr>
          <w:ilvl w:val="0"/>
          <w:numId w:val="57"/>
        </w:numPr>
      </w:pPr>
      <w:r>
        <w:rPr>
          <w:i/>
        </w:rPr>
        <w:t xml:space="preserve">Burden rests with alleging Party – </w:t>
      </w:r>
      <w:r w:rsidR="00A32753">
        <w:t xml:space="preserve">The burden of establishing that the document is privilege rests on the party alleging that it is and such a burden can be established by referring to the contents of the document and the manner in which the document was created as per </w:t>
      </w:r>
      <w:r w:rsidR="00A32753" w:rsidRPr="00F20823">
        <w:rPr>
          <w:i/>
        </w:rPr>
        <w:t>Grant v Downs</w:t>
      </w:r>
      <w:r w:rsidR="00A32753" w:rsidRPr="00F20823">
        <w:t> (1976) 135 CLR 674</w:t>
      </w:r>
      <w:r w:rsidR="00A32753">
        <w:t>.</w:t>
      </w:r>
    </w:p>
    <w:p w14:paraId="28CBA89F" w14:textId="77777777" w:rsidR="00300E8B" w:rsidRDefault="00300E8B" w:rsidP="00300E8B">
      <w:pPr>
        <w:pStyle w:val="ListParagraph"/>
      </w:pPr>
    </w:p>
    <w:p w14:paraId="6AA42FCE" w14:textId="611B820C" w:rsidR="00A32753" w:rsidRDefault="00A32753" w:rsidP="00392BC9">
      <w:pPr>
        <w:pStyle w:val="NoSpacing"/>
        <w:numPr>
          <w:ilvl w:val="1"/>
          <w:numId w:val="57"/>
        </w:numPr>
      </w:pPr>
      <w:r>
        <w:t>A challenge to the list of the opponents documents bound by privilege can be made but must show some discrepancy other than merely relying on the affidavit as per</w:t>
      </w:r>
      <w:r w:rsidRPr="00C15E28">
        <w:t xml:space="preserve"> </w:t>
      </w:r>
      <w:r w:rsidRPr="00300E8B">
        <w:rPr>
          <w:i/>
        </w:rPr>
        <w:t xml:space="preserve">Brookes v </w:t>
      </w:r>
      <w:proofErr w:type="spellStart"/>
      <w:r w:rsidRPr="00300E8B">
        <w:rPr>
          <w:i/>
        </w:rPr>
        <w:t>Prescot</w:t>
      </w:r>
      <w:proofErr w:type="spellEnd"/>
      <w:r w:rsidRPr="00C15E28">
        <w:t> </w:t>
      </w:r>
      <w:hyperlink r:id="rId10" w:tgtFrame="_parent" w:history="1">
        <w:r w:rsidRPr="00C15E28">
          <w:t>[1948] 2 KB 133</w:t>
        </w:r>
      </w:hyperlink>
      <w:r>
        <w:t>.</w:t>
      </w:r>
    </w:p>
    <w:p w14:paraId="37CADB09" w14:textId="77777777" w:rsidR="00A32753" w:rsidRDefault="00A32753" w:rsidP="00A32753">
      <w:pPr>
        <w:rPr>
          <w:b/>
          <w:i/>
        </w:rPr>
      </w:pPr>
    </w:p>
    <w:p w14:paraId="7C41C301" w14:textId="590A9D12" w:rsidR="00A32753" w:rsidRPr="00B00284" w:rsidRDefault="00C01A86" w:rsidP="00A32753">
      <w:pPr>
        <w:rPr>
          <w:b/>
          <w:i/>
        </w:rPr>
      </w:pPr>
      <w:r>
        <w:rPr>
          <w:b/>
          <w:i/>
        </w:rPr>
        <w:t>**</w:t>
      </w:r>
      <w:r w:rsidR="00A32753" w:rsidRPr="00B00284">
        <w:rPr>
          <w:b/>
          <w:i/>
        </w:rPr>
        <w:t>Advancement of Evidence</w:t>
      </w:r>
    </w:p>
    <w:p w14:paraId="01E2FC4C" w14:textId="77777777" w:rsidR="00A32753" w:rsidRDefault="00A32753" w:rsidP="00A32753">
      <w:pPr>
        <w:rPr>
          <w:b/>
          <w:i/>
        </w:rPr>
      </w:pPr>
    </w:p>
    <w:p w14:paraId="7BF5978B" w14:textId="77777777" w:rsidR="00A32753" w:rsidRDefault="00A32753" w:rsidP="00A32753">
      <w:r>
        <w:t>Evidence is not advanced on the objection of the client if the Court finds that the advancement of such evidence would result in the disclosure of</w:t>
      </w:r>
    </w:p>
    <w:p w14:paraId="17C3A896" w14:textId="77777777" w:rsidR="00A32753" w:rsidRDefault="00A32753" w:rsidP="00A32753"/>
    <w:p w14:paraId="48273AEA" w14:textId="77777777" w:rsidR="00A32753" w:rsidRDefault="00A32753" w:rsidP="00A32753">
      <w:pPr>
        <w:pStyle w:val="ListParagraph"/>
        <w:numPr>
          <w:ilvl w:val="0"/>
          <w:numId w:val="43"/>
        </w:numPr>
      </w:pPr>
      <w:r w:rsidRPr="00182D20">
        <w:rPr>
          <w:b/>
        </w:rPr>
        <w:t>Confidential information between the client and their lawyer</w:t>
      </w:r>
      <w:r>
        <w:t>;</w:t>
      </w:r>
    </w:p>
    <w:p w14:paraId="240BF43B" w14:textId="77777777" w:rsidR="00A32753" w:rsidRDefault="00A32753" w:rsidP="00A32753">
      <w:pPr>
        <w:pStyle w:val="ListParagraph"/>
        <w:ind w:left="1080"/>
      </w:pPr>
    </w:p>
    <w:p w14:paraId="79A55160" w14:textId="77777777" w:rsidR="00A32753" w:rsidRDefault="00A32753" w:rsidP="00A32753">
      <w:pPr>
        <w:pStyle w:val="ListParagraph"/>
        <w:numPr>
          <w:ilvl w:val="0"/>
          <w:numId w:val="43"/>
        </w:numPr>
      </w:pPr>
      <w:r w:rsidRPr="00182D20">
        <w:rPr>
          <w:b/>
        </w:rPr>
        <w:t>Confidential information made between two or more lawyers acting for a client</w:t>
      </w:r>
      <w:r>
        <w:t>;</w:t>
      </w:r>
    </w:p>
    <w:p w14:paraId="562FB6D3" w14:textId="77777777" w:rsidR="00A32753" w:rsidRDefault="00A32753" w:rsidP="00A32753">
      <w:pPr>
        <w:pStyle w:val="ListParagraph"/>
        <w:ind w:left="1080"/>
      </w:pPr>
    </w:p>
    <w:p w14:paraId="7F85AC84" w14:textId="77777777" w:rsidR="00A32753" w:rsidRDefault="00A32753" w:rsidP="00A32753">
      <w:pPr>
        <w:pStyle w:val="ListParagraph"/>
        <w:numPr>
          <w:ilvl w:val="0"/>
          <w:numId w:val="43"/>
        </w:numPr>
      </w:pPr>
      <w:r w:rsidRPr="00182D20">
        <w:rPr>
          <w:b/>
        </w:rPr>
        <w:t>The contents of a document which is confidential and prepared by the client or lawyer</w:t>
      </w:r>
      <w:r>
        <w:t>.</w:t>
      </w:r>
    </w:p>
    <w:p w14:paraId="46384B6C" w14:textId="77777777" w:rsidR="00A32753" w:rsidRPr="00F31FC2" w:rsidRDefault="00A32753" w:rsidP="00A32753">
      <w:pPr>
        <w:pStyle w:val="ListParagraph"/>
        <w:ind w:left="1080"/>
      </w:pPr>
    </w:p>
    <w:p w14:paraId="78B257A8" w14:textId="77777777" w:rsidR="00A32753" w:rsidRDefault="00A32753" w:rsidP="00A32753">
      <w:proofErr w:type="gramStart"/>
      <w:r>
        <w:t>where</w:t>
      </w:r>
      <w:proofErr w:type="gramEnd"/>
      <w:r>
        <w:t xml:space="preserve"> the lawyer is providing advice for the client as per </w:t>
      </w:r>
      <w:r w:rsidRPr="00AC2288">
        <w:rPr>
          <w:i/>
        </w:rPr>
        <w:t>Baker v Campbell</w:t>
      </w:r>
      <w:r w:rsidRPr="00AC2288">
        <w:t> (1983) 153 CLR 52</w:t>
      </w:r>
      <w:r>
        <w:t xml:space="preserve">. </w:t>
      </w:r>
    </w:p>
    <w:p w14:paraId="6CD9B7AC" w14:textId="77777777" w:rsidR="00A32753" w:rsidRPr="00256D79" w:rsidRDefault="00A32753" w:rsidP="00A32753"/>
    <w:p w14:paraId="7768340C" w14:textId="0738A2CB" w:rsidR="00A32753" w:rsidRPr="0009212A" w:rsidRDefault="00C01A86" w:rsidP="00A32753">
      <w:pPr>
        <w:rPr>
          <w:b/>
          <w:i/>
        </w:rPr>
      </w:pPr>
      <w:r>
        <w:rPr>
          <w:b/>
          <w:i/>
        </w:rPr>
        <w:t>**</w:t>
      </w:r>
      <w:r w:rsidR="00A32753" w:rsidRPr="0009212A">
        <w:rPr>
          <w:b/>
          <w:i/>
        </w:rPr>
        <w:t>Police Search Warrant</w:t>
      </w:r>
    </w:p>
    <w:p w14:paraId="73A1A638" w14:textId="77777777" w:rsidR="00A32753" w:rsidRDefault="00A32753" w:rsidP="00A32753">
      <w:pPr>
        <w:rPr>
          <w:b/>
          <w:i/>
        </w:rPr>
      </w:pPr>
    </w:p>
    <w:p w14:paraId="1B72A7E9" w14:textId="39662FCA" w:rsidR="00A32753" w:rsidRDefault="00A32753" w:rsidP="00A32753">
      <w:r>
        <w:t xml:space="preserve">In </w:t>
      </w:r>
      <w:r>
        <w:rPr>
          <w:i/>
        </w:rPr>
        <w:t>Baker v Campbell</w:t>
      </w:r>
      <w:r>
        <w:t xml:space="preserve">, it was stated by Murphy J – supported by Dawson J </w:t>
      </w:r>
      <w:r w:rsidR="009A5B45">
        <w:t>–</w:t>
      </w:r>
      <w:r>
        <w:t xml:space="preserve"> that</w:t>
      </w:r>
    </w:p>
    <w:p w14:paraId="18A048F9" w14:textId="77777777" w:rsidR="00A32753" w:rsidRDefault="00A32753" w:rsidP="00A32753"/>
    <w:p w14:paraId="581C3C31" w14:textId="77777777" w:rsidR="00A32753" w:rsidRPr="003448C7" w:rsidRDefault="00A32753" w:rsidP="00A32753">
      <w:pPr>
        <w:rPr>
          <w:i/>
        </w:rPr>
      </w:pPr>
      <w:r>
        <w:tab/>
      </w:r>
      <w:r>
        <w:rPr>
          <w:i/>
        </w:rPr>
        <w:t>‘</w:t>
      </w:r>
      <w:proofErr w:type="gramStart"/>
      <w:r>
        <w:rPr>
          <w:i/>
        </w:rPr>
        <w:t>individuals</w:t>
      </w:r>
      <w:proofErr w:type="gramEnd"/>
      <w:r>
        <w:rPr>
          <w:i/>
        </w:rPr>
        <w:t xml:space="preserve"> should be able to seek and obtain legal advice and legal assistance for innocent purposes, without the fear that what has been prepared </w:t>
      </w:r>
      <w:proofErr w:type="spellStart"/>
      <w:r>
        <w:rPr>
          <w:i/>
        </w:rPr>
        <w:t>soly</w:t>
      </w:r>
      <w:proofErr w:type="spellEnd"/>
      <w:r>
        <w:rPr>
          <w:i/>
        </w:rPr>
        <w:t xml:space="preserve"> for that advice or assistance may be search or sized under warrant. Denying the privilege against a search warrant would have a minimal effect in securing convictions but a major damaging effect on the relationship between the legal profession and clients’</w:t>
      </w:r>
    </w:p>
    <w:p w14:paraId="4E3E056F" w14:textId="77777777" w:rsidR="00A32753" w:rsidRDefault="00A32753" w:rsidP="00A32753"/>
    <w:p w14:paraId="3C6340CD" w14:textId="77777777" w:rsidR="00A32753" w:rsidRDefault="00A32753" w:rsidP="00A32753">
      <w:r>
        <w:t>Thus, as further stated by Murphy J</w:t>
      </w:r>
    </w:p>
    <w:p w14:paraId="46B9CB45" w14:textId="77777777" w:rsidR="00A32753" w:rsidRDefault="00A32753" w:rsidP="00A32753"/>
    <w:p w14:paraId="60B7E4E4" w14:textId="72A0CDE1" w:rsidR="00A32753" w:rsidRPr="00BC23D6" w:rsidRDefault="00A32753" w:rsidP="00A32753">
      <w:pPr>
        <w:ind w:left="720"/>
        <w:rPr>
          <w:i/>
        </w:rPr>
      </w:pPr>
      <w:r>
        <w:rPr>
          <w:i/>
        </w:rPr>
        <w:t>‘</w:t>
      </w:r>
      <w:proofErr w:type="gramStart"/>
      <w:r>
        <w:rPr>
          <w:i/>
        </w:rPr>
        <w:t>parties</w:t>
      </w:r>
      <w:proofErr w:type="gramEnd"/>
      <w:r>
        <w:rPr>
          <w:i/>
        </w:rPr>
        <w:t xml:space="preserve"> should be able to prepare for litigation without that preparation being subject to search and seizure. This protection should apply not only to client</w:t>
      </w:r>
      <w:r w:rsidR="009A5B45">
        <w:rPr>
          <w:i/>
        </w:rPr>
        <w:t>–</w:t>
      </w:r>
      <w:r>
        <w:rPr>
          <w:i/>
        </w:rPr>
        <w:t>lawyer communications but also to preparation by a litigant in person, and the communications between the litigant and others.’</w:t>
      </w:r>
    </w:p>
    <w:p w14:paraId="09D4DBF8" w14:textId="77777777" w:rsidR="00A32753" w:rsidRPr="00256D79" w:rsidRDefault="00A32753" w:rsidP="00A32753"/>
    <w:p w14:paraId="4607641A" w14:textId="77777777" w:rsidR="00A32753" w:rsidRDefault="00A32753" w:rsidP="00A32753">
      <w:pPr>
        <w:rPr>
          <w:b/>
          <w:i/>
        </w:rPr>
      </w:pPr>
    </w:p>
    <w:p w14:paraId="24981D54" w14:textId="77777777" w:rsidR="00A32753" w:rsidRDefault="00A32753" w:rsidP="00A32753">
      <w:pPr>
        <w:rPr>
          <w:b/>
          <w:i/>
        </w:rPr>
      </w:pPr>
    </w:p>
    <w:p w14:paraId="60CB038A" w14:textId="22CA04C3" w:rsidR="00A32753" w:rsidRPr="00E13417" w:rsidRDefault="00C01A86" w:rsidP="00A32753">
      <w:pPr>
        <w:tabs>
          <w:tab w:val="left" w:pos="2310"/>
        </w:tabs>
        <w:rPr>
          <w:b/>
          <w:i/>
        </w:rPr>
      </w:pPr>
      <w:r>
        <w:rPr>
          <w:b/>
          <w:i/>
        </w:rPr>
        <w:lastRenderedPageBreak/>
        <w:t>**</w:t>
      </w:r>
      <w:r w:rsidR="00A32753" w:rsidRPr="00E13417">
        <w:rPr>
          <w:b/>
          <w:i/>
        </w:rPr>
        <w:t>Re communication or Reformulation</w:t>
      </w:r>
    </w:p>
    <w:p w14:paraId="67539F45" w14:textId="77777777" w:rsidR="00A32753" w:rsidRDefault="00A32753" w:rsidP="00A32753">
      <w:pPr>
        <w:pStyle w:val="NoSpacing"/>
        <w:rPr>
          <w:i/>
        </w:rPr>
      </w:pPr>
    </w:p>
    <w:p w14:paraId="0E12079D" w14:textId="106F9308" w:rsidR="00A32753" w:rsidRDefault="00A32753" w:rsidP="00A32753">
      <w:pPr>
        <w:pStyle w:val="NoSpacing"/>
        <w:rPr>
          <w:rStyle w:val="italic"/>
        </w:rPr>
      </w:pPr>
      <w:r w:rsidRPr="00483FDB">
        <w:rPr>
          <w:rStyle w:val="verdana"/>
        </w:rPr>
        <w:t>The re</w:t>
      </w:r>
      <w:r w:rsidR="009A5B45">
        <w:rPr>
          <w:rStyle w:val="verdana"/>
        </w:rPr>
        <w:t>–</w:t>
      </w:r>
      <w:r w:rsidRPr="00483FDB">
        <w:rPr>
          <w:rStyle w:val="verdana"/>
        </w:rPr>
        <w:t xml:space="preserve">formulation or reproduction in another document of an original communication that is subject to legal professional privilege does not deprive the second document of the protection notwithstanding that the copied or subsequent document was not specifically created for the dominant purpose of “the obtaining legal advice or for use in litigation” has also been recognised in </w:t>
      </w:r>
      <w:r w:rsidRPr="00483FDB">
        <w:rPr>
          <w:rStyle w:val="italic"/>
          <w:i/>
        </w:rPr>
        <w:t xml:space="preserve">State Bank of South Australia v </w:t>
      </w:r>
      <w:proofErr w:type="spellStart"/>
      <w:r w:rsidRPr="00483FDB">
        <w:rPr>
          <w:rStyle w:val="italic"/>
          <w:i/>
        </w:rPr>
        <w:t>Smoothdale</w:t>
      </w:r>
      <w:proofErr w:type="spellEnd"/>
      <w:r w:rsidRPr="00483FDB">
        <w:rPr>
          <w:rStyle w:val="italic"/>
          <w:i/>
        </w:rPr>
        <w:t xml:space="preserve"> (No 2) Ltd</w:t>
      </w:r>
      <w:r>
        <w:rPr>
          <w:rStyle w:val="italic"/>
        </w:rPr>
        <w:t xml:space="preserve"> and. </w:t>
      </w:r>
    </w:p>
    <w:p w14:paraId="64BADAF0" w14:textId="77777777" w:rsidR="00A32753" w:rsidRDefault="00A32753" w:rsidP="00A32753">
      <w:pPr>
        <w:pStyle w:val="NoSpacing"/>
        <w:rPr>
          <w:rStyle w:val="italic"/>
        </w:rPr>
      </w:pPr>
    </w:p>
    <w:p w14:paraId="6F6E1F46" w14:textId="77777777" w:rsidR="00A32753" w:rsidRPr="00483FDB" w:rsidRDefault="00A32753" w:rsidP="00A32753">
      <w:pPr>
        <w:pStyle w:val="NoSpacing"/>
      </w:pPr>
      <w:r>
        <w:rPr>
          <w:rStyle w:val="italic"/>
        </w:rPr>
        <w:t xml:space="preserve">In </w:t>
      </w:r>
      <w:r>
        <w:rPr>
          <w:rFonts w:eastAsia="Calibri" w:cs="Times New Roman"/>
        </w:rPr>
        <w:t xml:space="preserve">See </w:t>
      </w:r>
      <w:r>
        <w:rPr>
          <w:rFonts w:eastAsia="Calibri" w:cs="Times New Roman"/>
          <w:i/>
        </w:rPr>
        <w:t xml:space="preserve">Spotless Group Ltd v Premier Building &amp; Consulting Group Pty Ltd </w:t>
      </w:r>
      <w:r>
        <w:rPr>
          <w:rFonts w:eastAsia="Calibri" w:cs="Times New Roman"/>
        </w:rPr>
        <w:t>[2006] VSCA 201</w:t>
      </w:r>
      <w:r>
        <w:t xml:space="preserve">, the Court stated </w:t>
      </w:r>
      <w:proofErr w:type="spellStart"/>
      <w:r>
        <w:t>taht</w:t>
      </w:r>
      <w:proofErr w:type="spellEnd"/>
      <w:r>
        <w:t xml:space="preserve"> </w:t>
      </w:r>
      <w:r>
        <w:rPr>
          <w:rStyle w:val="italic"/>
        </w:rPr>
        <w:t xml:space="preserve"> </w:t>
      </w:r>
    </w:p>
    <w:p w14:paraId="6EB2A475" w14:textId="77777777" w:rsidR="00A32753" w:rsidRPr="0090102A" w:rsidRDefault="00A32753" w:rsidP="00A32753">
      <w:pPr>
        <w:pStyle w:val="NoSpacing"/>
      </w:pPr>
    </w:p>
    <w:p w14:paraId="565C0939" w14:textId="4D9B8CE9" w:rsidR="00A32753" w:rsidRPr="00483FDB" w:rsidRDefault="00A32753" w:rsidP="00A32753">
      <w:pPr>
        <w:pStyle w:val="NoSpacing"/>
        <w:ind w:left="720"/>
        <w:rPr>
          <w:i/>
        </w:rPr>
      </w:pPr>
      <w:r w:rsidRPr="00483FDB">
        <w:rPr>
          <w:i/>
        </w:rPr>
        <w:t>‘</w:t>
      </w:r>
      <w:proofErr w:type="gramStart"/>
      <w:r w:rsidRPr="00483FDB">
        <w:rPr>
          <w:i/>
        </w:rPr>
        <w:t>t</w:t>
      </w:r>
      <w:r w:rsidRPr="00483FDB">
        <w:rPr>
          <w:rStyle w:val="verdana"/>
          <w:i/>
        </w:rPr>
        <w:t>he</w:t>
      </w:r>
      <w:proofErr w:type="gramEnd"/>
      <w:r w:rsidRPr="00483FDB">
        <w:rPr>
          <w:rStyle w:val="verdana"/>
          <w:i/>
        </w:rPr>
        <w:t xml:space="preserve"> relevant communication where privileged information is “re</w:t>
      </w:r>
      <w:r w:rsidR="009A5B45">
        <w:rPr>
          <w:rStyle w:val="verdana"/>
          <w:i/>
        </w:rPr>
        <w:t>–</w:t>
      </w:r>
      <w:r w:rsidRPr="00483FDB">
        <w:rPr>
          <w:rStyle w:val="verdana"/>
          <w:i/>
        </w:rPr>
        <w:t>communicated”, as it were, is not the fact or circumstance of the reformulation or re</w:t>
      </w:r>
      <w:r w:rsidR="009A5B45">
        <w:rPr>
          <w:rStyle w:val="verdana"/>
          <w:i/>
        </w:rPr>
        <w:t>–</w:t>
      </w:r>
      <w:r w:rsidRPr="00483FDB">
        <w:rPr>
          <w:rStyle w:val="verdana"/>
          <w:i/>
        </w:rPr>
        <w:t>communication but rather the communication giving rise to the privilege in the first instance.’</w:t>
      </w:r>
    </w:p>
    <w:p w14:paraId="23DABF21" w14:textId="77777777" w:rsidR="00A32753" w:rsidRPr="00BD0137" w:rsidRDefault="00A32753" w:rsidP="00A32753"/>
    <w:p w14:paraId="19E30C4A" w14:textId="3B257D77" w:rsidR="00A32753" w:rsidRPr="00F924E2" w:rsidRDefault="00C01A86" w:rsidP="00A32753">
      <w:pPr>
        <w:pStyle w:val="NoSpacing"/>
        <w:rPr>
          <w:b/>
          <w:i/>
        </w:rPr>
      </w:pPr>
      <w:r>
        <w:rPr>
          <w:b/>
          <w:i/>
        </w:rPr>
        <w:t>**</w:t>
      </w:r>
      <w:r w:rsidR="00A32753" w:rsidRPr="00F924E2">
        <w:rPr>
          <w:b/>
          <w:i/>
        </w:rPr>
        <w:t xml:space="preserve">Some other examples of communications </w:t>
      </w:r>
      <w:r w:rsidR="00A32753" w:rsidRPr="00464FDB">
        <w:rPr>
          <w:b/>
          <w:i/>
          <w:u w:val="single"/>
        </w:rPr>
        <w:t>that have been ruled privilege</w:t>
      </w:r>
      <w:r w:rsidR="00A32753" w:rsidRPr="00F924E2">
        <w:rPr>
          <w:b/>
          <w:i/>
        </w:rPr>
        <w:t xml:space="preserve"> include:</w:t>
      </w:r>
    </w:p>
    <w:p w14:paraId="365B284F" w14:textId="77777777" w:rsidR="00A32753" w:rsidRPr="007C3548" w:rsidRDefault="00A32753" w:rsidP="00A32753">
      <w:pPr>
        <w:pStyle w:val="NoSpacing"/>
        <w:ind w:left="720"/>
      </w:pPr>
    </w:p>
    <w:p w14:paraId="622625BB" w14:textId="4CB81F17" w:rsidR="00A32753" w:rsidRDefault="00A32753" w:rsidP="00A32753">
      <w:pPr>
        <w:pStyle w:val="NoSpacing"/>
        <w:numPr>
          <w:ilvl w:val="0"/>
          <w:numId w:val="47"/>
        </w:numPr>
      </w:pPr>
      <w:r w:rsidRPr="00464FDB">
        <w:rPr>
          <w:b/>
          <w:i/>
        </w:rPr>
        <w:t>Communications between a party and their respective legal counse</w:t>
      </w:r>
      <w:r w:rsidRPr="00B225F7">
        <w:rPr>
          <w:b/>
          <w:i/>
        </w:rPr>
        <w:t>l</w:t>
      </w:r>
      <w:r>
        <w:t xml:space="preserve"> </w:t>
      </w:r>
      <w:r w:rsidR="009A5B45">
        <w:t>–</w:t>
      </w:r>
      <w:r w:rsidRPr="00B92926">
        <w:t xml:space="preserve"> </w:t>
      </w:r>
      <w:r w:rsidRPr="00B92926">
        <w:rPr>
          <w:i/>
        </w:rPr>
        <w:t>Macedonia Pty Ltd v FCT</w:t>
      </w:r>
      <w:r w:rsidRPr="00B92926">
        <w:t> (1987) 18 ATR 929</w:t>
      </w:r>
    </w:p>
    <w:p w14:paraId="6C825843" w14:textId="77777777" w:rsidR="00A32753" w:rsidRDefault="00A32753" w:rsidP="00A32753">
      <w:pPr>
        <w:pStyle w:val="NoSpacing"/>
        <w:ind w:left="720"/>
      </w:pPr>
    </w:p>
    <w:p w14:paraId="5F8100AB" w14:textId="25B8B9FD" w:rsidR="00A32753" w:rsidRDefault="00A32753" w:rsidP="00A32753">
      <w:pPr>
        <w:pStyle w:val="NoSpacing"/>
        <w:numPr>
          <w:ilvl w:val="0"/>
          <w:numId w:val="47"/>
        </w:numPr>
      </w:pPr>
      <w:r w:rsidRPr="00464FDB">
        <w:rPr>
          <w:b/>
          <w:i/>
        </w:rPr>
        <w:t>Communications between numerous legal advisers of the client (i.e. between internal partners of a firm) where assistance is required in determining the advice</w:t>
      </w:r>
      <w:r>
        <w:t xml:space="preserve"> </w:t>
      </w:r>
      <w:r w:rsidR="009A5B45">
        <w:t>–</w:t>
      </w:r>
      <w:r>
        <w:t xml:space="preserve"> </w:t>
      </w:r>
      <w:r w:rsidRPr="003B50BB">
        <w:rPr>
          <w:i/>
        </w:rPr>
        <w:t xml:space="preserve">Hughes v </w:t>
      </w:r>
      <w:proofErr w:type="spellStart"/>
      <w:r w:rsidRPr="003B50BB">
        <w:rPr>
          <w:i/>
        </w:rPr>
        <w:t>Biddulph</w:t>
      </w:r>
      <w:proofErr w:type="spellEnd"/>
      <w:r w:rsidRPr="003B50BB">
        <w:rPr>
          <w:i/>
        </w:rPr>
        <w:t> </w:t>
      </w:r>
      <w:r w:rsidRPr="003B50BB">
        <w:t>(1827) 4 Russ 190</w:t>
      </w:r>
    </w:p>
    <w:p w14:paraId="73038366" w14:textId="77777777" w:rsidR="00A32753" w:rsidRDefault="00A32753" w:rsidP="00A32753">
      <w:pPr>
        <w:pStyle w:val="ListParagraph"/>
      </w:pPr>
    </w:p>
    <w:p w14:paraId="68D4D3BE" w14:textId="06AA0349" w:rsidR="00A32753" w:rsidRDefault="00A32753" w:rsidP="00A32753">
      <w:pPr>
        <w:pStyle w:val="NoSpacing"/>
        <w:numPr>
          <w:ilvl w:val="0"/>
          <w:numId w:val="47"/>
        </w:numPr>
      </w:pPr>
      <w:r w:rsidRPr="00464FDB">
        <w:rPr>
          <w:b/>
          <w:i/>
        </w:rPr>
        <w:t>Notes and minutes of a meeting made by a client</w:t>
      </w:r>
      <w:r>
        <w:t xml:space="preserve"> </w:t>
      </w:r>
      <w:r w:rsidR="009A5B45">
        <w:t>–</w:t>
      </w:r>
      <w:r>
        <w:t xml:space="preserve"> </w:t>
      </w:r>
      <w:r w:rsidRPr="00B07A2A">
        <w:rPr>
          <w:i/>
        </w:rPr>
        <w:t>Grant v Downs</w:t>
      </w:r>
      <w:r w:rsidRPr="00B07A2A">
        <w:t> (1976) 135 CLR 674</w:t>
      </w:r>
    </w:p>
    <w:p w14:paraId="47CC0B3F" w14:textId="77777777" w:rsidR="00A32753" w:rsidRDefault="00A32753" w:rsidP="00A32753">
      <w:pPr>
        <w:pStyle w:val="ListParagraph"/>
      </w:pPr>
    </w:p>
    <w:p w14:paraId="79D846F3" w14:textId="720D760A" w:rsidR="00A32753" w:rsidRDefault="00A32753" w:rsidP="00A32753">
      <w:pPr>
        <w:pStyle w:val="NoSpacing"/>
        <w:numPr>
          <w:ilvl w:val="0"/>
          <w:numId w:val="47"/>
        </w:numPr>
      </w:pPr>
      <w:r w:rsidRPr="00464FDB">
        <w:rPr>
          <w:b/>
          <w:i/>
        </w:rPr>
        <w:t xml:space="preserve">Communications passed between the party’s solicitor and a third </w:t>
      </w:r>
      <w:r w:rsidRPr="006721E9">
        <w:rPr>
          <w:b/>
          <w:i/>
        </w:rPr>
        <w:t>party</w:t>
      </w:r>
      <w:r w:rsidRPr="00A0616C">
        <w:rPr>
          <w:i/>
        </w:rPr>
        <w:t xml:space="preserve"> </w:t>
      </w:r>
      <w:r w:rsidR="009A5B45">
        <w:t>–</w:t>
      </w:r>
      <w:r>
        <w:t xml:space="preserve"> </w:t>
      </w:r>
      <w:r w:rsidRPr="00B92926">
        <w:rPr>
          <w:i/>
        </w:rPr>
        <w:t>Macedonia Pty Ltd v FCT</w:t>
      </w:r>
      <w:r w:rsidRPr="00B92926">
        <w:t> (1987) 18 ATR 929</w:t>
      </w:r>
    </w:p>
    <w:p w14:paraId="7926DB06" w14:textId="77777777" w:rsidR="00A32753" w:rsidRDefault="00A32753" w:rsidP="00A32753">
      <w:pPr>
        <w:pStyle w:val="ListParagraph"/>
      </w:pPr>
    </w:p>
    <w:p w14:paraId="62AD7408" w14:textId="77777777" w:rsidR="00A32753" w:rsidRPr="003B50BB" w:rsidRDefault="00A32753" w:rsidP="00A32753">
      <w:pPr>
        <w:pStyle w:val="NoSpacing"/>
        <w:numPr>
          <w:ilvl w:val="0"/>
          <w:numId w:val="47"/>
        </w:numPr>
      </w:pPr>
      <w:r w:rsidRPr="00464FDB">
        <w:rPr>
          <w:b/>
          <w:i/>
        </w:rPr>
        <w:t>An accused person cannot access documents subject to privilege</w:t>
      </w:r>
      <w:r>
        <w:rPr>
          <w:i/>
        </w:rPr>
        <w:t xml:space="preserve"> </w:t>
      </w:r>
      <w:r>
        <w:t xml:space="preserve">– </w:t>
      </w:r>
      <w:r>
        <w:rPr>
          <w:i/>
        </w:rPr>
        <w:t>Carter v Managing Partner</w:t>
      </w:r>
    </w:p>
    <w:p w14:paraId="334944AD" w14:textId="77777777" w:rsidR="00A32753" w:rsidRPr="00BD0137" w:rsidRDefault="00A32753" w:rsidP="00A32753"/>
    <w:p w14:paraId="1CDC7EA9" w14:textId="77777777" w:rsidR="00A32753" w:rsidRPr="00BD0137" w:rsidRDefault="00A32753" w:rsidP="00A32753"/>
    <w:p w14:paraId="51F3DCC1" w14:textId="77777777" w:rsidR="00A32753" w:rsidRPr="00BD0137" w:rsidRDefault="00A32753" w:rsidP="00A32753"/>
    <w:p w14:paraId="1368BD45" w14:textId="77777777" w:rsidR="00A32753" w:rsidRPr="00BD0137" w:rsidRDefault="00A32753" w:rsidP="00A32753"/>
    <w:p w14:paraId="3431BBC9" w14:textId="77777777" w:rsidR="00A32753" w:rsidRPr="00BD0137" w:rsidRDefault="00A32753" w:rsidP="00A32753"/>
    <w:p w14:paraId="72FDDEF0" w14:textId="77777777" w:rsidR="00A32753" w:rsidRPr="00BD0137" w:rsidRDefault="00A32753" w:rsidP="00A32753"/>
    <w:p w14:paraId="105EA3FD" w14:textId="77777777" w:rsidR="00A32753" w:rsidRPr="00BD0137" w:rsidRDefault="00A32753" w:rsidP="00A32753"/>
    <w:p w14:paraId="19C5CBB2" w14:textId="77777777" w:rsidR="00A32753" w:rsidRPr="00BD0137" w:rsidRDefault="00A32753" w:rsidP="00A32753"/>
    <w:p w14:paraId="54243AA3" w14:textId="77777777" w:rsidR="00A32753" w:rsidRPr="00BD0137" w:rsidRDefault="00A32753" w:rsidP="00A32753"/>
    <w:p w14:paraId="0CEA6A4A" w14:textId="77777777" w:rsidR="00A32753" w:rsidRPr="00BD0137" w:rsidRDefault="00A32753" w:rsidP="00A32753"/>
    <w:p w14:paraId="17FC6204" w14:textId="77777777" w:rsidR="00A32753" w:rsidRPr="00BD0137" w:rsidRDefault="00A32753" w:rsidP="00A32753"/>
    <w:p w14:paraId="4848F1B8" w14:textId="77777777" w:rsidR="00A32753" w:rsidRPr="00BD0137" w:rsidRDefault="00A32753" w:rsidP="00A32753"/>
    <w:p w14:paraId="316DF783" w14:textId="77777777" w:rsidR="00A32753" w:rsidRPr="00BD0137" w:rsidRDefault="00A32753" w:rsidP="00A32753"/>
    <w:p w14:paraId="62BD23FF" w14:textId="77777777" w:rsidR="00A32753" w:rsidRDefault="00A32753" w:rsidP="00A32753"/>
    <w:p w14:paraId="7AC1781C" w14:textId="77777777" w:rsidR="00E13417" w:rsidRDefault="00E13417" w:rsidP="00A32753"/>
    <w:p w14:paraId="6B29B491" w14:textId="77777777" w:rsidR="00E13417" w:rsidRDefault="00E13417" w:rsidP="00A32753"/>
    <w:p w14:paraId="3A011C2E" w14:textId="77777777" w:rsidR="00E13417" w:rsidRDefault="00E13417" w:rsidP="00A32753"/>
    <w:p w14:paraId="57A2F424" w14:textId="77777777" w:rsidR="00E13417" w:rsidRDefault="00E13417" w:rsidP="00A32753"/>
    <w:p w14:paraId="217CE458" w14:textId="77777777" w:rsidR="00E13417" w:rsidRDefault="00E13417" w:rsidP="00A32753"/>
    <w:p w14:paraId="51AAD1FF" w14:textId="77777777" w:rsidR="003D13DB" w:rsidRDefault="003D13DB" w:rsidP="00A32753"/>
    <w:p w14:paraId="14FFD5EF" w14:textId="3BEAC482" w:rsidR="00A32753" w:rsidRPr="00C01A86" w:rsidRDefault="00680CFD" w:rsidP="00A32753">
      <w:pPr>
        <w:rPr>
          <w:b/>
          <w:i/>
        </w:rPr>
      </w:pPr>
      <w:r>
        <w:rPr>
          <w:b/>
          <w:i/>
        </w:rPr>
        <w:lastRenderedPageBreak/>
        <w:t>**</w:t>
      </w:r>
      <w:r w:rsidR="00A32753" w:rsidRPr="00C01A86">
        <w:rPr>
          <w:b/>
          <w:i/>
        </w:rPr>
        <w:t>Advice Privilege</w:t>
      </w:r>
      <w:r w:rsidR="004F771C">
        <w:rPr>
          <w:b/>
          <w:i/>
        </w:rPr>
        <w:t xml:space="preserve"> [also see Extent of Privilege below]</w:t>
      </w:r>
    </w:p>
    <w:p w14:paraId="35BEF2DD" w14:textId="77777777" w:rsidR="00A32753" w:rsidRDefault="00A32753" w:rsidP="00A32753">
      <w:pPr>
        <w:rPr>
          <w:b/>
          <w:i/>
        </w:rPr>
      </w:pPr>
    </w:p>
    <w:p w14:paraId="2E81D9FA" w14:textId="77777777" w:rsidR="00C67874" w:rsidRDefault="00680CFD" w:rsidP="00392BC9">
      <w:pPr>
        <w:pStyle w:val="ListParagraph"/>
        <w:numPr>
          <w:ilvl w:val="0"/>
          <w:numId w:val="58"/>
        </w:numPr>
        <w:rPr>
          <w:rStyle w:val="italic"/>
        </w:rPr>
      </w:pPr>
      <w:r>
        <w:rPr>
          <w:i/>
        </w:rPr>
        <w:t xml:space="preserve">Purpose – </w:t>
      </w:r>
      <w:r w:rsidR="00A32753">
        <w:t xml:space="preserve">The rule is most commonly applied between client and legal adviser. Both the </w:t>
      </w:r>
      <w:proofErr w:type="spellStart"/>
      <w:proofErr w:type="gramStart"/>
      <w:r w:rsidR="00A32753">
        <w:t>lawyers</w:t>
      </w:r>
      <w:proofErr w:type="spellEnd"/>
      <w:proofErr w:type="gramEnd"/>
      <w:r w:rsidR="00A32753">
        <w:t xml:space="preserve"> advice is privileged and also the instructions to the lawyer are privileged per </w:t>
      </w:r>
      <w:r w:rsidR="00A32753" w:rsidRPr="00680CFD">
        <w:rPr>
          <w:rStyle w:val="italic"/>
          <w:i/>
        </w:rPr>
        <w:t>Bolton v Corporation of Liverpool</w:t>
      </w:r>
      <w:r w:rsidR="00A32753">
        <w:rPr>
          <w:rStyle w:val="italic"/>
        </w:rPr>
        <w:t>.</w:t>
      </w:r>
    </w:p>
    <w:p w14:paraId="46941B8B" w14:textId="77777777" w:rsidR="00C67874" w:rsidRDefault="00C67874" w:rsidP="00C67874">
      <w:pPr>
        <w:pStyle w:val="ListParagraph"/>
        <w:rPr>
          <w:rStyle w:val="italic"/>
        </w:rPr>
      </w:pPr>
    </w:p>
    <w:p w14:paraId="2D2F6BA3" w14:textId="77777777" w:rsidR="00747540" w:rsidRDefault="00C67874" w:rsidP="00392BC9">
      <w:pPr>
        <w:pStyle w:val="ListParagraph"/>
        <w:numPr>
          <w:ilvl w:val="0"/>
          <w:numId w:val="58"/>
        </w:numPr>
        <w:rPr>
          <w:rStyle w:val="italic"/>
        </w:rPr>
      </w:pPr>
      <w:r>
        <w:rPr>
          <w:rStyle w:val="italic"/>
          <w:i/>
        </w:rPr>
        <w:t xml:space="preserve">Applies to – </w:t>
      </w:r>
      <w:r w:rsidR="00A32753">
        <w:rPr>
          <w:rStyle w:val="italic"/>
        </w:rPr>
        <w:t xml:space="preserve">Advice privilege </w:t>
      </w:r>
      <w:r w:rsidR="00A32753">
        <w:rPr>
          <w:rStyle w:val="verdana"/>
        </w:rPr>
        <w:t xml:space="preserve">only to communications between the client and the legal adviser, to documents evidencing such communications, and to documents which were intended to be such communications even if not in fact communicated as suggested in the English case of </w:t>
      </w:r>
      <w:r w:rsidR="00A32753" w:rsidRPr="00C67874">
        <w:rPr>
          <w:rStyle w:val="italic"/>
          <w:i/>
        </w:rPr>
        <w:t>Three Rivers District Council v Governor and Company of the Bank of England</w:t>
      </w:r>
      <w:r w:rsidR="00A32753">
        <w:rPr>
          <w:rStyle w:val="italic"/>
        </w:rPr>
        <w:t>.</w:t>
      </w:r>
    </w:p>
    <w:p w14:paraId="0F4105EA" w14:textId="77777777" w:rsidR="00747540" w:rsidRPr="00747540" w:rsidRDefault="00747540" w:rsidP="00747540">
      <w:pPr>
        <w:pStyle w:val="ListParagraph"/>
        <w:rPr>
          <w:b/>
          <w:i/>
        </w:rPr>
      </w:pPr>
    </w:p>
    <w:p w14:paraId="38F102CE" w14:textId="134CC2C8" w:rsidR="00A32753" w:rsidRPr="00AC76F2" w:rsidRDefault="00A32753" w:rsidP="00392BC9">
      <w:pPr>
        <w:pStyle w:val="ListParagraph"/>
        <w:numPr>
          <w:ilvl w:val="0"/>
          <w:numId w:val="58"/>
        </w:numPr>
      </w:pPr>
      <w:r w:rsidRPr="00F8682E">
        <w:rPr>
          <w:i/>
        </w:rPr>
        <w:t>Definition of Advice</w:t>
      </w:r>
      <w:r w:rsidR="00747540">
        <w:rPr>
          <w:b/>
          <w:i/>
        </w:rPr>
        <w:t xml:space="preserve"> – </w:t>
      </w:r>
      <w:r w:rsidRPr="00C920F0">
        <w:t xml:space="preserve">Advice extends beyond judicial or </w:t>
      </w:r>
      <w:proofErr w:type="spellStart"/>
      <w:r w:rsidRPr="00C920F0">
        <w:t>quasi judicial</w:t>
      </w:r>
      <w:proofErr w:type="spellEnd"/>
      <w:r w:rsidRPr="00C920F0">
        <w:t xml:space="preserve"> proceedings and </w:t>
      </w:r>
      <w:proofErr w:type="spellStart"/>
      <w:proofErr w:type="gramStart"/>
      <w:r w:rsidRPr="00C920F0">
        <w:t>its</w:t>
      </w:r>
      <w:proofErr w:type="spellEnd"/>
      <w:proofErr w:type="gramEnd"/>
      <w:r w:rsidRPr="00C920F0">
        <w:t xml:space="preserve"> not simply a rule of evidence per </w:t>
      </w:r>
      <w:r w:rsidRPr="00747540">
        <w:rPr>
          <w:i/>
        </w:rPr>
        <w:t>Baker v Campbell.</w:t>
      </w:r>
      <w:r>
        <w:t xml:space="preserve"> However, it does not extend to material which has its existence apart from the advising process as per </w:t>
      </w:r>
      <w:r w:rsidRPr="00747540">
        <w:rPr>
          <w:i/>
        </w:rPr>
        <w:t>Baker v Campbell.</w:t>
      </w:r>
    </w:p>
    <w:p w14:paraId="11056B43" w14:textId="77777777" w:rsidR="00A32753" w:rsidRDefault="00A32753" w:rsidP="00A32753">
      <w:pPr>
        <w:rPr>
          <w:b/>
          <w:i/>
        </w:rPr>
      </w:pPr>
    </w:p>
    <w:p w14:paraId="17F09553" w14:textId="2EED40EC" w:rsidR="00A32753" w:rsidRPr="00C920F0" w:rsidRDefault="00E01644" w:rsidP="00A32753">
      <w:pPr>
        <w:rPr>
          <w:b/>
          <w:i/>
        </w:rPr>
      </w:pPr>
      <w:r>
        <w:rPr>
          <w:b/>
          <w:i/>
        </w:rPr>
        <w:t>**</w:t>
      </w:r>
      <w:r w:rsidR="00A32753" w:rsidRPr="00C920F0">
        <w:rPr>
          <w:b/>
          <w:i/>
        </w:rPr>
        <w:t>Third Parties</w:t>
      </w:r>
    </w:p>
    <w:p w14:paraId="039D5C89" w14:textId="77777777" w:rsidR="00A32753" w:rsidRDefault="00A32753" w:rsidP="00A32753">
      <w:pPr>
        <w:rPr>
          <w:b/>
          <w:i/>
        </w:rPr>
      </w:pPr>
    </w:p>
    <w:p w14:paraId="46F39CE8" w14:textId="77777777" w:rsidR="00A32753" w:rsidRPr="0031782F" w:rsidRDefault="00A32753" w:rsidP="00A32753">
      <w:r w:rsidRPr="00E07D37">
        <w:t>It is only in relation to litigation privilege that communications extend to third parties.</w:t>
      </w:r>
      <w:r>
        <w:t xml:space="preserve"> However</w:t>
      </w:r>
      <w:r w:rsidRPr="0031782F">
        <w:t xml:space="preserve">, where the third party was the agent of lawyer or the client, the advice privilege may apply as per the decision of </w:t>
      </w:r>
      <w:r w:rsidRPr="0031782F">
        <w:rPr>
          <w:i/>
        </w:rPr>
        <w:t xml:space="preserve">Pratt Holdings Pty Ltd v DCT </w:t>
      </w:r>
      <w:r w:rsidRPr="0031782F">
        <w:t>[2004] FCAFC 122.</w:t>
      </w:r>
    </w:p>
    <w:p w14:paraId="0AD73F69" w14:textId="77777777" w:rsidR="00A32753" w:rsidRDefault="00A32753" w:rsidP="00A32753"/>
    <w:p w14:paraId="7EA84B6C" w14:textId="77777777" w:rsidR="00A32753" w:rsidRDefault="00A32753" w:rsidP="00A32753">
      <w:pPr>
        <w:pStyle w:val="NoSpacing"/>
      </w:pPr>
      <w:r>
        <w:t xml:space="preserve">A third party, having as its dominant purpose the obtainment of legal advice not related to litigation is privileged </w:t>
      </w:r>
    </w:p>
    <w:p w14:paraId="19627BDA" w14:textId="77777777" w:rsidR="00A32753" w:rsidRDefault="00A32753" w:rsidP="00A32753">
      <w:pPr>
        <w:pStyle w:val="NoSpacing"/>
      </w:pPr>
    </w:p>
    <w:p w14:paraId="72361935" w14:textId="77777777" w:rsidR="00A32753" w:rsidRPr="003F3E8B" w:rsidRDefault="00A32753" w:rsidP="00A32753">
      <w:pPr>
        <w:pStyle w:val="NoSpacing"/>
        <w:numPr>
          <w:ilvl w:val="0"/>
          <w:numId w:val="49"/>
        </w:numPr>
        <w:rPr>
          <w:rStyle w:val="italic"/>
        </w:rPr>
      </w:pPr>
      <w:r>
        <w:t xml:space="preserve">Where a client directs a third party to prepare and make it on the clients behalf to a legal adviser per </w:t>
      </w:r>
      <w:r w:rsidRPr="003F3E8B">
        <w:rPr>
          <w:rStyle w:val="italic"/>
          <w:i/>
        </w:rPr>
        <w:t>Pratt Holdings Pty Ltd v Commissioner of Taxation</w:t>
      </w:r>
    </w:p>
    <w:p w14:paraId="2071FD3E" w14:textId="77777777" w:rsidR="00A32753" w:rsidRDefault="00A32753" w:rsidP="00A32753">
      <w:pPr>
        <w:pStyle w:val="NoSpacing"/>
        <w:ind w:left="720"/>
        <w:rPr>
          <w:rStyle w:val="italic"/>
        </w:rPr>
      </w:pPr>
    </w:p>
    <w:p w14:paraId="500CF815" w14:textId="77777777" w:rsidR="00A32753" w:rsidRPr="003F3E8B" w:rsidRDefault="00A32753" w:rsidP="00A32753">
      <w:pPr>
        <w:pStyle w:val="NoSpacing"/>
        <w:numPr>
          <w:ilvl w:val="0"/>
          <w:numId w:val="49"/>
        </w:numPr>
        <w:rPr>
          <w:rStyle w:val="italic"/>
        </w:rPr>
      </w:pPr>
      <w:r>
        <w:rPr>
          <w:rStyle w:val="italic"/>
        </w:rPr>
        <w:t xml:space="preserve">Where a client directs or authorises a third party to prepare it for the dominant purpose of its being communicated by the client to a legal adviser per </w:t>
      </w:r>
      <w:r w:rsidRPr="003F3E8B">
        <w:rPr>
          <w:rStyle w:val="italic"/>
          <w:i/>
        </w:rPr>
        <w:t>Pratt Holdings Pty Ltd v Commissioner of Taxation</w:t>
      </w:r>
    </w:p>
    <w:p w14:paraId="1C961F30" w14:textId="77777777" w:rsidR="00A32753" w:rsidRDefault="00A32753" w:rsidP="00A32753">
      <w:pPr>
        <w:pStyle w:val="ListParagraph"/>
      </w:pPr>
    </w:p>
    <w:p w14:paraId="46373AF2" w14:textId="77777777" w:rsidR="00A32753" w:rsidRPr="0090102A" w:rsidRDefault="00A32753" w:rsidP="00A32753">
      <w:pPr>
        <w:pStyle w:val="NoSpacing"/>
        <w:numPr>
          <w:ilvl w:val="0"/>
          <w:numId w:val="49"/>
        </w:numPr>
        <w:rPr>
          <w:rStyle w:val="italic"/>
        </w:rPr>
      </w:pPr>
      <w:r>
        <w:t xml:space="preserve">Where it is prepared for passing between legal adviser and third party where the third party is an “agent” of the client for communication with the legal adviser </w:t>
      </w:r>
      <w:r>
        <w:rPr>
          <w:rStyle w:val="italic"/>
        </w:rPr>
        <w:t xml:space="preserve">per </w:t>
      </w:r>
      <w:r w:rsidRPr="003F3E8B">
        <w:rPr>
          <w:rStyle w:val="italic"/>
          <w:i/>
        </w:rPr>
        <w:t>Pratt Holdings Pty Ltd v Commissioner of Taxation</w:t>
      </w:r>
    </w:p>
    <w:p w14:paraId="4FDD2CD5" w14:textId="77777777" w:rsidR="00A32753" w:rsidRPr="0031782F" w:rsidRDefault="00A32753" w:rsidP="00A32753">
      <w:pPr>
        <w:rPr>
          <w:b/>
        </w:rPr>
      </w:pPr>
    </w:p>
    <w:p w14:paraId="730DB5D3" w14:textId="77777777" w:rsidR="00A32753" w:rsidRDefault="00A32753" w:rsidP="00A32753">
      <w:pPr>
        <w:rPr>
          <w:b/>
          <w:i/>
        </w:rPr>
      </w:pPr>
    </w:p>
    <w:p w14:paraId="700566AC" w14:textId="77777777" w:rsidR="00A32753" w:rsidRDefault="00A32753" w:rsidP="00A32753">
      <w:pPr>
        <w:rPr>
          <w:b/>
          <w:i/>
        </w:rPr>
      </w:pPr>
    </w:p>
    <w:p w14:paraId="1A40BA77" w14:textId="77777777" w:rsidR="00A32753" w:rsidRDefault="00A32753" w:rsidP="00A32753">
      <w:pPr>
        <w:rPr>
          <w:b/>
          <w:i/>
        </w:rPr>
      </w:pPr>
    </w:p>
    <w:p w14:paraId="403E22F3" w14:textId="77777777" w:rsidR="00A32753" w:rsidRDefault="00A32753" w:rsidP="00A32753">
      <w:pPr>
        <w:rPr>
          <w:b/>
          <w:i/>
        </w:rPr>
      </w:pPr>
    </w:p>
    <w:p w14:paraId="2ACF9534" w14:textId="77777777" w:rsidR="00A32753" w:rsidRDefault="00A32753" w:rsidP="00A32753">
      <w:pPr>
        <w:rPr>
          <w:b/>
          <w:i/>
        </w:rPr>
      </w:pPr>
    </w:p>
    <w:p w14:paraId="789BA5F5" w14:textId="77777777" w:rsidR="00A32753" w:rsidRDefault="00A32753" w:rsidP="00A32753">
      <w:pPr>
        <w:rPr>
          <w:b/>
          <w:i/>
        </w:rPr>
      </w:pPr>
    </w:p>
    <w:p w14:paraId="063A9F72" w14:textId="77777777" w:rsidR="00A32753" w:rsidRDefault="00A32753" w:rsidP="00A32753">
      <w:pPr>
        <w:rPr>
          <w:b/>
          <w:i/>
        </w:rPr>
      </w:pPr>
    </w:p>
    <w:p w14:paraId="12037A0F" w14:textId="77777777" w:rsidR="00A32753" w:rsidRDefault="00A32753" w:rsidP="00A32753">
      <w:pPr>
        <w:rPr>
          <w:b/>
          <w:i/>
        </w:rPr>
      </w:pPr>
    </w:p>
    <w:p w14:paraId="2A6E5A48" w14:textId="77777777" w:rsidR="00A32753" w:rsidRDefault="00A32753" w:rsidP="00A32753">
      <w:pPr>
        <w:rPr>
          <w:b/>
          <w:i/>
        </w:rPr>
      </w:pPr>
    </w:p>
    <w:p w14:paraId="668A44E9" w14:textId="77777777" w:rsidR="00A32753" w:rsidRDefault="00A32753" w:rsidP="00A32753">
      <w:pPr>
        <w:rPr>
          <w:b/>
          <w:i/>
        </w:rPr>
      </w:pPr>
    </w:p>
    <w:p w14:paraId="618286CB" w14:textId="77777777" w:rsidR="00A32753" w:rsidRDefault="00A32753" w:rsidP="00A32753">
      <w:pPr>
        <w:rPr>
          <w:b/>
          <w:i/>
        </w:rPr>
      </w:pPr>
    </w:p>
    <w:p w14:paraId="677A0604" w14:textId="77777777" w:rsidR="00A32753" w:rsidRDefault="00A32753" w:rsidP="00A32753">
      <w:pPr>
        <w:rPr>
          <w:b/>
          <w:i/>
        </w:rPr>
      </w:pPr>
    </w:p>
    <w:p w14:paraId="5940360B" w14:textId="77777777" w:rsidR="00E13417" w:rsidRDefault="00E13417" w:rsidP="00A32753">
      <w:pPr>
        <w:rPr>
          <w:b/>
          <w:i/>
        </w:rPr>
      </w:pPr>
    </w:p>
    <w:p w14:paraId="0F661991" w14:textId="77777777" w:rsidR="00E13417" w:rsidRDefault="00E13417" w:rsidP="00A32753">
      <w:pPr>
        <w:rPr>
          <w:b/>
          <w:i/>
        </w:rPr>
      </w:pPr>
    </w:p>
    <w:p w14:paraId="5AEF93C9" w14:textId="77777777" w:rsidR="00E13417" w:rsidRDefault="00E13417" w:rsidP="00A32753">
      <w:pPr>
        <w:rPr>
          <w:b/>
          <w:i/>
        </w:rPr>
      </w:pPr>
    </w:p>
    <w:p w14:paraId="3FFE4CC0" w14:textId="22E07950" w:rsidR="00A32753" w:rsidRPr="00250CB5" w:rsidRDefault="00CF566F" w:rsidP="00A32753">
      <w:pPr>
        <w:rPr>
          <w:b/>
          <w:i/>
        </w:rPr>
      </w:pPr>
      <w:r>
        <w:rPr>
          <w:b/>
          <w:i/>
        </w:rPr>
        <w:lastRenderedPageBreak/>
        <w:t>**</w:t>
      </w:r>
      <w:r w:rsidR="00A32753" w:rsidRPr="00250CB5">
        <w:rPr>
          <w:b/>
          <w:i/>
        </w:rPr>
        <w:t>Litigation Privilege – ‘reasonably possible’</w:t>
      </w:r>
      <w:r w:rsidR="003C4BBD">
        <w:rPr>
          <w:b/>
          <w:i/>
        </w:rPr>
        <w:t xml:space="preserve"> [also see Extent of Privilege below]</w:t>
      </w:r>
    </w:p>
    <w:p w14:paraId="19D33F6A" w14:textId="77777777" w:rsidR="00A32753" w:rsidRDefault="00A32753" w:rsidP="00A32753">
      <w:pPr>
        <w:rPr>
          <w:b/>
          <w:i/>
        </w:rPr>
      </w:pPr>
    </w:p>
    <w:p w14:paraId="378457E4" w14:textId="3ABBAB46" w:rsidR="00A32753" w:rsidRPr="007A2DB6" w:rsidRDefault="00A32753" w:rsidP="00392BC9">
      <w:pPr>
        <w:pStyle w:val="ListParagraph"/>
        <w:numPr>
          <w:ilvl w:val="0"/>
          <w:numId w:val="59"/>
        </w:numPr>
        <w:rPr>
          <w:u w:val="single"/>
        </w:rPr>
      </w:pPr>
      <w:r w:rsidRPr="00EF60AB">
        <w:rPr>
          <w:i/>
          <w:u w:val="single"/>
        </w:rPr>
        <w:t>Litigation must be a ‘reasonably’ possibly</w:t>
      </w:r>
      <w:r w:rsidR="00EF60AB" w:rsidRPr="00EF60AB">
        <w:rPr>
          <w:i/>
        </w:rPr>
        <w:t xml:space="preserve"> – </w:t>
      </w:r>
      <w:r>
        <w:t xml:space="preserve">For a claim by a client of legal privilege under litigation privilege, there must be a reasonable contemplation of a litigation action forthcoming.  In </w:t>
      </w:r>
      <w:r w:rsidRPr="00EF60AB">
        <w:rPr>
          <w:i/>
        </w:rPr>
        <w:t xml:space="preserve">Mitsubishi v Victorian </w:t>
      </w:r>
      <w:proofErr w:type="spellStart"/>
      <w:r w:rsidRPr="00EF60AB">
        <w:rPr>
          <w:i/>
        </w:rPr>
        <w:t>Workcover</w:t>
      </w:r>
      <w:proofErr w:type="spellEnd"/>
      <w:r w:rsidRPr="00EF60AB">
        <w:rPr>
          <w:i/>
        </w:rPr>
        <w:t xml:space="preserve"> Authority </w:t>
      </w:r>
      <w:r>
        <w:t xml:space="preserve">[2002] VSCA 59 it was commented at 17 </w:t>
      </w:r>
    </w:p>
    <w:p w14:paraId="6B2C9DDE" w14:textId="77777777" w:rsidR="00A32753" w:rsidRPr="000C070D" w:rsidRDefault="00A32753" w:rsidP="00A32753">
      <w:pPr>
        <w:rPr>
          <w:i/>
        </w:rPr>
      </w:pPr>
    </w:p>
    <w:p w14:paraId="29B137E6" w14:textId="77777777" w:rsidR="00A32753" w:rsidRPr="00610907" w:rsidRDefault="00A32753" w:rsidP="00A32753">
      <w:pPr>
        <w:ind w:left="720"/>
        <w:rPr>
          <w:i/>
        </w:rPr>
      </w:pPr>
      <w:r w:rsidRPr="00610907">
        <w:rPr>
          <w:i/>
        </w:rPr>
        <w:t xml:space="preserve">‘As a matter of ordinary language the word “likely” imports only that the occurrence under consideration “is a real chance or possibility, not that it is more likely than not”: Marks v. GIO Australia Holdings Ltd. and cases there cited; </w:t>
      </w:r>
      <w:proofErr w:type="spellStart"/>
      <w:r w:rsidRPr="00610907">
        <w:rPr>
          <w:i/>
        </w:rPr>
        <w:t>Boughey</w:t>
      </w:r>
      <w:proofErr w:type="spellEnd"/>
      <w:r w:rsidRPr="00610907">
        <w:rPr>
          <w:i/>
        </w:rPr>
        <w:t xml:space="preserve"> v. The Queen; and see </w:t>
      </w:r>
      <w:proofErr w:type="spellStart"/>
      <w:r w:rsidRPr="00610907">
        <w:rPr>
          <w:i/>
        </w:rPr>
        <w:t>Czarnikow</w:t>
      </w:r>
      <w:proofErr w:type="spellEnd"/>
      <w:r w:rsidRPr="00610907">
        <w:rPr>
          <w:i/>
        </w:rPr>
        <w:t xml:space="preserve"> Ltd. v. </w:t>
      </w:r>
      <w:proofErr w:type="spellStart"/>
      <w:r w:rsidRPr="00610907">
        <w:rPr>
          <w:i/>
        </w:rPr>
        <w:t>Koufos</w:t>
      </w:r>
      <w:proofErr w:type="spellEnd"/>
      <w:r w:rsidRPr="00610907">
        <w:rPr>
          <w:i/>
        </w:rPr>
        <w:t xml:space="preserve"> (a case concerning “reasonable contemplation” of damage). In Australian Safeway Stores Goldberg, J. </w:t>
      </w:r>
      <w:r w:rsidRPr="00B47A56">
        <w:rPr>
          <w:i/>
          <w:u w:val="single"/>
        </w:rPr>
        <w:t>concluded that the concept of anticipated proceedings involved the notion of a reasonable probability or likelihood that such proceedings would be commenced,</w:t>
      </w:r>
      <w:r w:rsidRPr="00610907">
        <w:rPr>
          <w:i/>
        </w:rPr>
        <w:t xml:space="preserve"> but it will be apparent that I respectfully disagree with his </w:t>
      </w:r>
      <w:proofErr w:type="spellStart"/>
      <w:r w:rsidRPr="00610907">
        <w:rPr>
          <w:i/>
        </w:rPr>
        <w:t>Honour's</w:t>
      </w:r>
      <w:proofErr w:type="spellEnd"/>
      <w:r w:rsidRPr="00610907">
        <w:rPr>
          <w:i/>
        </w:rPr>
        <w:t xml:space="preserve"> elucidation of that notion as being that ‘more probably than not they will be commenced’</w:t>
      </w:r>
    </w:p>
    <w:p w14:paraId="0EBA3BC3" w14:textId="77777777" w:rsidR="00A32753" w:rsidRDefault="00A32753" w:rsidP="00A32753">
      <w:pPr>
        <w:rPr>
          <w:i/>
        </w:rPr>
      </w:pPr>
    </w:p>
    <w:p w14:paraId="19936D14" w14:textId="3E80BD59" w:rsidR="00A32753" w:rsidRPr="00921573" w:rsidRDefault="00C52C12" w:rsidP="00392BC9">
      <w:pPr>
        <w:pStyle w:val="ListParagraph"/>
        <w:numPr>
          <w:ilvl w:val="0"/>
          <w:numId w:val="59"/>
        </w:numPr>
      </w:pPr>
      <w:r>
        <w:rPr>
          <w:i/>
        </w:rPr>
        <w:t xml:space="preserve">‘Mere </w:t>
      </w:r>
      <w:r w:rsidR="002C3F35">
        <w:rPr>
          <w:i/>
        </w:rPr>
        <w:t>Apprehension</w:t>
      </w:r>
      <w:r>
        <w:rPr>
          <w:i/>
        </w:rPr>
        <w:t xml:space="preserve">’ is not enough – </w:t>
      </w:r>
      <w:r w:rsidR="00A32753">
        <w:t xml:space="preserve">Thus, a mere ‘apprehension’ of litigation is not enough to establish that a reasonable contemplation existed nor is a “vague apprehension” per </w:t>
      </w:r>
      <w:r w:rsidR="00A32753" w:rsidRPr="00C52C12">
        <w:rPr>
          <w:rStyle w:val="italic"/>
          <w:i/>
        </w:rPr>
        <w:t>United States of America v Philip Morris Inc</w:t>
      </w:r>
      <w:r w:rsidR="00A32753">
        <w:rPr>
          <w:rStyle w:val="italic"/>
        </w:rPr>
        <w:t>.</w:t>
      </w:r>
    </w:p>
    <w:p w14:paraId="47CC4572" w14:textId="77777777" w:rsidR="00A32753" w:rsidRDefault="00A32753" w:rsidP="00A32753"/>
    <w:p w14:paraId="18E6D549" w14:textId="554D426C" w:rsidR="00A32753" w:rsidRPr="00680F8C" w:rsidRDefault="00A32753" w:rsidP="00392BC9">
      <w:pPr>
        <w:pStyle w:val="ListParagraph"/>
        <w:numPr>
          <w:ilvl w:val="0"/>
          <w:numId w:val="59"/>
        </w:numPr>
        <w:rPr>
          <w:u w:val="single"/>
        </w:rPr>
      </w:pPr>
      <w:r w:rsidRPr="00680F8C">
        <w:rPr>
          <w:i/>
          <w:u w:val="single"/>
        </w:rPr>
        <w:t xml:space="preserve">Real </w:t>
      </w:r>
      <w:r w:rsidRPr="009D7EA4">
        <w:rPr>
          <w:i/>
          <w:u w:val="single"/>
        </w:rPr>
        <w:t>Prospect</w:t>
      </w:r>
      <w:r w:rsidR="00680F8C" w:rsidRPr="009D7EA4">
        <w:rPr>
          <w:i/>
          <w:u w:val="single"/>
        </w:rPr>
        <w:t xml:space="preserve"> </w:t>
      </w:r>
      <w:r w:rsidR="00E813CA" w:rsidRPr="009D7EA4">
        <w:rPr>
          <w:i/>
          <w:u w:val="single"/>
        </w:rPr>
        <w:t>of Litigation</w:t>
      </w:r>
      <w:r w:rsidR="00E813CA">
        <w:rPr>
          <w:i/>
        </w:rPr>
        <w:t xml:space="preserve"> </w:t>
      </w:r>
      <w:r w:rsidR="00680F8C" w:rsidRPr="00680F8C">
        <w:rPr>
          <w:i/>
        </w:rPr>
        <w:t xml:space="preserve">– </w:t>
      </w:r>
      <w:r w:rsidR="00C01A05">
        <w:rPr>
          <w:rStyle w:val="verdana"/>
        </w:rPr>
        <w:t>There</w:t>
      </w:r>
      <w:r>
        <w:rPr>
          <w:rStyle w:val="verdana"/>
        </w:rPr>
        <w:t xml:space="preserve"> must be a real prospect of litigation as distinct from a mere possibility so that a vague apprehension of litigation will not suffice though it is not necessary that there be a high probability approaching certainty nor that there be a decision to commence proceedings per </w:t>
      </w:r>
      <w:r w:rsidRPr="00680F8C">
        <w:rPr>
          <w:rStyle w:val="italic"/>
          <w:i/>
        </w:rPr>
        <w:t>Mitsubishi Electric Australia Pty Ltd v Victorian Work Cover Authority</w:t>
      </w:r>
      <w:r>
        <w:rPr>
          <w:rStyle w:val="italic"/>
        </w:rPr>
        <w:t xml:space="preserve"> and </w:t>
      </w:r>
      <w:r w:rsidRPr="00680F8C">
        <w:rPr>
          <w:rStyle w:val="italic"/>
          <w:i/>
        </w:rPr>
        <w:t>ACCC v Australian Safeway Stores Pty Ltd</w:t>
      </w:r>
    </w:p>
    <w:p w14:paraId="6A9102D2" w14:textId="77777777" w:rsidR="00A32753" w:rsidRDefault="00A32753" w:rsidP="00A32753"/>
    <w:p w14:paraId="53FC7F83" w14:textId="1B7E12F5" w:rsidR="00A32753" w:rsidRPr="00C74C95" w:rsidRDefault="00251DE9" w:rsidP="00A32753">
      <w:pPr>
        <w:rPr>
          <w:b/>
          <w:i/>
        </w:rPr>
      </w:pPr>
      <w:r>
        <w:rPr>
          <w:b/>
          <w:i/>
        </w:rPr>
        <w:t>**</w:t>
      </w:r>
      <w:r w:rsidR="00A32753" w:rsidRPr="00C74C95">
        <w:rPr>
          <w:b/>
          <w:i/>
        </w:rPr>
        <w:t>Dominant Purpose – COMMON TO BOTH</w:t>
      </w:r>
      <w:r w:rsidR="00152BBE">
        <w:rPr>
          <w:b/>
          <w:i/>
        </w:rPr>
        <w:t xml:space="preserve"> ADVICE AND LITIGATION</w:t>
      </w:r>
    </w:p>
    <w:p w14:paraId="18B4A7DF" w14:textId="77777777" w:rsidR="00A32753" w:rsidRDefault="00A32753" w:rsidP="00A32753">
      <w:pPr>
        <w:jc w:val="both"/>
        <w:rPr>
          <w:i/>
        </w:rPr>
      </w:pPr>
    </w:p>
    <w:p w14:paraId="6598E356" w14:textId="77777777" w:rsidR="00A32753" w:rsidRPr="00C73778" w:rsidRDefault="00A32753" w:rsidP="00A32753">
      <w:pPr>
        <w:jc w:val="both"/>
        <w:rPr>
          <w:rStyle w:val="italic"/>
        </w:rPr>
      </w:pPr>
      <w:r>
        <w:rPr>
          <w:rStyle w:val="verdana"/>
        </w:rPr>
        <w:t xml:space="preserve">A “dominant” purpose is that which was the ruling, prevailing or most influential purpose </w:t>
      </w:r>
      <w:proofErr w:type="gramStart"/>
      <w:r>
        <w:rPr>
          <w:rStyle w:val="verdana"/>
        </w:rPr>
        <w:t xml:space="preserve">per  </w:t>
      </w:r>
      <w:r>
        <w:rPr>
          <w:i/>
        </w:rPr>
        <w:t>Mitsubishi</w:t>
      </w:r>
      <w:proofErr w:type="gramEnd"/>
      <w:r>
        <w:rPr>
          <w:i/>
        </w:rPr>
        <w:t xml:space="preserve"> v Victorian </w:t>
      </w:r>
      <w:proofErr w:type="spellStart"/>
      <w:r>
        <w:rPr>
          <w:i/>
        </w:rPr>
        <w:t>Workcover</w:t>
      </w:r>
      <w:proofErr w:type="spellEnd"/>
      <w:r>
        <w:rPr>
          <w:i/>
        </w:rPr>
        <w:t xml:space="preserve"> Authority</w:t>
      </w:r>
      <w:r>
        <w:t>.</w:t>
      </w:r>
      <w:r>
        <w:rPr>
          <w:i/>
        </w:rPr>
        <w:t xml:space="preserve"> </w:t>
      </w:r>
      <w:r>
        <w:rPr>
          <w:rStyle w:val="verdana"/>
        </w:rPr>
        <w:t xml:space="preserve">It is one which is of greater importance than any other and it is more than the primary or a substantial purpose. It must be clearly paramount as stated in </w:t>
      </w:r>
      <w:r w:rsidRPr="00C73778">
        <w:rPr>
          <w:rStyle w:val="italic"/>
          <w:i/>
        </w:rPr>
        <w:t>Waugh v British Railways Board</w:t>
      </w:r>
      <w:r>
        <w:rPr>
          <w:rStyle w:val="italic"/>
        </w:rPr>
        <w:t>.</w:t>
      </w:r>
    </w:p>
    <w:p w14:paraId="35564577" w14:textId="77777777" w:rsidR="00A32753" w:rsidRDefault="00A32753" w:rsidP="00A32753">
      <w:pPr>
        <w:jc w:val="both"/>
        <w:rPr>
          <w:rStyle w:val="italic"/>
        </w:rPr>
      </w:pPr>
    </w:p>
    <w:p w14:paraId="49B3BD4C" w14:textId="77777777" w:rsidR="00A32753" w:rsidRPr="00C44651" w:rsidRDefault="00A32753" w:rsidP="00A32753">
      <w:pPr>
        <w:jc w:val="both"/>
      </w:pPr>
      <w:r>
        <w:rPr>
          <w:rStyle w:val="verdana"/>
        </w:rPr>
        <w:t xml:space="preserve">Where two purposes are of equal weight, neither is dominant. If the decision to bring the document into existence would have been made irrespective of any purpose of obtaining legal advice, the latter purpose cannot be dominant per </w:t>
      </w:r>
      <w:bookmarkStart w:id="5" w:name="COE.25240.ANT13B"/>
      <w:bookmarkEnd w:id="5"/>
      <w:r w:rsidRPr="00C44651">
        <w:rPr>
          <w:rStyle w:val="italic"/>
          <w:i/>
        </w:rPr>
        <w:t>Commissioner of Taxation (</w:t>
      </w:r>
      <w:proofErr w:type="spellStart"/>
      <w:r w:rsidRPr="00C44651">
        <w:rPr>
          <w:rStyle w:val="italic"/>
          <w:i/>
        </w:rPr>
        <w:t>Cth</w:t>
      </w:r>
      <w:proofErr w:type="spellEnd"/>
      <w:r w:rsidRPr="00C44651">
        <w:rPr>
          <w:rStyle w:val="italic"/>
          <w:i/>
        </w:rPr>
        <w:t>) v Pratt Holdings Pty Ltd</w:t>
      </w:r>
      <w:r>
        <w:rPr>
          <w:rStyle w:val="italic"/>
        </w:rPr>
        <w:t>.</w:t>
      </w:r>
    </w:p>
    <w:p w14:paraId="0F71E900" w14:textId="77777777" w:rsidR="00A32753" w:rsidRDefault="00A32753" w:rsidP="00A32753">
      <w:pPr>
        <w:jc w:val="both"/>
        <w:rPr>
          <w:i/>
        </w:rPr>
      </w:pPr>
    </w:p>
    <w:p w14:paraId="2004570E" w14:textId="77777777" w:rsidR="00A32753" w:rsidRDefault="00A32753" w:rsidP="00A32753">
      <w:pPr>
        <w:jc w:val="both"/>
      </w:pPr>
      <w:bookmarkStart w:id="6" w:name="195-7450.3"/>
      <w:bookmarkEnd w:id="6"/>
      <w:r w:rsidRPr="006254A4">
        <w:t>In</w:t>
      </w:r>
      <w:r>
        <w:rPr>
          <w:i/>
        </w:rPr>
        <w:t xml:space="preserve"> Mitsubishi v Victorian </w:t>
      </w:r>
      <w:proofErr w:type="spellStart"/>
      <w:r>
        <w:rPr>
          <w:i/>
        </w:rPr>
        <w:t>Workcover</w:t>
      </w:r>
      <w:proofErr w:type="spellEnd"/>
      <w:r>
        <w:rPr>
          <w:i/>
        </w:rPr>
        <w:t xml:space="preserve"> Authority </w:t>
      </w:r>
      <w:r>
        <w:t>[2002] VSCA 59 at [10] the Court stated</w:t>
      </w:r>
    </w:p>
    <w:p w14:paraId="618C7473" w14:textId="77777777" w:rsidR="00A32753" w:rsidRDefault="00A32753" w:rsidP="00A32753">
      <w:pPr>
        <w:ind w:left="720"/>
      </w:pPr>
    </w:p>
    <w:p w14:paraId="645C3ABD" w14:textId="19C77146" w:rsidR="00A32753" w:rsidRPr="00A94AA3" w:rsidRDefault="00A32753" w:rsidP="00A32753">
      <w:pPr>
        <w:ind w:left="720"/>
        <w:rPr>
          <w:i/>
        </w:rPr>
      </w:pPr>
      <w:r w:rsidRPr="00A94AA3">
        <w:rPr>
          <w:i/>
        </w:rPr>
        <w:t xml:space="preserve">‘In its ordinary meaning “dominant” indicates that purpose which was the ruling, prevailing, or most influential purpose. </w:t>
      </w:r>
      <w:proofErr w:type="spellStart"/>
      <w:r w:rsidRPr="00A94AA3">
        <w:rPr>
          <w:i/>
        </w:rPr>
        <w:t>Barwick</w:t>
      </w:r>
      <w:proofErr w:type="spellEnd"/>
      <w:r w:rsidRPr="00A94AA3">
        <w:rPr>
          <w:i/>
        </w:rPr>
        <w:t>, C.J</w:t>
      </w:r>
      <w:proofErr w:type="gramStart"/>
      <w:r w:rsidRPr="00A94AA3">
        <w:rPr>
          <w:i/>
        </w:rPr>
        <w:t xml:space="preserve">., </w:t>
      </w:r>
      <w:r w:rsidR="002C3F35">
        <w:rPr>
          <w:i/>
        </w:rPr>
        <w:t>…</w:t>
      </w:r>
      <w:proofErr w:type="gramEnd"/>
      <w:r w:rsidR="002C3F35">
        <w:rPr>
          <w:i/>
        </w:rPr>
        <w:t xml:space="preserve"> </w:t>
      </w:r>
      <w:r w:rsidRPr="00A94AA3">
        <w:rPr>
          <w:i/>
        </w:rPr>
        <w:t>distinguished “dominant” from “primary” and “substantial</w:t>
      </w:r>
      <w:r w:rsidRPr="00605464">
        <w:rPr>
          <w:i/>
          <w:u w:val="single"/>
        </w:rPr>
        <w:t>”. Lord Edmund</w:t>
      </w:r>
      <w:r w:rsidR="009A5B45">
        <w:rPr>
          <w:i/>
          <w:u w:val="single"/>
        </w:rPr>
        <w:t>–</w:t>
      </w:r>
      <w:r w:rsidRPr="00605464">
        <w:rPr>
          <w:i/>
          <w:u w:val="single"/>
        </w:rPr>
        <w:t xml:space="preserve">Davies in Waugh, in adopting the test propounded by </w:t>
      </w:r>
      <w:proofErr w:type="spellStart"/>
      <w:r w:rsidRPr="00605464">
        <w:rPr>
          <w:i/>
          <w:u w:val="single"/>
        </w:rPr>
        <w:t>Barwick</w:t>
      </w:r>
      <w:proofErr w:type="spellEnd"/>
      <w:r w:rsidRPr="00605464">
        <w:rPr>
          <w:i/>
          <w:u w:val="single"/>
        </w:rPr>
        <w:t xml:space="preserve">, C.J., was of the view that the element of clear </w:t>
      </w:r>
      <w:proofErr w:type="spellStart"/>
      <w:r w:rsidRPr="00605464">
        <w:rPr>
          <w:i/>
          <w:u w:val="single"/>
        </w:rPr>
        <w:t>paramountcy</w:t>
      </w:r>
      <w:proofErr w:type="spellEnd"/>
      <w:r w:rsidRPr="00605464">
        <w:rPr>
          <w:i/>
          <w:u w:val="single"/>
        </w:rPr>
        <w:t xml:space="preserve"> should be the touchstone. That, as it seems to me, shows the meaning of “dominant”.</w:t>
      </w:r>
      <w:r w:rsidRPr="00A94AA3">
        <w:rPr>
          <w:i/>
        </w:rPr>
        <w:t>’</w:t>
      </w:r>
    </w:p>
    <w:p w14:paraId="41465221" w14:textId="77777777" w:rsidR="00A32753" w:rsidRDefault="00A32753" w:rsidP="00A32753"/>
    <w:p w14:paraId="3D051121" w14:textId="77777777" w:rsidR="002C3F35" w:rsidRDefault="00A32753" w:rsidP="002C3F35">
      <w:r>
        <w:t xml:space="preserve">In </w:t>
      </w:r>
      <w:r w:rsidRPr="001B3BBF">
        <w:rPr>
          <w:i/>
        </w:rPr>
        <w:t>Esso Australia Resources Ltd v FCT</w:t>
      </w:r>
      <w:r w:rsidRPr="001B3BBF">
        <w:t> (1999) 201 CLR 49</w:t>
      </w:r>
      <w:r>
        <w:t xml:space="preserve"> it was stated by the High Court that </w:t>
      </w:r>
    </w:p>
    <w:p w14:paraId="60FA8939" w14:textId="72658DFD" w:rsidR="00A32753" w:rsidRPr="00605464" w:rsidRDefault="00A32753" w:rsidP="002C3F35">
      <w:pPr>
        <w:ind w:left="720"/>
        <w:rPr>
          <w:i/>
          <w:u w:val="single"/>
        </w:rPr>
      </w:pPr>
      <w:r>
        <w:rPr>
          <w:i/>
        </w:rPr>
        <w:lastRenderedPageBreak/>
        <w:t>‘</w:t>
      </w:r>
      <w:r w:rsidRPr="00605464">
        <w:rPr>
          <w:i/>
          <w:u w:val="single"/>
        </w:rPr>
        <w:t>The fact that a report which is prepared for a dominant purpose, which is a legal purpose, and for a subsidiary purpose as well does not mean that, if the dominant purpose did not exist, the report would nevertheless still have come into existence ... it might be the dominant purpose which alone accounts for the existence of the report.</w:t>
      </w:r>
    </w:p>
    <w:p w14:paraId="066F3FE1" w14:textId="77777777" w:rsidR="00A32753" w:rsidRDefault="00A32753" w:rsidP="00A32753"/>
    <w:p w14:paraId="3A3AD138" w14:textId="77777777" w:rsidR="003D13DB" w:rsidRPr="00A94AA3" w:rsidRDefault="003D13DB" w:rsidP="00A32753"/>
    <w:p w14:paraId="74F24AFD" w14:textId="77777777" w:rsidR="00A32753" w:rsidRDefault="00A32753" w:rsidP="00A32753">
      <w:pPr>
        <w:rPr>
          <w:b/>
          <w:i/>
        </w:rPr>
      </w:pPr>
    </w:p>
    <w:p w14:paraId="7666B0ED" w14:textId="189AA7CA" w:rsidR="00A32753" w:rsidRPr="00BB42D3" w:rsidRDefault="00CF566F" w:rsidP="00A32753">
      <w:pPr>
        <w:rPr>
          <w:b/>
          <w:i/>
        </w:rPr>
      </w:pPr>
      <w:r>
        <w:rPr>
          <w:b/>
          <w:i/>
        </w:rPr>
        <w:t>**</w:t>
      </w:r>
      <w:r w:rsidR="00A32753" w:rsidRPr="00BB42D3">
        <w:rPr>
          <w:b/>
          <w:i/>
        </w:rPr>
        <w:t xml:space="preserve">Extent of Privilege – </w:t>
      </w:r>
      <w:r w:rsidR="00105F48" w:rsidRPr="00C74C95">
        <w:rPr>
          <w:b/>
          <w:i/>
        </w:rPr>
        <w:t>COMMON TO BOTH</w:t>
      </w:r>
      <w:r w:rsidR="00105F48">
        <w:rPr>
          <w:b/>
          <w:i/>
        </w:rPr>
        <w:t xml:space="preserve"> ADVICE AND LITIGATION</w:t>
      </w:r>
    </w:p>
    <w:p w14:paraId="5C9E701A" w14:textId="77777777" w:rsidR="00A32753" w:rsidRDefault="00A32753" w:rsidP="00A32753">
      <w:pPr>
        <w:rPr>
          <w:b/>
          <w:i/>
        </w:rPr>
      </w:pPr>
    </w:p>
    <w:p w14:paraId="1D2D87A4" w14:textId="6A4813A7" w:rsidR="00A32753" w:rsidRDefault="00A32753" w:rsidP="00392BC9">
      <w:pPr>
        <w:pStyle w:val="ListParagraph"/>
        <w:numPr>
          <w:ilvl w:val="0"/>
          <w:numId w:val="60"/>
        </w:numPr>
      </w:pPr>
      <w:r w:rsidRPr="004F771C">
        <w:rPr>
          <w:i/>
        </w:rPr>
        <w:t>Applies to</w:t>
      </w:r>
      <w:r w:rsidR="004F771C" w:rsidRPr="004F771C">
        <w:rPr>
          <w:i/>
        </w:rPr>
        <w:t xml:space="preserve"> </w:t>
      </w:r>
      <w:r w:rsidR="004F771C">
        <w:t xml:space="preserve">– </w:t>
      </w:r>
      <w:r>
        <w:t xml:space="preserve">Legal privilege relates to advice from a legal practitioner in a particular jurisdiction in which the client is seeking advice from. It is a legal professional right that cannot be abolished in any circumstances except where the express and unmistakable language of the Statute provides for it as stated in </w:t>
      </w:r>
      <w:r w:rsidRPr="004F771C">
        <w:rPr>
          <w:i/>
        </w:rPr>
        <w:t>Daniels Corp International Pty Ltd v Australian Competition and Consumer Commission</w:t>
      </w:r>
      <w:r w:rsidRPr="0096111F">
        <w:t> </w:t>
      </w:r>
      <w:hyperlink r:id="rId11" w:tgtFrame="_parent" w:history="1">
        <w:r w:rsidRPr="0096111F">
          <w:t>(2002) 192 ALR 561</w:t>
        </w:r>
      </w:hyperlink>
      <w:r>
        <w:t>.</w:t>
      </w:r>
    </w:p>
    <w:p w14:paraId="76B97019" w14:textId="77777777" w:rsidR="00A32753" w:rsidRDefault="00A32753" w:rsidP="00A32753"/>
    <w:p w14:paraId="430E60E6" w14:textId="10757FCA" w:rsidR="00A32753" w:rsidRDefault="0035653E" w:rsidP="00392BC9">
      <w:pPr>
        <w:pStyle w:val="ListParagraph"/>
        <w:numPr>
          <w:ilvl w:val="0"/>
          <w:numId w:val="60"/>
        </w:numPr>
      </w:pPr>
      <w:r>
        <w:rPr>
          <w:i/>
        </w:rPr>
        <w:t>Not limited to quasi</w:t>
      </w:r>
      <w:r w:rsidR="009A5B45">
        <w:rPr>
          <w:i/>
        </w:rPr>
        <w:t>–</w:t>
      </w:r>
      <w:r>
        <w:rPr>
          <w:i/>
        </w:rPr>
        <w:t xml:space="preserve">judicial proceedings – </w:t>
      </w:r>
      <w:r w:rsidR="00A32753">
        <w:t xml:space="preserve">Subject to any statutory provisions – as seen in </w:t>
      </w:r>
      <w:r w:rsidR="00A32753" w:rsidRPr="0035653E">
        <w:rPr>
          <w:i/>
        </w:rPr>
        <w:t xml:space="preserve">Controlled Consultants Pty Ltd v Commissioner for Corporate Affairs </w:t>
      </w:r>
      <w:r w:rsidR="00A32753">
        <w:t>(1985) 156 CLR 385 above – the privilege applies to all forms of disclosure and is not just limited to judicial and quasi</w:t>
      </w:r>
      <w:r w:rsidR="009A5B45">
        <w:t>–</w:t>
      </w:r>
      <w:r w:rsidR="00A32753">
        <w:t xml:space="preserve">judicial proceedings as </w:t>
      </w:r>
      <w:r w:rsidR="00A32753" w:rsidRPr="00AC2288">
        <w:t xml:space="preserve">per </w:t>
      </w:r>
      <w:r w:rsidR="00A32753" w:rsidRPr="0035653E">
        <w:rPr>
          <w:i/>
        </w:rPr>
        <w:t>Baker v Campbell</w:t>
      </w:r>
      <w:r w:rsidR="00A32753" w:rsidRPr="00AC2288">
        <w:t> (1983) 153 CLR 52</w:t>
      </w:r>
      <w:r w:rsidR="00A32753">
        <w:t xml:space="preserve">. </w:t>
      </w:r>
    </w:p>
    <w:p w14:paraId="19A82E19" w14:textId="77777777" w:rsidR="00A32753" w:rsidRDefault="00A32753" w:rsidP="00A32753"/>
    <w:p w14:paraId="63FD470D" w14:textId="77777777" w:rsidR="00A32753" w:rsidRDefault="00A32753" w:rsidP="00A32753">
      <w:r>
        <w:t>Some other examples include:</w:t>
      </w:r>
    </w:p>
    <w:p w14:paraId="069BB2FD" w14:textId="77777777" w:rsidR="00A32753" w:rsidRDefault="00A32753" w:rsidP="00A32753"/>
    <w:p w14:paraId="1E2E51A7" w14:textId="482766E0" w:rsidR="00A32753" w:rsidRDefault="00A32753" w:rsidP="00A32753">
      <w:pPr>
        <w:pStyle w:val="ListParagraph"/>
        <w:numPr>
          <w:ilvl w:val="0"/>
          <w:numId w:val="45"/>
        </w:numPr>
      </w:pPr>
      <w:r w:rsidRPr="0063562A">
        <w:rPr>
          <w:b/>
          <w:i/>
        </w:rPr>
        <w:t>Matters which the same lawyer is advising two parties or where a disclosure is made to person with a common interest in the proceeding or impending proceeding</w:t>
      </w:r>
      <w:r w:rsidRPr="0062240E">
        <w:rPr>
          <w:i/>
        </w:rPr>
        <w:t xml:space="preserve"> </w:t>
      </w:r>
      <w:r w:rsidR="009A5B45">
        <w:t>–</w:t>
      </w:r>
      <w:r>
        <w:t xml:space="preserve"> </w:t>
      </w:r>
      <w:r w:rsidRPr="002B273C">
        <w:rPr>
          <w:i/>
        </w:rPr>
        <w:t>Baker v Campbell</w:t>
      </w:r>
      <w:r w:rsidRPr="002B273C">
        <w:t> </w:t>
      </w:r>
      <w:r>
        <w:t>(1983) 153 CLR 52.</w:t>
      </w:r>
    </w:p>
    <w:p w14:paraId="71FF40EB" w14:textId="77777777" w:rsidR="00A32753" w:rsidRDefault="00A32753" w:rsidP="00A32753">
      <w:pPr>
        <w:pStyle w:val="ListParagraph"/>
      </w:pPr>
    </w:p>
    <w:p w14:paraId="686A5B9F" w14:textId="37A092AD" w:rsidR="00A32753" w:rsidRDefault="00A32753" w:rsidP="00A32753">
      <w:pPr>
        <w:pStyle w:val="ListParagraph"/>
        <w:numPr>
          <w:ilvl w:val="0"/>
          <w:numId w:val="45"/>
        </w:numPr>
      </w:pPr>
      <w:r w:rsidRPr="0063562A">
        <w:rPr>
          <w:b/>
          <w:i/>
        </w:rPr>
        <w:t>Client Privilege</w:t>
      </w:r>
      <w:r>
        <w:t xml:space="preserve"> </w:t>
      </w:r>
      <w:r w:rsidR="009A5B45">
        <w:t>–</w:t>
      </w:r>
      <w:r>
        <w:t xml:space="preserve"> Legal professional privilege also belongs to the client and any person with a ‘common interest’ in the litigation. </w:t>
      </w:r>
    </w:p>
    <w:p w14:paraId="5349E450" w14:textId="77777777" w:rsidR="00A32753" w:rsidRDefault="00A32753" w:rsidP="00A32753">
      <w:pPr>
        <w:pStyle w:val="ListParagraph"/>
        <w:numPr>
          <w:ilvl w:val="1"/>
          <w:numId w:val="45"/>
        </w:numPr>
      </w:pPr>
      <w:r>
        <w:t xml:space="preserve">The privilege can only be waived or claimed, as relevant, by the client and not by the lawyer unless instructions by the client as per </w:t>
      </w:r>
      <w:r w:rsidRPr="00BA4BBD">
        <w:rPr>
          <w:i/>
        </w:rPr>
        <w:t>Baker v Campbell</w:t>
      </w:r>
      <w:r w:rsidRPr="00AC2288">
        <w:t> (1983) 153 CLR 52</w:t>
      </w:r>
      <w:r>
        <w:t xml:space="preserve">. </w:t>
      </w:r>
    </w:p>
    <w:p w14:paraId="54C8AD13" w14:textId="77777777" w:rsidR="00A32753" w:rsidRDefault="00A32753" w:rsidP="00A32753">
      <w:pPr>
        <w:pStyle w:val="ListParagraph"/>
        <w:ind w:left="1440"/>
      </w:pPr>
    </w:p>
    <w:p w14:paraId="31A48DD7" w14:textId="77777777" w:rsidR="00A32753" w:rsidRDefault="00A32753" w:rsidP="00A32753">
      <w:pPr>
        <w:pStyle w:val="ListParagraph"/>
        <w:numPr>
          <w:ilvl w:val="0"/>
          <w:numId w:val="45"/>
        </w:numPr>
      </w:pPr>
      <w:r w:rsidRPr="0063562A">
        <w:rPr>
          <w:b/>
          <w:i/>
        </w:rPr>
        <w:t>Copies of Documents</w:t>
      </w:r>
      <w:r>
        <w:t xml:space="preserve"> – A photocopy of a document is privileged pas per </w:t>
      </w:r>
      <w:r w:rsidRPr="00822F86">
        <w:rPr>
          <w:i/>
        </w:rPr>
        <w:t>Commissioner, Australian Federal Police v Propend Finance Pty</w:t>
      </w:r>
      <w:r w:rsidRPr="00822F86">
        <w:t xml:space="preserve"> Ltd (1997) 188 CLR 501</w:t>
      </w:r>
      <w:r>
        <w:t xml:space="preserve">. </w:t>
      </w:r>
    </w:p>
    <w:p w14:paraId="10E24614" w14:textId="77777777" w:rsidR="00A32753" w:rsidRDefault="00A32753" w:rsidP="00A32753">
      <w:pPr>
        <w:pStyle w:val="ListParagraph"/>
      </w:pPr>
    </w:p>
    <w:p w14:paraId="53A71FFE" w14:textId="77777777" w:rsidR="00A32753" w:rsidRDefault="00A32753" w:rsidP="00A32753">
      <w:pPr>
        <w:pStyle w:val="ListParagraph"/>
        <w:numPr>
          <w:ilvl w:val="0"/>
          <w:numId w:val="45"/>
        </w:numPr>
      </w:pPr>
      <w:r w:rsidRPr="0063562A">
        <w:rPr>
          <w:b/>
          <w:i/>
        </w:rPr>
        <w:t>Notes made of a privileged document</w:t>
      </w:r>
      <w:r>
        <w:rPr>
          <w:i/>
        </w:rPr>
        <w:t xml:space="preserve"> </w:t>
      </w:r>
      <w:r>
        <w:t xml:space="preserve">– If notes are made regarding a privileged document and the note satisfies the dominant purpose test then the note is privileged as per </w:t>
      </w:r>
      <w:r w:rsidRPr="007014AE">
        <w:rPr>
          <w:i/>
        </w:rPr>
        <w:t>Kennedy v Lyell</w:t>
      </w:r>
      <w:r w:rsidRPr="007014AE">
        <w:t> </w:t>
      </w:r>
      <w:hyperlink r:id="rId12" w:tgtFrame="_parent" w:history="1">
        <w:r w:rsidRPr="007014AE">
          <w:t xml:space="preserve">(1883) 23 </w:t>
        </w:r>
        <w:proofErr w:type="spellStart"/>
        <w:r w:rsidRPr="007014AE">
          <w:t>Ch</w:t>
        </w:r>
        <w:proofErr w:type="spellEnd"/>
        <w:r w:rsidRPr="007014AE">
          <w:t xml:space="preserve"> D 387</w:t>
        </w:r>
      </w:hyperlink>
      <w:r>
        <w:t>.</w:t>
      </w:r>
    </w:p>
    <w:p w14:paraId="4D832BFD" w14:textId="77777777" w:rsidR="00A32753" w:rsidRDefault="00A32753" w:rsidP="00A32753">
      <w:pPr>
        <w:pStyle w:val="ListParagraph"/>
      </w:pPr>
    </w:p>
    <w:p w14:paraId="3C3B6526" w14:textId="50B2E4EB" w:rsidR="00A32753" w:rsidRPr="00822F86" w:rsidRDefault="00A32753" w:rsidP="00A32753">
      <w:pPr>
        <w:pStyle w:val="ListParagraph"/>
        <w:numPr>
          <w:ilvl w:val="0"/>
          <w:numId w:val="45"/>
        </w:numPr>
      </w:pPr>
      <w:r w:rsidRPr="0063562A">
        <w:rPr>
          <w:b/>
          <w:i/>
        </w:rPr>
        <w:t>Search Warrants</w:t>
      </w:r>
      <w:r>
        <w:t xml:space="preserve"> – If legal professional privilege attaches to documents held by a firm then those documents cannot be made the subject of a warrant </w:t>
      </w:r>
      <w:r w:rsidR="009A5B45">
        <w:t>–</w:t>
      </w:r>
      <w:r>
        <w:t xml:space="preserve"> as per </w:t>
      </w:r>
      <w:r w:rsidRPr="00325C19">
        <w:rPr>
          <w:i/>
        </w:rPr>
        <w:t>Baker v Campbell</w:t>
      </w:r>
      <w:r w:rsidRPr="00325C19">
        <w:t> (1983) 153 CLR 52</w:t>
      </w:r>
      <w:r>
        <w:t xml:space="preserve"> </w:t>
      </w:r>
      <w:r w:rsidR="009A5B45">
        <w:t>–</w:t>
      </w:r>
      <w:r>
        <w:t xml:space="preserve"> and the question of privilege should be addressed by the person issuing the warrant </w:t>
      </w:r>
      <w:r w:rsidRPr="00581FBF">
        <w:rPr>
          <w:i/>
        </w:rPr>
        <w:t>Arno v Forsyth</w:t>
      </w:r>
      <w:r w:rsidRPr="00581FBF">
        <w:t> (1986) 9 FCR 576.</w:t>
      </w:r>
    </w:p>
    <w:p w14:paraId="4DA42D48" w14:textId="77777777" w:rsidR="00A32753" w:rsidRDefault="00A32753" w:rsidP="00A32753">
      <w:pPr>
        <w:pStyle w:val="NoSpacing"/>
      </w:pPr>
    </w:p>
    <w:p w14:paraId="2E6A1220" w14:textId="77777777" w:rsidR="00A32753" w:rsidRDefault="00A32753" w:rsidP="00A32753">
      <w:pPr>
        <w:pStyle w:val="NoSpacing"/>
      </w:pPr>
      <w:r>
        <w:t xml:space="preserve">The privilege covers communications between a </w:t>
      </w:r>
      <w:proofErr w:type="spellStart"/>
      <w:r>
        <w:t>clients</w:t>
      </w:r>
      <w:proofErr w:type="spellEnd"/>
      <w:r>
        <w:t xml:space="preserve"> agent and legal advisors as per </w:t>
      </w:r>
      <w:r w:rsidRPr="009B3A2C">
        <w:rPr>
          <w:i/>
        </w:rPr>
        <w:t xml:space="preserve">Wheeler v Le </w:t>
      </w:r>
      <w:proofErr w:type="spellStart"/>
      <w:r w:rsidRPr="009B3A2C">
        <w:rPr>
          <w:i/>
        </w:rPr>
        <w:t>Marchant</w:t>
      </w:r>
      <w:proofErr w:type="spellEnd"/>
      <w:r w:rsidRPr="009B3A2C">
        <w:t> </w:t>
      </w:r>
      <w:hyperlink r:id="rId13" w:tgtFrame="_parent" w:history="1">
        <w:r w:rsidRPr="009B3A2C">
          <w:t xml:space="preserve">(1881) 17 </w:t>
        </w:r>
        <w:proofErr w:type="spellStart"/>
        <w:r w:rsidRPr="009B3A2C">
          <w:t>Ch</w:t>
        </w:r>
        <w:proofErr w:type="spellEnd"/>
        <w:r w:rsidRPr="009B3A2C">
          <w:t xml:space="preserve"> D 675</w:t>
        </w:r>
      </w:hyperlink>
      <w:r>
        <w:t>.</w:t>
      </w:r>
    </w:p>
    <w:p w14:paraId="36462FD7" w14:textId="77777777" w:rsidR="00A32753" w:rsidRDefault="00A32753" w:rsidP="00A32753"/>
    <w:p w14:paraId="3DA61942" w14:textId="77777777" w:rsidR="00A32753" w:rsidRDefault="00A32753" w:rsidP="00A32753">
      <w:pPr>
        <w:rPr>
          <w:i/>
        </w:rPr>
      </w:pPr>
    </w:p>
    <w:p w14:paraId="2823BDC3" w14:textId="77777777" w:rsidR="00A32753" w:rsidRDefault="00A32753" w:rsidP="00A32753">
      <w:pPr>
        <w:rPr>
          <w:i/>
        </w:rPr>
      </w:pPr>
    </w:p>
    <w:p w14:paraId="2B6A8341" w14:textId="0023ACEE" w:rsidR="00A32753" w:rsidRPr="00105F48" w:rsidRDefault="00CF566F" w:rsidP="00A32753">
      <w:pPr>
        <w:rPr>
          <w:b/>
          <w:i/>
        </w:rPr>
      </w:pPr>
      <w:r>
        <w:rPr>
          <w:b/>
          <w:i/>
        </w:rPr>
        <w:lastRenderedPageBreak/>
        <w:t>**</w:t>
      </w:r>
      <w:r w:rsidR="00A32753" w:rsidRPr="00105F48">
        <w:rPr>
          <w:b/>
          <w:i/>
        </w:rPr>
        <w:t>Exceptions – COMMON TO BOTH</w:t>
      </w:r>
    </w:p>
    <w:p w14:paraId="303A2829" w14:textId="77777777" w:rsidR="00A32753" w:rsidRDefault="00A32753" w:rsidP="00A32753"/>
    <w:p w14:paraId="422374AD" w14:textId="2D7EEFDE" w:rsidR="00A32753" w:rsidRDefault="00CF566F" w:rsidP="00392BC9">
      <w:pPr>
        <w:pStyle w:val="ListParagraph"/>
        <w:numPr>
          <w:ilvl w:val="0"/>
          <w:numId w:val="61"/>
        </w:numPr>
      </w:pPr>
      <w:r>
        <w:rPr>
          <w:i/>
        </w:rPr>
        <w:t xml:space="preserve">Disclose of communication </w:t>
      </w:r>
      <w:proofErr w:type="spellStart"/>
      <w:r>
        <w:rPr>
          <w:i/>
        </w:rPr>
        <w:t>looses</w:t>
      </w:r>
      <w:proofErr w:type="spellEnd"/>
      <w:r>
        <w:rPr>
          <w:i/>
        </w:rPr>
        <w:t xml:space="preserve"> privilege – </w:t>
      </w:r>
      <w:r w:rsidR="00A32753" w:rsidRPr="00F36314">
        <w:t>Where a client or party or party disclose, by purpose or consent, confident communications then</w:t>
      </w:r>
      <w:r w:rsidR="00A32753">
        <w:t xml:space="preserve"> the privilege is generally lost as per </w:t>
      </w:r>
      <w:r w:rsidR="00A32753" w:rsidRPr="00CF566F">
        <w:rPr>
          <w:i/>
        </w:rPr>
        <w:t>Baker v Campbell</w:t>
      </w:r>
      <w:r w:rsidR="00A32753" w:rsidRPr="002B273C">
        <w:t> </w:t>
      </w:r>
      <w:r w:rsidR="00A32753">
        <w:t xml:space="preserve">(1983) 153 CLR 52. It does not extend to material which has an existence apart from the advice process as per </w:t>
      </w:r>
      <w:r w:rsidR="00A32753" w:rsidRPr="00CF566F">
        <w:rPr>
          <w:i/>
        </w:rPr>
        <w:t>Baker v Campbell</w:t>
      </w:r>
      <w:r w:rsidR="00A32753" w:rsidRPr="002B273C">
        <w:t> </w:t>
      </w:r>
      <w:r w:rsidR="00A32753">
        <w:t>(1983) 153 CLR 52. Legal professional privilege can be waived at any time by the client.</w:t>
      </w:r>
    </w:p>
    <w:p w14:paraId="653FEB22" w14:textId="77777777" w:rsidR="00A32753" w:rsidRPr="00F95B94" w:rsidRDefault="00A32753" w:rsidP="00A32753"/>
    <w:p w14:paraId="602C72D5" w14:textId="2F1BA3E7" w:rsidR="00A32753" w:rsidRDefault="00A32753" w:rsidP="00392BC9">
      <w:pPr>
        <w:pStyle w:val="ListParagraph"/>
        <w:numPr>
          <w:ilvl w:val="0"/>
          <w:numId w:val="61"/>
        </w:numPr>
      </w:pPr>
      <w:r>
        <w:t xml:space="preserve">This infers that the privilege cannot operate beyond the reach of the law documentary or other material which has an existence apart from the process of giving or receiving advice or the conduct of litigation as per </w:t>
      </w:r>
      <w:r w:rsidRPr="00DC4A8A">
        <w:rPr>
          <w:i/>
        </w:rPr>
        <w:t xml:space="preserve">Grant v Downs </w:t>
      </w:r>
      <w:r>
        <w:t>(1976) 135 CLR 674.</w:t>
      </w:r>
    </w:p>
    <w:p w14:paraId="243E3C68" w14:textId="77777777" w:rsidR="00A32753" w:rsidRDefault="00A32753" w:rsidP="00A32753"/>
    <w:p w14:paraId="02A03242" w14:textId="77777777" w:rsidR="00A32753" w:rsidRPr="00DC4A8A" w:rsidRDefault="00A32753" w:rsidP="00A32753">
      <w:pPr>
        <w:rPr>
          <w:b/>
        </w:rPr>
      </w:pPr>
      <w:r w:rsidRPr="00DC4A8A">
        <w:rPr>
          <w:b/>
        </w:rPr>
        <w:t>There is no privilege for:</w:t>
      </w:r>
    </w:p>
    <w:p w14:paraId="56B4C499" w14:textId="77777777" w:rsidR="00A32753" w:rsidRDefault="00A32753" w:rsidP="00A32753">
      <w:pPr>
        <w:pStyle w:val="ListParagraph"/>
      </w:pPr>
    </w:p>
    <w:p w14:paraId="6FE70B61" w14:textId="77777777" w:rsidR="00A32753" w:rsidRDefault="00A32753" w:rsidP="00A32753">
      <w:pPr>
        <w:pStyle w:val="ListParagraph"/>
        <w:numPr>
          <w:ilvl w:val="0"/>
          <w:numId w:val="44"/>
        </w:numPr>
      </w:pPr>
      <w:r>
        <w:t>Documents which are the means of carrying out, or are evidence of, transactions which are not themselves the giving or receiving of advice or part of the conduct of actual or anticipated litigation.</w:t>
      </w:r>
    </w:p>
    <w:p w14:paraId="0DAC8B5E" w14:textId="77777777" w:rsidR="00A32753" w:rsidRDefault="00A32753" w:rsidP="00A32753">
      <w:pPr>
        <w:pStyle w:val="ListParagraph"/>
        <w:numPr>
          <w:ilvl w:val="0"/>
          <w:numId w:val="44"/>
        </w:numPr>
      </w:pPr>
      <w:r>
        <w:t>Communications which would otherwise be privileged lose their immunity disclosure if they amount to a participation in a crime or a fraud.</w:t>
      </w:r>
    </w:p>
    <w:p w14:paraId="2F6B43AE" w14:textId="77777777" w:rsidR="00A32753" w:rsidRDefault="00A32753" w:rsidP="00A32753">
      <w:pPr>
        <w:pStyle w:val="ListParagraph"/>
        <w:numPr>
          <w:ilvl w:val="0"/>
          <w:numId w:val="44"/>
        </w:numPr>
      </w:pPr>
      <w:r>
        <w:t>Documents were the client has expressly waived the privilege.</w:t>
      </w:r>
    </w:p>
    <w:p w14:paraId="41103C55" w14:textId="77777777" w:rsidR="00A32753" w:rsidRDefault="00A32753" w:rsidP="00A32753">
      <w:pPr>
        <w:ind w:left="360"/>
      </w:pPr>
    </w:p>
    <w:p w14:paraId="26E765B8" w14:textId="77777777" w:rsidR="00A32753" w:rsidRDefault="00A32753" w:rsidP="00A32753">
      <w:proofErr w:type="gramStart"/>
      <w:r>
        <w:t>as</w:t>
      </w:r>
      <w:proofErr w:type="gramEnd"/>
      <w:r>
        <w:t xml:space="preserve"> per </w:t>
      </w:r>
      <w:r w:rsidRPr="002B273C">
        <w:rPr>
          <w:i/>
        </w:rPr>
        <w:t>Baker v Campbell</w:t>
      </w:r>
      <w:r w:rsidRPr="002B273C">
        <w:t> </w:t>
      </w:r>
      <w:r>
        <w:t>(1983) 153 CLR 52.</w:t>
      </w:r>
    </w:p>
    <w:p w14:paraId="1635F958" w14:textId="77777777" w:rsidR="00A32753" w:rsidRDefault="00A32753" w:rsidP="00A32753"/>
    <w:p w14:paraId="2FAB72F8" w14:textId="08888F16" w:rsidR="00A32753" w:rsidRPr="00700204" w:rsidRDefault="00700204" w:rsidP="00A32753">
      <w:pPr>
        <w:rPr>
          <w:b/>
          <w:i/>
        </w:rPr>
      </w:pPr>
      <w:r>
        <w:rPr>
          <w:b/>
          <w:i/>
        </w:rPr>
        <w:t>**</w:t>
      </w:r>
      <w:r w:rsidR="00A32753" w:rsidRPr="00700204">
        <w:rPr>
          <w:b/>
          <w:i/>
        </w:rPr>
        <w:t>3 Main Exceptions</w:t>
      </w:r>
    </w:p>
    <w:p w14:paraId="5F66714E" w14:textId="77777777" w:rsidR="00A32753" w:rsidRDefault="00A32753" w:rsidP="00A32753"/>
    <w:p w14:paraId="781595AC" w14:textId="77777777" w:rsidR="00A32753" w:rsidRPr="002923A5" w:rsidRDefault="00A32753" w:rsidP="00392BC9">
      <w:pPr>
        <w:pStyle w:val="ListParagraph"/>
        <w:numPr>
          <w:ilvl w:val="0"/>
          <w:numId w:val="51"/>
        </w:numPr>
        <w:rPr>
          <w:b/>
          <w:i/>
        </w:rPr>
      </w:pPr>
      <w:r w:rsidRPr="002923A5">
        <w:rPr>
          <w:b/>
          <w:i/>
        </w:rPr>
        <w:t xml:space="preserve">To commit a crime generally </w:t>
      </w:r>
    </w:p>
    <w:p w14:paraId="6F1BED9A" w14:textId="77777777" w:rsidR="00A32753" w:rsidRDefault="00A32753" w:rsidP="00A32753">
      <w:pPr>
        <w:rPr>
          <w:i/>
        </w:rPr>
      </w:pPr>
    </w:p>
    <w:p w14:paraId="1D773265" w14:textId="77777777" w:rsidR="00A32753" w:rsidRDefault="00A32753" w:rsidP="00A32753">
      <w:r>
        <w:t xml:space="preserve">There is a presumption that there is no intention to interfere with basic common law doctrines unless the words of the statute expressly or necessarily require that result as per </w:t>
      </w:r>
      <w:r w:rsidRPr="00442028">
        <w:rPr>
          <w:i/>
        </w:rPr>
        <w:t xml:space="preserve">Potter v </w:t>
      </w:r>
      <w:proofErr w:type="spellStart"/>
      <w:r w:rsidRPr="00442028">
        <w:rPr>
          <w:i/>
        </w:rPr>
        <w:t>Minahan</w:t>
      </w:r>
      <w:proofErr w:type="spellEnd"/>
      <w:r w:rsidRPr="00442028">
        <w:rPr>
          <w:i/>
        </w:rPr>
        <w:t xml:space="preserve"> </w:t>
      </w:r>
      <w:r>
        <w:t xml:space="preserve">(1908) 7 277. If a client seeks advice from a lawyer intended to assist in the commission of a crime or engagement of fraud, the legal adviser being ignorant of the purpose of the advice, the communication between the two attracts no privilege. </w:t>
      </w:r>
    </w:p>
    <w:p w14:paraId="00D51381" w14:textId="77777777" w:rsidR="00A32753" w:rsidRDefault="00A32753" w:rsidP="00A32753"/>
    <w:p w14:paraId="0959E1EE" w14:textId="77777777" w:rsidR="00A32753" w:rsidRDefault="00A32753" w:rsidP="00A32753">
      <w:pPr>
        <w:pStyle w:val="ListParagraph"/>
        <w:numPr>
          <w:ilvl w:val="1"/>
          <w:numId w:val="46"/>
        </w:numPr>
        <w:ind w:left="720"/>
      </w:pPr>
      <w:r>
        <w:t xml:space="preserve">This is regardless of whether the legal adviser knows of the unlawful purpose being intended or not as per </w:t>
      </w:r>
      <w:r w:rsidRPr="00762F16">
        <w:rPr>
          <w:i/>
        </w:rPr>
        <w:t>Baker v Evans</w:t>
      </w:r>
      <w:r w:rsidRPr="00762F16">
        <w:t> </w:t>
      </w:r>
      <w:hyperlink r:id="rId14" w:tgtFrame="_parent" w:history="1">
        <w:r w:rsidRPr="00762F16">
          <w:t>(1987) 77 ALR 565</w:t>
        </w:r>
      </w:hyperlink>
      <w:r>
        <w:t>.</w:t>
      </w:r>
    </w:p>
    <w:p w14:paraId="583D256D" w14:textId="77777777" w:rsidR="00A32753" w:rsidRDefault="00A32753" w:rsidP="00A32753">
      <w:pPr>
        <w:pStyle w:val="ListParagraph"/>
      </w:pPr>
    </w:p>
    <w:p w14:paraId="3CD1B441" w14:textId="77777777" w:rsidR="00A32753" w:rsidRPr="005D4FF5" w:rsidRDefault="00A32753" w:rsidP="00A32753">
      <w:pPr>
        <w:pStyle w:val="ListParagraph"/>
        <w:numPr>
          <w:ilvl w:val="1"/>
          <w:numId w:val="46"/>
        </w:numPr>
        <w:ind w:left="720"/>
        <w:rPr>
          <w:rStyle w:val="apple-converted-space"/>
        </w:rPr>
      </w:pPr>
      <w:r>
        <w:t xml:space="preserve">It includes the furtherance of some illegal activity that the client is intending or is engaged upon as per </w:t>
      </w:r>
      <w:r w:rsidRPr="00E126CF">
        <w:rPr>
          <w:i/>
        </w:rPr>
        <w:t>Baker v Campbell</w:t>
      </w:r>
      <w:r w:rsidRPr="00E126CF">
        <w:t> (1983) 153 CLR 52</w:t>
      </w:r>
      <w:r>
        <w:rPr>
          <w:rStyle w:val="apple-converted-space"/>
          <w:rFonts w:ascii="Verdana" w:hAnsi="Verdana"/>
          <w:color w:val="000000"/>
          <w:sz w:val="11"/>
          <w:szCs w:val="11"/>
        </w:rPr>
        <w:t> </w:t>
      </w:r>
    </w:p>
    <w:p w14:paraId="53FD0830" w14:textId="77777777" w:rsidR="00A32753" w:rsidRDefault="00A32753" w:rsidP="00A32753">
      <w:pPr>
        <w:pStyle w:val="ListParagraph"/>
      </w:pPr>
    </w:p>
    <w:p w14:paraId="2D300CD4" w14:textId="77777777" w:rsidR="00A32753" w:rsidRDefault="00A32753" w:rsidP="00A32753">
      <w:pPr>
        <w:pStyle w:val="ListParagraph"/>
        <w:numPr>
          <w:ilvl w:val="1"/>
          <w:numId w:val="46"/>
        </w:numPr>
        <w:ind w:left="720"/>
      </w:pPr>
      <w:r>
        <w:t xml:space="preserve">The person alleging the illegal activity bears the proof that such an illegal activity was occurring in order to be sufficiently capable of removing the privilege as per </w:t>
      </w:r>
      <w:r w:rsidRPr="00762F16">
        <w:rPr>
          <w:i/>
        </w:rPr>
        <w:t>Baker v Evans</w:t>
      </w:r>
      <w:r w:rsidRPr="00762F16">
        <w:t> </w:t>
      </w:r>
      <w:hyperlink r:id="rId15" w:tgtFrame="_parent" w:history="1">
        <w:r w:rsidRPr="00762F16">
          <w:t>(1987) 77 ALR 565</w:t>
        </w:r>
      </w:hyperlink>
      <w:r>
        <w:t>.</w:t>
      </w:r>
    </w:p>
    <w:p w14:paraId="2768F05E" w14:textId="77777777" w:rsidR="00A32753" w:rsidRDefault="00A32753" w:rsidP="00A32753"/>
    <w:p w14:paraId="7FDA0755" w14:textId="77777777" w:rsidR="00A32753" w:rsidRDefault="00A32753" w:rsidP="00A32753">
      <w:pPr>
        <w:rPr>
          <w:rStyle w:val="italic"/>
        </w:rPr>
      </w:pPr>
      <w:r>
        <w:t xml:space="preserve">As stated by Stephen J in </w:t>
      </w:r>
      <w:r w:rsidRPr="002A2397">
        <w:rPr>
          <w:rStyle w:val="italic"/>
          <w:i/>
        </w:rPr>
        <w:t>R v Cox</w:t>
      </w:r>
      <w:r>
        <w:rPr>
          <w:rStyle w:val="italic"/>
        </w:rPr>
        <w:t xml:space="preserve">, it this wasn’t the case then a man intending to </w:t>
      </w:r>
    </w:p>
    <w:p w14:paraId="6A584921" w14:textId="77777777" w:rsidR="00A32753" w:rsidRDefault="00A32753" w:rsidP="00A32753">
      <w:pPr>
        <w:rPr>
          <w:rStyle w:val="italic"/>
        </w:rPr>
      </w:pPr>
    </w:p>
    <w:p w14:paraId="57FA5D90" w14:textId="77777777" w:rsidR="00A32753" w:rsidRPr="002A2397" w:rsidRDefault="00A32753" w:rsidP="00A32753">
      <w:pPr>
        <w:ind w:left="360"/>
        <w:rPr>
          <w:i/>
        </w:rPr>
      </w:pPr>
      <w:r w:rsidRPr="002A2397">
        <w:rPr>
          <w:rStyle w:val="italic"/>
          <w:i/>
        </w:rPr>
        <w:t>‘</w:t>
      </w:r>
      <w:proofErr w:type="gramStart"/>
      <w:r w:rsidRPr="002A2397">
        <w:rPr>
          <w:rStyle w:val="italic"/>
          <w:i/>
        </w:rPr>
        <w:t>commit</w:t>
      </w:r>
      <w:proofErr w:type="gramEnd"/>
      <w:r w:rsidRPr="002A2397">
        <w:rPr>
          <w:rStyle w:val="italic"/>
          <w:i/>
        </w:rPr>
        <w:t xml:space="preserve"> murder or treason might easily take legal advice for the purpose of enabling himself to do so with impunity and to frustrate criminal purposes’</w:t>
      </w:r>
    </w:p>
    <w:p w14:paraId="5C9FB236" w14:textId="77777777" w:rsidR="00A32753" w:rsidRDefault="00A32753" w:rsidP="00A32753"/>
    <w:p w14:paraId="75849C81" w14:textId="28AEFC3B" w:rsidR="00A32753" w:rsidRDefault="00A32753" w:rsidP="00A32753">
      <w:pPr>
        <w:rPr>
          <w:rStyle w:val="verdana"/>
        </w:rPr>
      </w:pPr>
      <w:r>
        <w:t xml:space="preserve">If a party is alleging that legal privilege doesn’t attach, this party must </w:t>
      </w:r>
      <w:r>
        <w:rPr>
          <w:rStyle w:val="verdana"/>
        </w:rPr>
        <w:t xml:space="preserve">displace the privilege by demonstrating more than a mere allegation of fraud or crime or illegal purpose. In </w:t>
      </w:r>
      <w:r>
        <w:rPr>
          <w:rStyle w:val="verdana"/>
          <w:i/>
        </w:rPr>
        <w:t xml:space="preserve">AFP v Propend Finance Pty </w:t>
      </w:r>
      <w:proofErr w:type="gramStart"/>
      <w:r>
        <w:rPr>
          <w:rStyle w:val="verdana"/>
          <w:i/>
        </w:rPr>
        <w:t xml:space="preserve">Ltd </w:t>
      </w:r>
      <w:r>
        <w:rPr>
          <w:rStyle w:val="verdana"/>
        </w:rPr>
        <w:t xml:space="preserve"> </w:t>
      </w:r>
      <w:r w:rsidR="009A5B45">
        <w:rPr>
          <w:rStyle w:val="verdana"/>
        </w:rPr>
        <w:t>–</w:t>
      </w:r>
      <w:proofErr w:type="gramEnd"/>
      <w:r>
        <w:rPr>
          <w:rStyle w:val="verdana"/>
        </w:rPr>
        <w:t xml:space="preserve"> </w:t>
      </w:r>
    </w:p>
    <w:p w14:paraId="7B74E75D" w14:textId="77777777" w:rsidR="00A32753" w:rsidRDefault="00A32753" w:rsidP="00A32753">
      <w:pPr>
        <w:rPr>
          <w:rStyle w:val="verdana"/>
        </w:rPr>
      </w:pPr>
    </w:p>
    <w:p w14:paraId="4EDCC735" w14:textId="77777777" w:rsidR="00A32753" w:rsidRPr="00E53D17" w:rsidRDefault="00A32753" w:rsidP="00A32753">
      <w:pPr>
        <w:ind w:left="720"/>
        <w:rPr>
          <w:rStyle w:val="verdana"/>
          <w:i/>
        </w:rPr>
      </w:pPr>
      <w:r>
        <w:rPr>
          <w:rStyle w:val="verdana"/>
          <w:i/>
        </w:rPr>
        <w:t>‘the person alleging that legal professional privilege is lost for illegality must state clearly the charge of illegality made for the purse of show, with some precision, what it is’</w:t>
      </w:r>
    </w:p>
    <w:p w14:paraId="06D30FCE" w14:textId="77777777" w:rsidR="00A32753" w:rsidRDefault="00A32753" w:rsidP="00A32753">
      <w:pPr>
        <w:rPr>
          <w:rStyle w:val="verdana"/>
        </w:rPr>
      </w:pPr>
    </w:p>
    <w:p w14:paraId="6A11F340" w14:textId="77777777" w:rsidR="00A32753" w:rsidRDefault="00A32753" w:rsidP="00A32753">
      <w:pPr>
        <w:rPr>
          <w:rStyle w:val="verdana"/>
        </w:rPr>
      </w:pPr>
      <w:r>
        <w:rPr>
          <w:rStyle w:val="verdana"/>
        </w:rPr>
        <w:t xml:space="preserve">Additionally, it was also stated in </w:t>
      </w:r>
      <w:r w:rsidRPr="0088016C">
        <w:rPr>
          <w:rStyle w:val="italic"/>
          <w:i/>
        </w:rPr>
        <w:t xml:space="preserve">O'Rourke v </w:t>
      </w:r>
      <w:proofErr w:type="spellStart"/>
      <w:r w:rsidRPr="0088016C">
        <w:rPr>
          <w:rStyle w:val="italic"/>
          <w:i/>
        </w:rPr>
        <w:t>Darbishire</w:t>
      </w:r>
      <w:proofErr w:type="spellEnd"/>
      <w:r>
        <w:rPr>
          <w:rStyle w:val="italic"/>
        </w:rPr>
        <w:t>, provide</w:t>
      </w:r>
      <w:r>
        <w:rPr>
          <w:rStyle w:val="verdana"/>
        </w:rPr>
        <w:t xml:space="preserve"> </w:t>
      </w:r>
    </w:p>
    <w:p w14:paraId="4DADDEE7" w14:textId="77777777" w:rsidR="00A32753" w:rsidRDefault="00A32753" w:rsidP="00A32753">
      <w:pPr>
        <w:rPr>
          <w:rStyle w:val="verdana"/>
        </w:rPr>
      </w:pPr>
    </w:p>
    <w:p w14:paraId="224D190A" w14:textId="77777777" w:rsidR="00A32753" w:rsidRPr="0088016C" w:rsidRDefault="00A32753" w:rsidP="00A32753">
      <w:pPr>
        <w:ind w:left="360"/>
      </w:pPr>
      <w:r w:rsidRPr="0088016C">
        <w:rPr>
          <w:rStyle w:val="verdana"/>
          <w:i/>
        </w:rPr>
        <w:t>‘</w:t>
      </w:r>
      <w:proofErr w:type="gramStart"/>
      <w:r w:rsidRPr="0088016C">
        <w:rPr>
          <w:rStyle w:val="verdana"/>
          <w:i/>
        </w:rPr>
        <w:t>something</w:t>
      </w:r>
      <w:proofErr w:type="gramEnd"/>
      <w:r w:rsidRPr="0088016C">
        <w:rPr>
          <w:rStyle w:val="verdana"/>
          <w:i/>
        </w:rPr>
        <w:t xml:space="preserve"> to give </w:t>
      </w:r>
      <w:proofErr w:type="spellStart"/>
      <w:r w:rsidRPr="0088016C">
        <w:rPr>
          <w:rStyle w:val="verdana"/>
          <w:i/>
        </w:rPr>
        <w:t>colour</w:t>
      </w:r>
      <w:proofErr w:type="spellEnd"/>
      <w:r w:rsidRPr="0088016C">
        <w:rPr>
          <w:rStyle w:val="verdana"/>
          <w:i/>
        </w:rPr>
        <w:t xml:space="preserve"> to the charge. The statement must be made in clear and definite terms, and there must further be some </w:t>
      </w:r>
      <w:r w:rsidRPr="0088016C">
        <w:rPr>
          <w:rStyle w:val="italic"/>
          <w:i/>
        </w:rPr>
        <w:t>prima facie</w:t>
      </w:r>
      <w:r w:rsidRPr="0088016C">
        <w:rPr>
          <w:rStyle w:val="verdana"/>
          <w:i/>
        </w:rPr>
        <w:t xml:space="preserve"> evidence that it has some foundation in fact’</w:t>
      </w:r>
      <w:r>
        <w:rPr>
          <w:rStyle w:val="verdana"/>
          <w:i/>
        </w:rPr>
        <w:t xml:space="preserve"> </w:t>
      </w:r>
    </w:p>
    <w:p w14:paraId="02C6554D" w14:textId="77777777" w:rsidR="00A32753" w:rsidRDefault="00A32753" w:rsidP="00A32753"/>
    <w:p w14:paraId="0DC31516" w14:textId="4D64127C" w:rsidR="00A32753" w:rsidRDefault="00A32753" w:rsidP="00A32753">
      <w:pPr>
        <w:rPr>
          <w:rStyle w:val="verdana"/>
        </w:rPr>
      </w:pPr>
      <w:r>
        <w:rPr>
          <w:rStyle w:val="verdana"/>
        </w:rPr>
        <w:t>The party should also show that the communication in question was brought into existence in preparation for or in furtherance of</w:t>
      </w:r>
      <w:bookmarkStart w:id="7" w:name="COE.25290.ANT13-R"/>
      <w:r>
        <w:rPr>
          <w:rStyle w:val="verdana"/>
        </w:rPr>
        <w:t>, or</w:t>
      </w:r>
      <w:hyperlink r:id="rId16" w:anchor="COE.25290.ANT13" w:history="1"/>
      <w:bookmarkEnd w:id="7"/>
      <w:r>
        <w:rPr>
          <w:rStyle w:val="verdana"/>
        </w:rPr>
        <w:t xml:space="preserve"> a party to that crime or fraud as suggested in the case of </w:t>
      </w:r>
      <w:r w:rsidRPr="0088016C">
        <w:rPr>
          <w:rStyle w:val="italic"/>
          <w:i/>
        </w:rPr>
        <w:t>Plumb v Monck and Bohm</w:t>
      </w:r>
      <w:r>
        <w:rPr>
          <w:rStyle w:val="verdana"/>
        </w:rPr>
        <w:t>. When this exception is raised the court will be more ready to permit cross</w:t>
      </w:r>
      <w:r w:rsidR="009A5B45">
        <w:rPr>
          <w:rStyle w:val="verdana"/>
        </w:rPr>
        <w:t>–</w:t>
      </w:r>
      <w:r>
        <w:rPr>
          <w:rStyle w:val="verdana"/>
        </w:rPr>
        <w:t xml:space="preserve">examination of the party asserting the privilege as stated in </w:t>
      </w:r>
      <w:r w:rsidRPr="00F16B0E">
        <w:rPr>
          <w:rStyle w:val="italic"/>
          <w:i/>
        </w:rPr>
        <w:t>Re Compass Airlines Pty Ltd</w:t>
      </w:r>
      <w:r>
        <w:rPr>
          <w:rStyle w:val="italic"/>
        </w:rPr>
        <w:t>.</w:t>
      </w:r>
      <w:r>
        <w:rPr>
          <w:rStyle w:val="verdana"/>
        </w:rPr>
        <w:t xml:space="preserve"> The fraud need not be that of either client or lawyer; it may be that of a third party.</w:t>
      </w:r>
    </w:p>
    <w:p w14:paraId="100CA39F" w14:textId="77777777" w:rsidR="00A32753" w:rsidRDefault="00A32753" w:rsidP="00A32753">
      <w:pPr>
        <w:rPr>
          <w:rStyle w:val="verdana"/>
        </w:rPr>
      </w:pPr>
    </w:p>
    <w:p w14:paraId="4FEDBED6" w14:textId="323A349B" w:rsidR="00A32753" w:rsidRPr="002923A5" w:rsidRDefault="00A32753" w:rsidP="00A32753">
      <w:pPr>
        <w:pStyle w:val="ListParagraph"/>
        <w:numPr>
          <w:ilvl w:val="0"/>
          <w:numId w:val="46"/>
        </w:numPr>
        <w:rPr>
          <w:b/>
          <w:i/>
        </w:rPr>
      </w:pPr>
      <w:r w:rsidRPr="002923A5">
        <w:rPr>
          <w:b/>
          <w:i/>
        </w:rPr>
        <w:t>Facts discovered during the client</w:t>
      </w:r>
      <w:r w:rsidR="009A5B45">
        <w:rPr>
          <w:b/>
          <w:i/>
        </w:rPr>
        <w:t>–</w:t>
      </w:r>
      <w:r w:rsidRPr="002923A5">
        <w:rPr>
          <w:b/>
          <w:i/>
        </w:rPr>
        <w:t>lawyer relationship</w:t>
      </w:r>
    </w:p>
    <w:p w14:paraId="6EBEFACB" w14:textId="77777777" w:rsidR="00A32753" w:rsidRDefault="00A32753" w:rsidP="00A32753">
      <w:pPr>
        <w:pStyle w:val="NoSpacing"/>
      </w:pPr>
    </w:p>
    <w:p w14:paraId="2FA842E5" w14:textId="77777777" w:rsidR="00A32753" w:rsidRPr="002A4F5A" w:rsidRDefault="00A32753" w:rsidP="00A32753">
      <w:pPr>
        <w:pStyle w:val="NoSpacing"/>
        <w:rPr>
          <w:i/>
        </w:rPr>
      </w:pPr>
      <w:r>
        <w:rPr>
          <w:i/>
        </w:rPr>
        <w:t>Must disclose clients address</w:t>
      </w:r>
    </w:p>
    <w:p w14:paraId="651B1C7D" w14:textId="77777777" w:rsidR="00A32753" w:rsidRDefault="00A32753" w:rsidP="00A32753">
      <w:pPr>
        <w:pStyle w:val="NoSpacing"/>
      </w:pPr>
    </w:p>
    <w:p w14:paraId="5C20C452" w14:textId="77777777" w:rsidR="00A32753" w:rsidRDefault="00A32753" w:rsidP="00A32753">
      <w:pPr>
        <w:pStyle w:val="NoSpacing"/>
      </w:pPr>
      <w:r>
        <w:t xml:space="preserve">A solicitor is obliged to give to the court any information (including the client's address) which will enable the court to discover the whereabouts of a ward of court whose residence is being concealed from the court per </w:t>
      </w:r>
      <w:bookmarkStart w:id="8" w:name="COE.25295.ANT8"/>
      <w:bookmarkEnd w:id="8"/>
      <w:r w:rsidRPr="0089189B">
        <w:rPr>
          <w:rStyle w:val="italic"/>
          <w:i/>
        </w:rPr>
        <w:t>Ramsbotham v Senior</w:t>
      </w:r>
      <w:r>
        <w:rPr>
          <w:rStyle w:val="italic"/>
        </w:rPr>
        <w:t>.</w:t>
      </w:r>
      <w:r>
        <w:t xml:space="preserve"> </w:t>
      </w:r>
    </w:p>
    <w:p w14:paraId="7018609E" w14:textId="77777777" w:rsidR="00A32753" w:rsidRDefault="00A32753" w:rsidP="00A32753">
      <w:pPr>
        <w:pStyle w:val="NoSpacing"/>
      </w:pPr>
    </w:p>
    <w:p w14:paraId="723F7DA3" w14:textId="77777777" w:rsidR="00A32753" w:rsidRPr="002A4F5A" w:rsidRDefault="00A32753" w:rsidP="00A32753">
      <w:pPr>
        <w:pStyle w:val="NoSpacing"/>
        <w:rPr>
          <w:i/>
        </w:rPr>
      </w:pPr>
      <w:r>
        <w:rPr>
          <w:i/>
        </w:rPr>
        <w:t>Must disclose child whereabouts</w:t>
      </w:r>
    </w:p>
    <w:p w14:paraId="08C3DA2B" w14:textId="77777777" w:rsidR="00A32753" w:rsidRDefault="00A32753" w:rsidP="00A32753">
      <w:pPr>
        <w:pStyle w:val="NoSpacing"/>
      </w:pPr>
    </w:p>
    <w:p w14:paraId="5C955226" w14:textId="77777777" w:rsidR="00A32753" w:rsidRPr="002A4F5A" w:rsidRDefault="00A32753" w:rsidP="00A32753">
      <w:pPr>
        <w:pStyle w:val="NoSpacing"/>
      </w:pPr>
      <w:r>
        <w:t xml:space="preserve">Equally, no privilege exists to protect a solicitor from the obligation to disclose the whereabouts of a child in relation to whom an order for custody had been made under the Family Law Act 1975  per </w:t>
      </w:r>
      <w:r w:rsidRPr="002A4F5A">
        <w:rPr>
          <w:rStyle w:val="italic"/>
          <w:i/>
        </w:rPr>
        <w:t>R v Bell; Ex parte Lees</w:t>
      </w:r>
      <w:r>
        <w:rPr>
          <w:rStyle w:val="italic"/>
        </w:rPr>
        <w:t>.</w:t>
      </w:r>
    </w:p>
    <w:p w14:paraId="677D744A" w14:textId="77777777" w:rsidR="00A32753" w:rsidRDefault="00A32753" w:rsidP="00A32753">
      <w:pPr>
        <w:pStyle w:val="NoSpacing"/>
      </w:pPr>
    </w:p>
    <w:p w14:paraId="52E317B8" w14:textId="77777777" w:rsidR="00A32753" w:rsidRDefault="00A32753" w:rsidP="00A32753">
      <w:pPr>
        <w:pStyle w:val="NoSpacing"/>
      </w:pPr>
      <w:r>
        <w:t xml:space="preserve">The privilege is one granted by the law to the client. A client who by his or her conduct is guilty of great impropriety in concealing the court's ward thereby becomes disentitled to the privilege. </w:t>
      </w:r>
    </w:p>
    <w:p w14:paraId="400E947D" w14:textId="77777777" w:rsidR="00A32753" w:rsidRDefault="00A32753" w:rsidP="00A32753"/>
    <w:p w14:paraId="0A6362FE" w14:textId="77777777" w:rsidR="00A32753" w:rsidRDefault="00A32753" w:rsidP="00A32753">
      <w:pPr>
        <w:pStyle w:val="NoSpacing"/>
        <w:numPr>
          <w:ilvl w:val="0"/>
          <w:numId w:val="46"/>
        </w:numPr>
        <w:rPr>
          <w:b/>
          <w:i/>
        </w:rPr>
      </w:pPr>
      <w:r>
        <w:rPr>
          <w:b/>
          <w:i/>
        </w:rPr>
        <w:t>Waiver of Legal Privilege</w:t>
      </w:r>
    </w:p>
    <w:p w14:paraId="21D96D1D" w14:textId="77777777" w:rsidR="00A32753" w:rsidRDefault="00A32753" w:rsidP="00A32753">
      <w:pPr>
        <w:pStyle w:val="NoSpacing"/>
        <w:rPr>
          <w:b/>
          <w:i/>
        </w:rPr>
      </w:pPr>
    </w:p>
    <w:p w14:paraId="2D3BA5E9" w14:textId="77777777" w:rsidR="00A32753" w:rsidRDefault="00A32753" w:rsidP="00A32753">
      <w:pPr>
        <w:pStyle w:val="NoSpacing"/>
      </w:pPr>
      <w:r>
        <w:t xml:space="preserve">Privilege is that of the client but can be waived expressly or by implication in respect to particular issues or a specific document. A waiver will occur if there has been a disclosure by a party which is generally inconsistent with the privilege of holding it as per </w:t>
      </w:r>
      <w:r w:rsidRPr="00B95DCE">
        <w:rPr>
          <w:i/>
        </w:rPr>
        <w:t>Mann v Carnell</w:t>
      </w:r>
      <w:r w:rsidRPr="00B95DCE">
        <w:t> (1999) 201 CLR 1</w:t>
      </w:r>
      <w:r>
        <w:t>.</w:t>
      </w:r>
    </w:p>
    <w:p w14:paraId="6458B435" w14:textId="77777777" w:rsidR="00A32753" w:rsidRDefault="00A32753" w:rsidP="00A32753">
      <w:pPr>
        <w:pStyle w:val="NoSpacing"/>
      </w:pPr>
    </w:p>
    <w:p w14:paraId="3A0649EB" w14:textId="77777777" w:rsidR="00A32753" w:rsidRPr="00325DF9" w:rsidRDefault="00A32753" w:rsidP="00A32753">
      <w:pPr>
        <w:pStyle w:val="NoSpacing"/>
        <w:ind w:left="720"/>
        <w:rPr>
          <w:i/>
        </w:rPr>
      </w:pPr>
      <w:r>
        <w:rPr>
          <w:i/>
        </w:rPr>
        <w:t>“</w:t>
      </w:r>
      <w:r w:rsidRPr="00325DF9">
        <w:rPr>
          <w:rFonts w:eastAsia="Calibri" w:cs="Times New Roman"/>
          <w:i/>
        </w:rPr>
        <w:t>What brings about the waiver is the inconsistency, which the courts, where necessary informed by considerations of fairness, perceive, between the conduct of the client and maintenance of the confidentiality; not some overriding principle of fairness operating at large.</w:t>
      </w:r>
      <w:r>
        <w:rPr>
          <w:i/>
        </w:rPr>
        <w:t>”</w:t>
      </w:r>
    </w:p>
    <w:p w14:paraId="1E4E8F18" w14:textId="77777777" w:rsidR="00A32753" w:rsidRDefault="00A32753" w:rsidP="00A32753">
      <w:pPr>
        <w:pStyle w:val="NoSpacing"/>
      </w:pPr>
    </w:p>
    <w:p w14:paraId="46D45393" w14:textId="77777777" w:rsidR="00A32753" w:rsidRDefault="00A32753" w:rsidP="00A32753">
      <w:pPr>
        <w:pStyle w:val="NoSpacing"/>
        <w:rPr>
          <w:i/>
        </w:rPr>
      </w:pPr>
      <w:r>
        <w:rPr>
          <w:i/>
        </w:rPr>
        <w:t>Implied Waiver</w:t>
      </w:r>
    </w:p>
    <w:p w14:paraId="5A970FA8" w14:textId="77777777" w:rsidR="00A32753" w:rsidRPr="005C3662" w:rsidRDefault="00A32753" w:rsidP="00A32753">
      <w:pPr>
        <w:pStyle w:val="NoSpacing"/>
        <w:rPr>
          <w:i/>
        </w:rPr>
      </w:pPr>
    </w:p>
    <w:p w14:paraId="70409764" w14:textId="77777777" w:rsidR="00A32753" w:rsidRDefault="00A32753" w:rsidP="00A32753">
      <w:pPr>
        <w:pStyle w:val="NoSpacing"/>
      </w:pPr>
      <w:r>
        <w:t xml:space="preserve">Most typically, arguments relating to implied waiver consider the conduct which is inconsistent with the continuance of privilege as per </w:t>
      </w:r>
      <w:r w:rsidRPr="00B95DCE">
        <w:rPr>
          <w:i/>
        </w:rPr>
        <w:t>Mann v Carnell</w:t>
      </w:r>
      <w:r w:rsidRPr="00B95DCE">
        <w:t> (1999) 201 CLR 1</w:t>
      </w:r>
      <w:r>
        <w:t xml:space="preserve">. </w:t>
      </w:r>
    </w:p>
    <w:p w14:paraId="78FCBEBA" w14:textId="77777777" w:rsidR="00A32753" w:rsidRDefault="00A32753" w:rsidP="00A32753">
      <w:pPr>
        <w:pStyle w:val="NoSpacing"/>
      </w:pPr>
    </w:p>
    <w:p w14:paraId="132DD8E3" w14:textId="77777777" w:rsidR="00A32753" w:rsidRDefault="00A32753" w:rsidP="00A32753">
      <w:pPr>
        <w:pStyle w:val="NoSpacing"/>
      </w:pPr>
      <w:r>
        <w:t xml:space="preserve">The question of inconsistency is determined by the court by an objective consideration. In </w:t>
      </w:r>
      <w:r w:rsidRPr="00B95DCE">
        <w:rPr>
          <w:i/>
        </w:rPr>
        <w:t>Mann v Carnell</w:t>
      </w:r>
      <w:r w:rsidRPr="00B95DCE">
        <w:t> (1999) 201 CLR 1</w:t>
      </w:r>
      <w:r>
        <w:t xml:space="preserve"> it was stated </w:t>
      </w:r>
    </w:p>
    <w:p w14:paraId="60E644EB" w14:textId="77777777" w:rsidR="00A32753" w:rsidRDefault="00A32753" w:rsidP="00A32753">
      <w:pPr>
        <w:pStyle w:val="NoSpacing"/>
      </w:pPr>
    </w:p>
    <w:p w14:paraId="7CEEDE02" w14:textId="77777777" w:rsidR="00A32753" w:rsidRPr="00E264C1" w:rsidRDefault="00A32753" w:rsidP="00A32753">
      <w:pPr>
        <w:pStyle w:val="NoSpacing"/>
        <w:ind w:left="720"/>
        <w:rPr>
          <w:i/>
        </w:rPr>
      </w:pPr>
      <w:r w:rsidRPr="00E264C1">
        <w:rPr>
          <w:i/>
        </w:rPr>
        <w:t>“What brings about the waiver is the inconsistency, which the courts, where necessary informed by considerations of fairness, perceive, between the conduct of the client and maintenance of the confidentiality; not some overriding principle of fairness operating at large.”</w:t>
      </w:r>
    </w:p>
    <w:p w14:paraId="72C7EF7B" w14:textId="77777777" w:rsidR="00A32753" w:rsidRDefault="00A32753" w:rsidP="00A32753">
      <w:pPr>
        <w:pStyle w:val="NoSpacing"/>
      </w:pPr>
    </w:p>
    <w:p w14:paraId="7B3B2C27" w14:textId="77777777" w:rsidR="00A32753" w:rsidRDefault="00A32753" w:rsidP="00A32753">
      <w:pPr>
        <w:pStyle w:val="NoSpacing"/>
      </w:pPr>
      <w:r>
        <w:t xml:space="preserve">A wavier can also be implied in circumstances where it makes it unfair or misleading to maintain privilege as per </w:t>
      </w:r>
      <w:r w:rsidRPr="00A41DC4">
        <w:rPr>
          <w:i/>
        </w:rPr>
        <w:t>Benecke v National Bank</w:t>
      </w:r>
      <w:r w:rsidRPr="00A41DC4">
        <w:t> </w:t>
      </w:r>
      <w:hyperlink r:id="rId17" w:tgtFrame="_parent" w:history="1">
        <w:r w:rsidRPr="00A41DC4">
          <w:t>(1993) 35 NSWLR 110</w:t>
        </w:r>
      </w:hyperlink>
      <w:r>
        <w:t>.</w:t>
      </w:r>
    </w:p>
    <w:p w14:paraId="5E68CAB5" w14:textId="77777777" w:rsidR="003D13DB" w:rsidRDefault="003D13DB" w:rsidP="00A32753">
      <w:pPr>
        <w:rPr>
          <w:b/>
          <w:i/>
        </w:rPr>
      </w:pPr>
    </w:p>
    <w:p w14:paraId="029BCAC3" w14:textId="028DC5E6" w:rsidR="00A32753" w:rsidRPr="00E64004" w:rsidRDefault="00A32753" w:rsidP="00A32753">
      <w:pPr>
        <w:rPr>
          <w:b/>
          <w:i/>
        </w:rPr>
      </w:pPr>
      <w:r w:rsidRPr="00E64004">
        <w:rPr>
          <w:b/>
          <w:i/>
        </w:rPr>
        <w:t>Some examples of non</w:t>
      </w:r>
      <w:r w:rsidR="009A5B45">
        <w:rPr>
          <w:b/>
          <w:i/>
        </w:rPr>
        <w:t>–</w:t>
      </w:r>
      <w:r w:rsidRPr="00E64004">
        <w:rPr>
          <w:b/>
          <w:i/>
        </w:rPr>
        <w:t>privilege include:</w:t>
      </w:r>
    </w:p>
    <w:p w14:paraId="2DBE4BFF" w14:textId="77777777" w:rsidR="00A32753" w:rsidRDefault="00A32753" w:rsidP="00A32753"/>
    <w:p w14:paraId="78762F1B" w14:textId="239B01D7" w:rsidR="00A32753" w:rsidRDefault="00A32753" w:rsidP="00392BC9">
      <w:pPr>
        <w:pStyle w:val="ListParagraph"/>
        <w:numPr>
          <w:ilvl w:val="0"/>
          <w:numId w:val="50"/>
        </w:numPr>
      </w:pPr>
      <w:r w:rsidRPr="007C3548">
        <w:rPr>
          <w:b/>
          <w:i/>
        </w:rPr>
        <w:t>If a communication is made in the presence of third party</w:t>
      </w:r>
      <w:r w:rsidRPr="00BF313A">
        <w:rPr>
          <w:i/>
        </w:rPr>
        <w:t xml:space="preserve"> </w:t>
      </w:r>
      <w:r w:rsidR="009A5B45">
        <w:t>–</w:t>
      </w:r>
      <w:r>
        <w:t xml:space="preserve"> </w:t>
      </w:r>
      <w:r w:rsidRPr="00BF313A">
        <w:rPr>
          <w:rStyle w:val="apple-converted-space"/>
          <w:rFonts w:ascii="Verdana" w:hAnsi="Verdana"/>
          <w:color w:val="000000"/>
          <w:sz w:val="11"/>
          <w:szCs w:val="11"/>
        </w:rPr>
        <w:t> </w:t>
      </w:r>
      <w:bookmarkStart w:id="9" w:name="195-7475.1"/>
      <w:bookmarkEnd w:id="9"/>
      <w:r w:rsidRPr="00BF313A">
        <w:rPr>
          <w:i/>
        </w:rPr>
        <w:t>Re Griffin</w:t>
      </w:r>
      <w:r w:rsidRPr="00BF313A">
        <w:t> (1887) 8 LR (NSW) L 132</w:t>
      </w:r>
    </w:p>
    <w:p w14:paraId="68FA1BDD" w14:textId="77777777" w:rsidR="00A32753" w:rsidRDefault="00A32753" w:rsidP="00A32753">
      <w:pPr>
        <w:pStyle w:val="ListParagraph"/>
      </w:pPr>
    </w:p>
    <w:p w14:paraId="5E0BCD44" w14:textId="77777777" w:rsidR="00A32753" w:rsidRPr="00D95134" w:rsidRDefault="00A32753" w:rsidP="00392BC9">
      <w:pPr>
        <w:pStyle w:val="ListParagraph"/>
        <w:numPr>
          <w:ilvl w:val="0"/>
          <w:numId w:val="50"/>
        </w:numPr>
        <w:rPr>
          <w:i/>
        </w:rPr>
      </w:pPr>
      <w:r w:rsidRPr="007C3548">
        <w:rPr>
          <w:b/>
          <w:i/>
        </w:rPr>
        <w:t>Matters that occur in open Court</w:t>
      </w:r>
      <w:r>
        <w:rPr>
          <w:i/>
        </w:rPr>
        <w:t xml:space="preserve"> </w:t>
      </w:r>
      <w:r>
        <w:t xml:space="preserve">– per </w:t>
      </w:r>
      <w:bookmarkStart w:id="10" w:name="COE.25255.ANT5A"/>
      <w:bookmarkEnd w:id="10"/>
      <w:r w:rsidRPr="00D95134">
        <w:rPr>
          <w:rStyle w:val="italic"/>
          <w:i/>
        </w:rPr>
        <w:t>Nicholl v Jones</w:t>
      </w:r>
      <w:r w:rsidRPr="00D95134">
        <w:rPr>
          <w:rStyle w:val="tightinline"/>
          <w:i/>
        </w:rPr>
        <w:t xml:space="preserve"> (1865) 2 H &amp; M 588</w:t>
      </w:r>
    </w:p>
    <w:p w14:paraId="05CE9DB2" w14:textId="77777777" w:rsidR="00A32753" w:rsidRDefault="00A32753" w:rsidP="00A32753">
      <w:pPr>
        <w:pStyle w:val="ListParagraph"/>
      </w:pPr>
    </w:p>
    <w:p w14:paraId="62847008" w14:textId="4ABE572B" w:rsidR="00A32753" w:rsidRDefault="00A32753" w:rsidP="00392BC9">
      <w:pPr>
        <w:pStyle w:val="ListParagraph"/>
        <w:numPr>
          <w:ilvl w:val="0"/>
          <w:numId w:val="50"/>
        </w:numPr>
      </w:pPr>
      <w:r w:rsidRPr="007C3548">
        <w:rPr>
          <w:b/>
          <w:i/>
        </w:rPr>
        <w:t>If a communication is made available to another before privilege is claimed</w:t>
      </w:r>
      <w:r>
        <w:t xml:space="preserve"> </w:t>
      </w:r>
      <w:r w:rsidR="009A5B45">
        <w:t>–</w:t>
      </w:r>
      <w:r>
        <w:t xml:space="preserve"> </w:t>
      </w:r>
      <w:r w:rsidRPr="00AE4B0B">
        <w:rPr>
          <w:i/>
        </w:rPr>
        <w:t>Warner v Women’s Hospital </w:t>
      </w:r>
      <w:r w:rsidRPr="00AE4B0B">
        <w:t>[1954] VLR 410</w:t>
      </w:r>
    </w:p>
    <w:p w14:paraId="0DCACFDB" w14:textId="77777777" w:rsidR="00A32753" w:rsidRDefault="00A32753" w:rsidP="00A32753">
      <w:pPr>
        <w:pStyle w:val="ListParagraph"/>
      </w:pPr>
    </w:p>
    <w:p w14:paraId="3894BC15" w14:textId="6E06E1FE" w:rsidR="00A32753" w:rsidRDefault="00A32753" w:rsidP="00392BC9">
      <w:pPr>
        <w:pStyle w:val="ListParagraph"/>
        <w:numPr>
          <w:ilvl w:val="0"/>
          <w:numId w:val="50"/>
        </w:numPr>
      </w:pPr>
      <w:r w:rsidRPr="007C3548">
        <w:rPr>
          <w:b/>
          <w:i/>
        </w:rPr>
        <w:t>An accused person cannot access documents subject to the privilege</w:t>
      </w:r>
      <w:r>
        <w:t xml:space="preserve"> </w:t>
      </w:r>
      <w:r w:rsidR="009A5B45">
        <w:t>–</w:t>
      </w:r>
      <w:r>
        <w:t xml:space="preserve"> </w:t>
      </w:r>
      <w:r w:rsidRPr="006531C4">
        <w:rPr>
          <w:i/>
        </w:rPr>
        <w:t xml:space="preserve">Carter v </w:t>
      </w:r>
      <w:r w:rsidRPr="00620B4A">
        <w:rPr>
          <w:i/>
        </w:rPr>
        <w:t>Managing Partner, Northmore, Hale Davy &amp; Leake</w:t>
      </w:r>
      <w:r w:rsidRPr="006531C4">
        <w:t> (1995) 183 CLR 12</w:t>
      </w:r>
    </w:p>
    <w:p w14:paraId="3D003BF5" w14:textId="77777777" w:rsidR="00A32753" w:rsidRPr="00581FBF" w:rsidRDefault="00A32753" w:rsidP="00A32753">
      <w:pPr>
        <w:pStyle w:val="ListParagraph"/>
      </w:pPr>
    </w:p>
    <w:p w14:paraId="4D090709" w14:textId="65146680" w:rsidR="00A32753" w:rsidRDefault="00A32753" w:rsidP="00392BC9">
      <w:pPr>
        <w:pStyle w:val="ListParagraph"/>
        <w:numPr>
          <w:ilvl w:val="0"/>
          <w:numId w:val="50"/>
        </w:numPr>
      </w:pPr>
      <w:r w:rsidRPr="007C3548">
        <w:rPr>
          <w:b/>
          <w:i/>
        </w:rPr>
        <w:t>Physical objects other than documents</w:t>
      </w:r>
      <w:r w:rsidRPr="00D24A4C">
        <w:rPr>
          <w:i/>
        </w:rPr>
        <w:t xml:space="preserve"> </w:t>
      </w:r>
      <w:r w:rsidR="009A5B45">
        <w:rPr>
          <w:i/>
        </w:rPr>
        <w:t>–</w:t>
      </w:r>
      <w:r w:rsidRPr="00D24A4C">
        <w:rPr>
          <w:i/>
        </w:rPr>
        <w:t xml:space="preserve"> </w:t>
      </w:r>
      <w:r>
        <w:t xml:space="preserve">as per </w:t>
      </w:r>
      <w:r w:rsidRPr="00D24A4C">
        <w:rPr>
          <w:i/>
        </w:rPr>
        <w:t>Baker v Campbell</w:t>
      </w:r>
      <w:r w:rsidRPr="002B273C">
        <w:t> </w:t>
      </w:r>
      <w:r>
        <w:t>(1983) 153 CLR 52.</w:t>
      </w:r>
    </w:p>
    <w:p w14:paraId="6E5FC6B9" w14:textId="77777777" w:rsidR="00A32753" w:rsidRDefault="00A32753" w:rsidP="00A32753">
      <w:pPr>
        <w:pStyle w:val="ListParagraph"/>
      </w:pPr>
    </w:p>
    <w:p w14:paraId="6B579AF8" w14:textId="77777777" w:rsidR="00A32753" w:rsidRDefault="00A32753" w:rsidP="00392BC9">
      <w:pPr>
        <w:pStyle w:val="ListParagraph"/>
        <w:numPr>
          <w:ilvl w:val="0"/>
          <w:numId w:val="50"/>
        </w:numPr>
      </w:pPr>
      <w:r>
        <w:rPr>
          <w:b/>
          <w:i/>
        </w:rPr>
        <w:t xml:space="preserve">Whereabouts of a child the subject of a custody proceeding </w:t>
      </w:r>
      <w:r>
        <w:t xml:space="preserve">– </w:t>
      </w:r>
      <w:r w:rsidRPr="00581145">
        <w:rPr>
          <w:i/>
        </w:rPr>
        <w:t>Re Bell; Ex Parte Lees</w:t>
      </w:r>
      <w:r>
        <w:t xml:space="preserve"> (1980) 146 CLR 141</w:t>
      </w:r>
    </w:p>
    <w:p w14:paraId="2F9A6A2C" w14:textId="77777777" w:rsidR="00C6075D" w:rsidRDefault="00C6075D" w:rsidP="00A32753">
      <w:pPr>
        <w:pStyle w:val="NoSpacing"/>
        <w:rPr>
          <w:b/>
          <w:u w:val="single"/>
        </w:rPr>
      </w:pPr>
    </w:p>
    <w:p w14:paraId="51E7F2A0" w14:textId="77777777" w:rsidR="00C6075D" w:rsidRDefault="00C6075D" w:rsidP="00A32753">
      <w:pPr>
        <w:pStyle w:val="NoSpacing"/>
        <w:rPr>
          <w:b/>
          <w:u w:val="single"/>
        </w:rPr>
      </w:pPr>
    </w:p>
    <w:p w14:paraId="4A53B965" w14:textId="77777777" w:rsidR="00C6075D" w:rsidRDefault="00C6075D" w:rsidP="00A32753">
      <w:pPr>
        <w:pStyle w:val="NoSpacing"/>
        <w:rPr>
          <w:b/>
          <w:u w:val="single"/>
        </w:rPr>
      </w:pPr>
    </w:p>
    <w:p w14:paraId="08FC264B" w14:textId="77777777" w:rsidR="00C6075D" w:rsidRDefault="00C6075D" w:rsidP="00A32753">
      <w:pPr>
        <w:pStyle w:val="NoSpacing"/>
        <w:rPr>
          <w:b/>
          <w:u w:val="single"/>
        </w:rPr>
      </w:pPr>
    </w:p>
    <w:p w14:paraId="4C55D37A" w14:textId="77777777" w:rsidR="00C6075D" w:rsidRDefault="00C6075D" w:rsidP="00A32753">
      <w:pPr>
        <w:pStyle w:val="NoSpacing"/>
        <w:rPr>
          <w:b/>
          <w:u w:val="single"/>
        </w:rPr>
      </w:pPr>
    </w:p>
    <w:p w14:paraId="139ECD0F" w14:textId="77777777" w:rsidR="00C6075D" w:rsidRDefault="00C6075D" w:rsidP="00A32753">
      <w:pPr>
        <w:pStyle w:val="NoSpacing"/>
        <w:rPr>
          <w:b/>
          <w:u w:val="single"/>
        </w:rPr>
      </w:pPr>
    </w:p>
    <w:p w14:paraId="4E2D74D7" w14:textId="77777777" w:rsidR="00C6075D" w:rsidRDefault="00C6075D" w:rsidP="00A32753">
      <w:pPr>
        <w:pStyle w:val="NoSpacing"/>
        <w:rPr>
          <w:b/>
          <w:u w:val="single"/>
        </w:rPr>
      </w:pPr>
    </w:p>
    <w:p w14:paraId="40E84561" w14:textId="77777777" w:rsidR="00C6075D" w:rsidRDefault="00C6075D" w:rsidP="00A32753">
      <w:pPr>
        <w:pStyle w:val="NoSpacing"/>
        <w:rPr>
          <w:b/>
          <w:u w:val="single"/>
        </w:rPr>
      </w:pPr>
    </w:p>
    <w:p w14:paraId="29BA7BF2" w14:textId="77777777" w:rsidR="00C6075D" w:rsidRDefault="00C6075D" w:rsidP="00A32753">
      <w:pPr>
        <w:pStyle w:val="NoSpacing"/>
        <w:rPr>
          <w:b/>
          <w:u w:val="single"/>
        </w:rPr>
      </w:pPr>
    </w:p>
    <w:p w14:paraId="7231C75B" w14:textId="77777777" w:rsidR="00C6075D" w:rsidRDefault="00C6075D" w:rsidP="00A32753">
      <w:pPr>
        <w:pStyle w:val="NoSpacing"/>
        <w:rPr>
          <w:b/>
          <w:u w:val="single"/>
        </w:rPr>
      </w:pPr>
    </w:p>
    <w:p w14:paraId="7AB9E318" w14:textId="77777777" w:rsidR="00C6075D" w:rsidRDefault="00C6075D" w:rsidP="00A32753">
      <w:pPr>
        <w:pStyle w:val="NoSpacing"/>
        <w:rPr>
          <w:b/>
          <w:u w:val="single"/>
        </w:rPr>
      </w:pPr>
    </w:p>
    <w:p w14:paraId="484A0548" w14:textId="77777777" w:rsidR="00C6075D" w:rsidRDefault="00C6075D" w:rsidP="00A32753">
      <w:pPr>
        <w:pStyle w:val="NoSpacing"/>
        <w:rPr>
          <w:b/>
          <w:u w:val="single"/>
        </w:rPr>
      </w:pPr>
    </w:p>
    <w:p w14:paraId="5AB974D8" w14:textId="77777777" w:rsidR="00C6075D" w:rsidRDefault="00C6075D" w:rsidP="00A32753">
      <w:pPr>
        <w:pStyle w:val="NoSpacing"/>
        <w:rPr>
          <w:b/>
          <w:u w:val="single"/>
        </w:rPr>
      </w:pPr>
    </w:p>
    <w:p w14:paraId="17C46C92" w14:textId="77777777" w:rsidR="00C6075D" w:rsidRDefault="00C6075D" w:rsidP="00A32753">
      <w:pPr>
        <w:pStyle w:val="NoSpacing"/>
        <w:rPr>
          <w:b/>
          <w:u w:val="single"/>
        </w:rPr>
      </w:pPr>
    </w:p>
    <w:p w14:paraId="6585D84E" w14:textId="77777777" w:rsidR="00C6075D" w:rsidRDefault="00C6075D" w:rsidP="00A32753">
      <w:pPr>
        <w:pStyle w:val="NoSpacing"/>
        <w:rPr>
          <w:b/>
          <w:u w:val="single"/>
        </w:rPr>
      </w:pPr>
    </w:p>
    <w:p w14:paraId="5AC81C2C" w14:textId="77777777" w:rsidR="00C6075D" w:rsidRDefault="00C6075D" w:rsidP="00A32753">
      <w:pPr>
        <w:pStyle w:val="NoSpacing"/>
        <w:rPr>
          <w:b/>
          <w:u w:val="single"/>
        </w:rPr>
      </w:pPr>
    </w:p>
    <w:p w14:paraId="49EDBD25" w14:textId="77777777" w:rsidR="00C6075D" w:rsidRDefault="00C6075D" w:rsidP="00A32753">
      <w:pPr>
        <w:pStyle w:val="NoSpacing"/>
        <w:rPr>
          <w:b/>
          <w:u w:val="single"/>
        </w:rPr>
      </w:pPr>
    </w:p>
    <w:p w14:paraId="407E0344" w14:textId="77777777" w:rsidR="00C6075D" w:rsidRDefault="00C6075D" w:rsidP="00A32753">
      <w:pPr>
        <w:pStyle w:val="NoSpacing"/>
        <w:rPr>
          <w:b/>
          <w:u w:val="single"/>
        </w:rPr>
      </w:pPr>
    </w:p>
    <w:p w14:paraId="3D5024D7" w14:textId="77777777" w:rsidR="00C6075D" w:rsidRDefault="00C6075D" w:rsidP="00A32753">
      <w:pPr>
        <w:pStyle w:val="NoSpacing"/>
        <w:rPr>
          <w:b/>
          <w:u w:val="single"/>
        </w:rPr>
      </w:pPr>
    </w:p>
    <w:p w14:paraId="46A21D7A" w14:textId="77777777" w:rsidR="00C6075D" w:rsidRDefault="00C6075D" w:rsidP="00A32753">
      <w:pPr>
        <w:pStyle w:val="NoSpacing"/>
        <w:rPr>
          <w:b/>
          <w:u w:val="single"/>
        </w:rPr>
      </w:pPr>
    </w:p>
    <w:p w14:paraId="5451B533" w14:textId="77777777" w:rsidR="00C6075D" w:rsidRDefault="00C6075D" w:rsidP="00A32753">
      <w:pPr>
        <w:pStyle w:val="NoSpacing"/>
        <w:rPr>
          <w:b/>
          <w:u w:val="single"/>
        </w:rPr>
      </w:pPr>
    </w:p>
    <w:p w14:paraId="5DA1443C" w14:textId="77777777" w:rsidR="00C6075D" w:rsidRDefault="00C6075D" w:rsidP="00A32753">
      <w:pPr>
        <w:pStyle w:val="NoSpacing"/>
        <w:rPr>
          <w:b/>
          <w:u w:val="single"/>
        </w:rPr>
      </w:pPr>
    </w:p>
    <w:p w14:paraId="0EC3A26B" w14:textId="77777777" w:rsidR="00C6075D" w:rsidRDefault="00C6075D" w:rsidP="00A32753">
      <w:pPr>
        <w:pStyle w:val="NoSpacing"/>
        <w:rPr>
          <w:b/>
          <w:u w:val="single"/>
        </w:rPr>
      </w:pPr>
    </w:p>
    <w:p w14:paraId="266ED251" w14:textId="65CA9F56" w:rsidR="00A32753" w:rsidRPr="00C6075D" w:rsidRDefault="00EA302A" w:rsidP="00A32753">
      <w:pPr>
        <w:pStyle w:val="NoSpacing"/>
        <w:rPr>
          <w:i/>
        </w:rPr>
      </w:pPr>
      <w:r>
        <w:rPr>
          <w:b/>
          <w:i/>
        </w:rPr>
        <w:t>**</w:t>
      </w:r>
      <w:r w:rsidR="00A32753" w:rsidRPr="00C6075D">
        <w:rPr>
          <w:b/>
          <w:i/>
        </w:rPr>
        <w:t>Third Parties – LITIGATION ONLY</w:t>
      </w:r>
    </w:p>
    <w:p w14:paraId="04873224" w14:textId="77777777" w:rsidR="00A32753" w:rsidRDefault="00A32753" w:rsidP="00A32753">
      <w:pPr>
        <w:pStyle w:val="NoSpacing"/>
      </w:pPr>
    </w:p>
    <w:p w14:paraId="519B31D8" w14:textId="77777777" w:rsidR="00A32753" w:rsidRDefault="00A32753" w:rsidP="00A32753">
      <w:pPr>
        <w:pStyle w:val="NoSpacing"/>
      </w:pPr>
      <w:r>
        <w:t xml:space="preserve">Privilege regarding communications with third parties are subject to the dominant purpose test being satisfied as stated in </w:t>
      </w:r>
      <w:r w:rsidRPr="001B3BBF">
        <w:rPr>
          <w:i/>
        </w:rPr>
        <w:t>Esso Australia Resources Ltd v FCT</w:t>
      </w:r>
      <w:r w:rsidRPr="001B3BBF">
        <w:t> (1999) 201 CLR 49</w:t>
      </w:r>
      <w:r>
        <w:t xml:space="preserve"> and the “possibility” of litigation per </w:t>
      </w:r>
    </w:p>
    <w:p w14:paraId="49D41019" w14:textId="77777777" w:rsidR="00A32753" w:rsidRDefault="00A32753" w:rsidP="00A32753">
      <w:pPr>
        <w:pStyle w:val="NoSpacing"/>
      </w:pPr>
    </w:p>
    <w:p w14:paraId="677A66BF" w14:textId="77777777" w:rsidR="00A32753" w:rsidRDefault="00A32753" w:rsidP="00A32753">
      <w:pPr>
        <w:pStyle w:val="NoSpacing"/>
        <w:rPr>
          <w:rStyle w:val="italic"/>
        </w:rPr>
      </w:pPr>
      <w:r>
        <w:t xml:space="preserve">Communications passing between third parties and the lawyer or client can attract legal professional privilege if they communications are made in contemplation of existing or anticipated litigation and for use in that litigation per </w:t>
      </w:r>
      <w:r w:rsidRPr="00513C30">
        <w:rPr>
          <w:rStyle w:val="italic"/>
          <w:i/>
        </w:rPr>
        <w:t>Baker v Campbell</w:t>
      </w:r>
      <w:r>
        <w:rPr>
          <w:rStyle w:val="italic"/>
        </w:rPr>
        <w:t xml:space="preserve">. </w:t>
      </w:r>
    </w:p>
    <w:p w14:paraId="5DC49B28" w14:textId="77777777" w:rsidR="00A32753" w:rsidRDefault="00A32753" w:rsidP="00A32753">
      <w:pPr>
        <w:pStyle w:val="NoSpacing"/>
        <w:rPr>
          <w:rStyle w:val="italic"/>
        </w:rPr>
      </w:pPr>
    </w:p>
    <w:p w14:paraId="5A812B57" w14:textId="77777777" w:rsidR="00A32753" w:rsidRPr="00AC590F" w:rsidRDefault="00A32753" w:rsidP="00A32753">
      <w:pPr>
        <w:pStyle w:val="NoSpacing"/>
        <w:rPr>
          <w:rStyle w:val="italic"/>
        </w:rPr>
      </w:pPr>
      <w:r>
        <w:rPr>
          <w:rStyle w:val="verdana"/>
        </w:rPr>
        <w:t xml:space="preserve">Privilege will generally not apply to communications which have come from the third party unsolicited. The communication must have been requested, or there must be an actual or contemplated legal relationship between client, lawyer and third party per </w:t>
      </w:r>
      <w:r w:rsidRPr="00AC590F">
        <w:rPr>
          <w:rStyle w:val="italic"/>
          <w:i/>
        </w:rPr>
        <w:t>Visy Industries Holdings Pty Ltd v ACCC</w:t>
      </w:r>
      <w:r>
        <w:rPr>
          <w:rStyle w:val="italic"/>
        </w:rPr>
        <w:t>.</w:t>
      </w:r>
    </w:p>
    <w:p w14:paraId="28689255" w14:textId="77777777" w:rsidR="00A32753" w:rsidRDefault="00A32753" w:rsidP="00A32753">
      <w:pPr>
        <w:pStyle w:val="NoSpacing"/>
        <w:rPr>
          <w:rStyle w:val="italic"/>
        </w:rPr>
      </w:pPr>
    </w:p>
    <w:p w14:paraId="4EC285AB" w14:textId="77777777" w:rsidR="00A32753" w:rsidRPr="00464FDB" w:rsidRDefault="00A32753" w:rsidP="00A32753">
      <w:pPr>
        <w:pStyle w:val="NoSpacing"/>
        <w:rPr>
          <w:rStyle w:val="italic"/>
          <w:b/>
          <w:i/>
        </w:rPr>
      </w:pPr>
      <w:r w:rsidRPr="00464FDB">
        <w:rPr>
          <w:rStyle w:val="italic"/>
          <w:b/>
          <w:i/>
        </w:rPr>
        <w:t>Confidence</w:t>
      </w:r>
    </w:p>
    <w:p w14:paraId="178ED334" w14:textId="77777777" w:rsidR="00A32753" w:rsidRDefault="00A32753" w:rsidP="00A32753">
      <w:pPr>
        <w:pStyle w:val="NoSpacing"/>
        <w:rPr>
          <w:rStyle w:val="italic"/>
          <w:i/>
        </w:rPr>
      </w:pPr>
    </w:p>
    <w:p w14:paraId="5D4942D0" w14:textId="77777777" w:rsidR="00A32753" w:rsidRDefault="00A32753" w:rsidP="00A32753">
      <w:r>
        <w:t xml:space="preserve">It is important to emphasise that the privilege is that of the client or those with common interest in the litigation. </w:t>
      </w:r>
    </w:p>
    <w:p w14:paraId="5E9505FE" w14:textId="77777777" w:rsidR="00A32753" w:rsidRDefault="00A32753" w:rsidP="00A32753"/>
    <w:p w14:paraId="1613D8B6" w14:textId="3F07E4B7" w:rsidR="00A32753" w:rsidRDefault="00A32753" w:rsidP="00A32753">
      <w:r>
        <w:t>The protection by common interest privilege of documents in the hands of someone other than the client must pre</w:t>
      </w:r>
      <w:r w:rsidR="009A5B45">
        <w:t>–</w:t>
      </w:r>
      <w:r>
        <w:t>suppose that third party has a relationship with the client and transaction in question which in relation to the advice or other communications brings that third party within that ambit of confidence which would prevail between the legal adviser and his immediate client.</w:t>
      </w:r>
    </w:p>
    <w:p w14:paraId="126D8620" w14:textId="77777777" w:rsidR="00A32753" w:rsidRPr="00BF3372" w:rsidRDefault="00A32753" w:rsidP="00A32753">
      <w:pPr>
        <w:pStyle w:val="NoSpacing"/>
        <w:rPr>
          <w:rStyle w:val="italic"/>
          <w:i/>
        </w:rPr>
      </w:pPr>
    </w:p>
    <w:p w14:paraId="0EBF4275" w14:textId="77777777" w:rsidR="00A32753" w:rsidRPr="00D749BC" w:rsidRDefault="00A32753" w:rsidP="00A32753">
      <w:pPr>
        <w:pStyle w:val="NoSpacing"/>
        <w:rPr>
          <w:b/>
          <w:i/>
        </w:rPr>
      </w:pPr>
      <w:r w:rsidRPr="00D749BC">
        <w:rPr>
          <w:b/>
          <w:i/>
        </w:rPr>
        <w:t>Third party communications not related to legal advice</w:t>
      </w:r>
    </w:p>
    <w:p w14:paraId="5A654B42" w14:textId="77777777" w:rsidR="00A32753" w:rsidRDefault="00A32753" w:rsidP="00A32753">
      <w:pPr>
        <w:pStyle w:val="NoSpacing"/>
        <w:rPr>
          <w:b/>
          <w:u w:val="single"/>
        </w:rPr>
      </w:pPr>
    </w:p>
    <w:p w14:paraId="7B050B20" w14:textId="77777777" w:rsidR="00A32753" w:rsidRPr="0031782F" w:rsidRDefault="00A32753" w:rsidP="00A32753">
      <w:r w:rsidRPr="00E07D37">
        <w:t>It is only in relation to litigation privilege that communications extend to third parties.</w:t>
      </w:r>
      <w:r>
        <w:t xml:space="preserve"> However</w:t>
      </w:r>
      <w:r w:rsidRPr="0031782F">
        <w:t xml:space="preserve">, where the third party was the agent of lawyer or the client, the advice privilege may apply as per the decision of </w:t>
      </w:r>
      <w:r w:rsidRPr="0031782F">
        <w:rPr>
          <w:i/>
        </w:rPr>
        <w:t xml:space="preserve">Pratt Holdings Pty Ltd v DCT </w:t>
      </w:r>
      <w:r w:rsidRPr="0031782F">
        <w:t>[2004] FCAFC 122.</w:t>
      </w:r>
    </w:p>
    <w:p w14:paraId="0B88B6E6" w14:textId="77777777" w:rsidR="00A32753" w:rsidRDefault="00A32753" w:rsidP="00A32753"/>
    <w:p w14:paraId="16DD5B2A" w14:textId="77777777" w:rsidR="00A32753" w:rsidRDefault="00A32753" w:rsidP="00A32753">
      <w:pPr>
        <w:pStyle w:val="NoSpacing"/>
      </w:pPr>
      <w:r>
        <w:t xml:space="preserve">A third party, having as its dominant purpose the obtainment of legal advice not related to litigation is privileged </w:t>
      </w:r>
    </w:p>
    <w:p w14:paraId="44FF2A48" w14:textId="77777777" w:rsidR="00A32753" w:rsidRDefault="00A32753" w:rsidP="00A32753">
      <w:pPr>
        <w:pStyle w:val="NoSpacing"/>
      </w:pPr>
    </w:p>
    <w:p w14:paraId="0C05E5B3" w14:textId="77777777" w:rsidR="00A32753" w:rsidRPr="003F3E8B" w:rsidRDefault="00A32753" w:rsidP="00392BC9">
      <w:pPr>
        <w:pStyle w:val="NoSpacing"/>
        <w:numPr>
          <w:ilvl w:val="0"/>
          <w:numId w:val="52"/>
        </w:numPr>
        <w:rPr>
          <w:rStyle w:val="italic"/>
        </w:rPr>
      </w:pPr>
      <w:r>
        <w:t xml:space="preserve">Where a client directs a third party to prepare and make it on the clients behalf to a legal adviser per </w:t>
      </w:r>
      <w:r w:rsidRPr="003F3E8B">
        <w:rPr>
          <w:rStyle w:val="italic"/>
          <w:i/>
        </w:rPr>
        <w:t>Pratt Holdings Pty Ltd v Commissioner of Taxation</w:t>
      </w:r>
    </w:p>
    <w:p w14:paraId="5949B9D3" w14:textId="77777777" w:rsidR="00A32753" w:rsidRDefault="00A32753" w:rsidP="00A32753">
      <w:pPr>
        <w:pStyle w:val="NoSpacing"/>
        <w:ind w:left="720"/>
        <w:rPr>
          <w:rStyle w:val="italic"/>
        </w:rPr>
      </w:pPr>
    </w:p>
    <w:p w14:paraId="7C6ABD86" w14:textId="77777777" w:rsidR="00A32753" w:rsidRPr="003F3E8B" w:rsidRDefault="00A32753" w:rsidP="00392BC9">
      <w:pPr>
        <w:pStyle w:val="NoSpacing"/>
        <w:numPr>
          <w:ilvl w:val="0"/>
          <w:numId w:val="52"/>
        </w:numPr>
        <w:rPr>
          <w:rStyle w:val="italic"/>
        </w:rPr>
      </w:pPr>
      <w:r>
        <w:rPr>
          <w:rStyle w:val="italic"/>
        </w:rPr>
        <w:t xml:space="preserve">Where a client directs or authorises a third party to prepare it for the dominant purpose of its being communicated by the client to a legal adviser per </w:t>
      </w:r>
      <w:r w:rsidRPr="003F3E8B">
        <w:rPr>
          <w:rStyle w:val="italic"/>
          <w:i/>
        </w:rPr>
        <w:t>Pratt Holdings Pty Ltd v Commissioner of Taxation</w:t>
      </w:r>
    </w:p>
    <w:p w14:paraId="25F5B0C5" w14:textId="77777777" w:rsidR="00A32753" w:rsidRDefault="00A32753" w:rsidP="00A32753">
      <w:pPr>
        <w:pStyle w:val="ListParagraph"/>
      </w:pPr>
    </w:p>
    <w:p w14:paraId="5D8B4F67" w14:textId="77777777" w:rsidR="00A32753" w:rsidRPr="0090102A" w:rsidRDefault="00A32753" w:rsidP="00392BC9">
      <w:pPr>
        <w:pStyle w:val="NoSpacing"/>
        <w:numPr>
          <w:ilvl w:val="0"/>
          <w:numId w:val="52"/>
        </w:numPr>
        <w:rPr>
          <w:rStyle w:val="italic"/>
        </w:rPr>
      </w:pPr>
      <w:r>
        <w:t xml:space="preserve">Where it is prepared for passing between legal adviser and third party where the third party is an “agent” of the client for communication with the legal adviser </w:t>
      </w:r>
      <w:r>
        <w:rPr>
          <w:rStyle w:val="italic"/>
        </w:rPr>
        <w:t xml:space="preserve">per </w:t>
      </w:r>
      <w:r w:rsidRPr="003F3E8B">
        <w:rPr>
          <w:rStyle w:val="italic"/>
          <w:i/>
        </w:rPr>
        <w:t>Pratt Holdings Pty Ltd v Commissioner of Taxation</w:t>
      </w:r>
    </w:p>
    <w:p w14:paraId="44721A74" w14:textId="77777777" w:rsidR="00A32753" w:rsidRDefault="00A32753" w:rsidP="00A32753">
      <w:pPr>
        <w:pStyle w:val="NoSpacing"/>
        <w:rPr>
          <w:b/>
          <w:u w:val="single"/>
        </w:rPr>
      </w:pPr>
    </w:p>
    <w:p w14:paraId="686DAD87" w14:textId="77777777" w:rsidR="00A32753" w:rsidRDefault="00A32753" w:rsidP="00A32753">
      <w:pPr>
        <w:pStyle w:val="NoSpacing"/>
        <w:rPr>
          <w:b/>
          <w:u w:val="single"/>
        </w:rPr>
      </w:pPr>
    </w:p>
    <w:p w14:paraId="52A708A1" w14:textId="77777777" w:rsidR="00A32753" w:rsidRDefault="00A32753" w:rsidP="00A32753">
      <w:pPr>
        <w:pStyle w:val="NoSpacing"/>
        <w:rPr>
          <w:b/>
          <w:u w:val="single"/>
        </w:rPr>
      </w:pPr>
    </w:p>
    <w:p w14:paraId="6D02FA9A" w14:textId="77777777" w:rsidR="00A32753" w:rsidRDefault="00A32753" w:rsidP="00A32753">
      <w:pPr>
        <w:pStyle w:val="NoSpacing"/>
        <w:rPr>
          <w:b/>
          <w:u w:val="single"/>
        </w:rPr>
      </w:pPr>
    </w:p>
    <w:p w14:paraId="2654D84A" w14:textId="77777777" w:rsidR="00A32753" w:rsidRDefault="00A32753" w:rsidP="00A32753">
      <w:pPr>
        <w:pStyle w:val="NoSpacing"/>
        <w:rPr>
          <w:b/>
          <w:u w:val="single"/>
        </w:rPr>
      </w:pPr>
    </w:p>
    <w:p w14:paraId="18D4DFB2" w14:textId="77777777" w:rsidR="00712906" w:rsidRDefault="00712906" w:rsidP="00A32753">
      <w:pPr>
        <w:pStyle w:val="NoSpacing"/>
        <w:rPr>
          <w:b/>
          <w:u w:val="single"/>
        </w:rPr>
      </w:pPr>
    </w:p>
    <w:p w14:paraId="1FFA4967" w14:textId="77777777" w:rsidR="00A32753" w:rsidRDefault="00A32753" w:rsidP="00A32753">
      <w:pPr>
        <w:pStyle w:val="NoSpacing"/>
        <w:rPr>
          <w:b/>
          <w:i/>
        </w:rPr>
      </w:pPr>
      <w:r>
        <w:rPr>
          <w:b/>
          <w:i/>
        </w:rPr>
        <w:lastRenderedPageBreak/>
        <w:t>Third party communications related to legal advice</w:t>
      </w:r>
    </w:p>
    <w:p w14:paraId="5FDEC8EF" w14:textId="77777777" w:rsidR="00A32753" w:rsidRPr="00D377CD" w:rsidRDefault="00A32753" w:rsidP="00A32753">
      <w:pPr>
        <w:pStyle w:val="NoSpacing"/>
      </w:pPr>
    </w:p>
    <w:p w14:paraId="00CF74D6" w14:textId="77777777" w:rsidR="00A32753" w:rsidRDefault="00A32753" w:rsidP="00A32753">
      <w:pPr>
        <w:pStyle w:val="NoSpacing"/>
        <w:rPr>
          <w:rStyle w:val="italic"/>
        </w:rPr>
      </w:pPr>
      <w:r w:rsidRPr="005E555E">
        <w:rPr>
          <w:lang w:eastAsia="en-AU"/>
        </w:rPr>
        <w:t>A classic statement of when third party communications are privileged is that of Lockhart J</w:t>
      </w:r>
      <w:r>
        <w:rPr>
          <w:lang w:eastAsia="en-AU"/>
        </w:rPr>
        <w:t xml:space="preserve"> in </w:t>
      </w:r>
      <w:r w:rsidRPr="005E555E">
        <w:rPr>
          <w:rStyle w:val="italic"/>
          <w:i/>
        </w:rPr>
        <w:t>Trade Practices Commission v Sterling</w:t>
      </w:r>
      <w:r>
        <w:rPr>
          <w:rStyle w:val="italic"/>
        </w:rPr>
        <w:t>:</w:t>
      </w:r>
    </w:p>
    <w:p w14:paraId="31C1DA75" w14:textId="77777777" w:rsidR="00A32753" w:rsidRDefault="00A32753" w:rsidP="00A32753">
      <w:pPr>
        <w:pStyle w:val="NoSpacing"/>
        <w:rPr>
          <w:rStyle w:val="italic"/>
        </w:rPr>
      </w:pPr>
    </w:p>
    <w:p w14:paraId="74E6947E" w14:textId="29A715AC" w:rsidR="00A32753" w:rsidRPr="0047160C" w:rsidRDefault="00A32753" w:rsidP="00392BC9">
      <w:pPr>
        <w:pStyle w:val="NoSpacing"/>
        <w:numPr>
          <w:ilvl w:val="0"/>
          <w:numId w:val="53"/>
        </w:numPr>
        <w:rPr>
          <w:rStyle w:val="italic"/>
        </w:rPr>
      </w:pPr>
      <w:r w:rsidRPr="005E555E">
        <w:rPr>
          <w:b/>
        </w:rPr>
        <w:t>Authorised communication through agents</w:t>
      </w:r>
      <w:r>
        <w:t xml:space="preserve"> </w:t>
      </w:r>
      <w:r w:rsidR="009A5B45">
        <w:t>–</w:t>
      </w:r>
      <w:r>
        <w:t xml:space="preserve"> </w:t>
      </w:r>
      <w:r w:rsidRPr="005E555E">
        <w:t xml:space="preserve">Any communication between a party and his professional legal adviser if it is confidential and made to or by the professional adviser in his professional capacity and with a view to obtaining or giving legal advice or assistance; notwithstanding that the communication is made through agents of the party and the solicitor or the agent or either of them. </w:t>
      </w:r>
      <w:r w:rsidR="009A5B45">
        <w:t>–</w:t>
      </w:r>
      <w:r>
        <w:t xml:space="preserve"> </w:t>
      </w:r>
      <w:bookmarkStart w:id="11" w:name="COE.25235.ANT5"/>
      <w:bookmarkEnd w:id="11"/>
      <w:r w:rsidRPr="005E555E">
        <w:rPr>
          <w:rStyle w:val="italic"/>
          <w:i/>
        </w:rPr>
        <w:t>Smith v Daniell</w:t>
      </w:r>
    </w:p>
    <w:p w14:paraId="4CDB90E2" w14:textId="77777777" w:rsidR="00A32753" w:rsidRPr="005E555E" w:rsidRDefault="00A32753" w:rsidP="00A32753">
      <w:pPr>
        <w:pStyle w:val="NoSpacing"/>
        <w:ind w:left="720"/>
      </w:pPr>
    </w:p>
    <w:p w14:paraId="1E520DF0" w14:textId="6D444250" w:rsidR="00A32753" w:rsidRPr="005E555E" w:rsidRDefault="00A32753" w:rsidP="00392BC9">
      <w:pPr>
        <w:pStyle w:val="NoSpacing"/>
        <w:numPr>
          <w:ilvl w:val="0"/>
          <w:numId w:val="53"/>
        </w:numPr>
      </w:pPr>
      <w:r w:rsidRPr="005E555E">
        <w:rPr>
          <w:b/>
        </w:rPr>
        <w:t>Any document prepared with a view to its being used as a communication of this class, although not in fact so used</w:t>
      </w:r>
      <w:r>
        <w:t xml:space="preserve"> </w:t>
      </w:r>
      <w:r w:rsidR="009A5B45">
        <w:t>–</w:t>
      </w:r>
      <w:r>
        <w:t xml:space="preserve"> </w:t>
      </w:r>
      <w:r w:rsidRPr="005E555E">
        <w:rPr>
          <w:rStyle w:val="italic"/>
          <w:i/>
        </w:rPr>
        <w:t>Southwark and Vauxhall Water Co v Quick</w:t>
      </w:r>
    </w:p>
    <w:p w14:paraId="4CED6FE0" w14:textId="77777777" w:rsidR="00A32753" w:rsidRPr="005E555E" w:rsidRDefault="00A32753" w:rsidP="00A32753">
      <w:pPr>
        <w:pStyle w:val="NoSpacing"/>
      </w:pPr>
    </w:p>
    <w:p w14:paraId="4BE9CD59" w14:textId="01E0343F" w:rsidR="00A32753" w:rsidRPr="005E555E" w:rsidRDefault="00A32753" w:rsidP="00392BC9">
      <w:pPr>
        <w:pStyle w:val="NoSpacing"/>
        <w:numPr>
          <w:ilvl w:val="0"/>
          <w:numId w:val="53"/>
        </w:numPr>
      </w:pPr>
      <w:r w:rsidRPr="005E555E">
        <w:rPr>
          <w:b/>
        </w:rPr>
        <w:t>Communications between the various legal advisers of the client</w:t>
      </w:r>
      <w:r>
        <w:rPr>
          <w:b/>
        </w:rPr>
        <w:t xml:space="preserve"> </w:t>
      </w:r>
      <w:r w:rsidR="009A5B45">
        <w:rPr>
          <w:b/>
        </w:rPr>
        <w:t>–</w:t>
      </w:r>
      <w:r w:rsidRPr="005E555E">
        <w:t xml:space="preserve"> for example between the solicitor and his partner or his city agent with a view to the client obtaining legal advice or assistance</w:t>
      </w:r>
      <w:r>
        <w:t xml:space="preserve"> </w:t>
      </w:r>
      <w:r w:rsidR="009A5B45">
        <w:t>–</w:t>
      </w:r>
      <w:r>
        <w:t xml:space="preserve"> </w:t>
      </w:r>
      <w:r w:rsidRPr="005E555E">
        <w:rPr>
          <w:rStyle w:val="italic"/>
          <w:i/>
        </w:rPr>
        <w:t>Hughes v Biddulph</w:t>
      </w:r>
    </w:p>
    <w:p w14:paraId="6377BB87" w14:textId="77777777" w:rsidR="00A32753" w:rsidRPr="005E555E" w:rsidRDefault="00A32753" w:rsidP="00A32753">
      <w:pPr>
        <w:pStyle w:val="NoSpacing"/>
      </w:pPr>
    </w:p>
    <w:p w14:paraId="03620EFA" w14:textId="261DAC93" w:rsidR="00A32753" w:rsidRPr="005E555E" w:rsidRDefault="00A32753" w:rsidP="00392BC9">
      <w:pPr>
        <w:pStyle w:val="NoSpacing"/>
        <w:numPr>
          <w:ilvl w:val="0"/>
          <w:numId w:val="53"/>
        </w:numPr>
      </w:pPr>
      <w:r w:rsidRPr="005E555E">
        <w:rPr>
          <w:b/>
        </w:rPr>
        <w:t>Notes, memoranda, minutes or other documents made by the client or officers of the client or the legal adviser of the client of communications which are themselves privileged</w:t>
      </w:r>
      <w:r>
        <w:rPr>
          <w:b/>
        </w:rPr>
        <w:t xml:space="preserve"> </w:t>
      </w:r>
      <w:r w:rsidR="009A5B45">
        <w:rPr>
          <w:b/>
        </w:rPr>
        <w:t>–</w:t>
      </w:r>
      <w:r w:rsidRPr="005E555E">
        <w:t xml:space="preserve"> or containing a record of those communications, or relate to information sought by the client's legal adviser to enable him to advise the client or to conduct litigation on his behalf. </w:t>
      </w:r>
      <w:bookmarkStart w:id="12" w:name="COE.25235.ANT8"/>
      <w:bookmarkEnd w:id="12"/>
      <w:r w:rsidR="009A5B45">
        <w:t>–</w:t>
      </w:r>
      <w:r>
        <w:t xml:space="preserve"> </w:t>
      </w:r>
      <w:r w:rsidRPr="005E555E">
        <w:rPr>
          <w:rStyle w:val="italic"/>
          <w:i/>
        </w:rPr>
        <w:t>Greenough v Gaskell</w:t>
      </w:r>
    </w:p>
    <w:p w14:paraId="63E533A2" w14:textId="77777777" w:rsidR="00A32753" w:rsidRPr="005E555E" w:rsidRDefault="00A32753" w:rsidP="00A32753">
      <w:pPr>
        <w:pStyle w:val="NoSpacing"/>
      </w:pPr>
    </w:p>
    <w:p w14:paraId="6AFAAB23" w14:textId="606509D8" w:rsidR="00A32753" w:rsidRDefault="00A32753" w:rsidP="00392BC9">
      <w:pPr>
        <w:pStyle w:val="NoSpacing"/>
        <w:numPr>
          <w:ilvl w:val="0"/>
          <w:numId w:val="53"/>
        </w:numPr>
      </w:pPr>
      <w:r w:rsidRPr="005E555E">
        <w:rPr>
          <w:b/>
        </w:rPr>
        <w:t>Communications and documents passing between the party's solicitor and a third party if they are made or prepared when litigation is anticipated or commenced</w:t>
      </w:r>
      <w:r>
        <w:t xml:space="preserve"> </w:t>
      </w:r>
      <w:r w:rsidR="009A5B45">
        <w:t>–</w:t>
      </w:r>
      <w:r w:rsidRPr="005E555E">
        <w:t xml:space="preserve"> for the purposes of the litigation, with a view to obtaining advice as to it or evidence to be used in it or information which may result in the obtaining of such evidence</w:t>
      </w:r>
      <w:r>
        <w:t xml:space="preserve">  </w:t>
      </w:r>
      <w:r w:rsidR="009A5B45">
        <w:t>–</w:t>
      </w:r>
      <w:r>
        <w:t xml:space="preserve"> </w:t>
      </w:r>
      <w:r w:rsidRPr="005E555E">
        <w:rPr>
          <w:rStyle w:val="italic"/>
          <w:i/>
        </w:rPr>
        <w:t>Wheeler v Le Marchant</w:t>
      </w:r>
      <w:r w:rsidRPr="005E555E">
        <w:t xml:space="preserve"> </w:t>
      </w:r>
    </w:p>
    <w:p w14:paraId="2D843D06" w14:textId="77777777" w:rsidR="00A32753" w:rsidRDefault="00A32753" w:rsidP="00392BC9">
      <w:pPr>
        <w:pStyle w:val="NoSpacing"/>
        <w:numPr>
          <w:ilvl w:val="1"/>
          <w:numId w:val="53"/>
        </w:numPr>
        <w:rPr>
          <w:rStyle w:val="tightinline"/>
        </w:rPr>
      </w:pPr>
      <w:r w:rsidRPr="003840C2">
        <w:rPr>
          <w:b/>
        </w:rPr>
        <w:t>This includes communications where a party to litigation or potential litigation provides a witness statement to an opposing party</w:t>
      </w:r>
      <w:r>
        <w:t xml:space="preserve"> – such a circumstance will not destroy the confidentiality for prievelege </w:t>
      </w:r>
      <w:bookmarkStart w:id="13" w:name="COE.25235.ANT24"/>
      <w:bookmarkEnd w:id="13"/>
      <w:r w:rsidRPr="005F70B5">
        <w:rPr>
          <w:rStyle w:val="italic"/>
          <w:i/>
        </w:rPr>
        <w:t>ACCC v Australian Safeway Stores Pty Ltd</w:t>
      </w:r>
      <w:r>
        <w:rPr>
          <w:rStyle w:val="tightinline"/>
        </w:rPr>
        <w:t>.</w:t>
      </w:r>
    </w:p>
    <w:p w14:paraId="4525EAD1" w14:textId="33EDD666" w:rsidR="00A32753" w:rsidRPr="005E555E" w:rsidRDefault="00A32753" w:rsidP="00392BC9">
      <w:pPr>
        <w:pStyle w:val="NoSpacing"/>
        <w:numPr>
          <w:ilvl w:val="1"/>
          <w:numId w:val="53"/>
        </w:numPr>
      </w:pPr>
      <w:r>
        <w:rPr>
          <w:b/>
        </w:rPr>
        <w:t xml:space="preserve">This includes where an expert is compellable to testify at the instance of one party even though the expert has advised the other in relation to the litigation </w:t>
      </w:r>
      <w:r w:rsidR="009A5B45">
        <w:t>–</w:t>
      </w:r>
      <w:r>
        <w:t xml:space="preserve"> </w:t>
      </w:r>
      <w:r w:rsidRPr="00BA1189">
        <w:rPr>
          <w:rStyle w:val="italic"/>
          <w:i/>
        </w:rPr>
        <w:t>Harmony Shipping Co SA v Davis</w:t>
      </w:r>
    </w:p>
    <w:p w14:paraId="5AAE3362" w14:textId="77777777" w:rsidR="00A32753" w:rsidRPr="005E555E" w:rsidRDefault="00A32753" w:rsidP="00A32753">
      <w:pPr>
        <w:pStyle w:val="NoSpacing"/>
      </w:pPr>
    </w:p>
    <w:p w14:paraId="67F6202C" w14:textId="349A287B" w:rsidR="00A32753" w:rsidRPr="005E555E" w:rsidRDefault="00A32753" w:rsidP="00392BC9">
      <w:pPr>
        <w:pStyle w:val="NoSpacing"/>
        <w:numPr>
          <w:ilvl w:val="0"/>
          <w:numId w:val="53"/>
        </w:numPr>
      </w:pPr>
      <w:r w:rsidRPr="005E555E">
        <w:rPr>
          <w:b/>
        </w:rPr>
        <w:t>Communications passing between the party and a third person (who is not the agent of the solicitor to receive the communication from the party) if they are made with reference to litigation either anticipated or commenced</w:t>
      </w:r>
      <w:r>
        <w:rPr>
          <w:b/>
        </w:rPr>
        <w:t xml:space="preserve"> </w:t>
      </w:r>
      <w:r w:rsidR="009A5B45">
        <w:rPr>
          <w:b/>
        </w:rPr>
        <w:t>–</w:t>
      </w:r>
      <w:r w:rsidRPr="005E555E">
        <w:t xml:space="preserve"> and at the request or suggestion of the party's solicitor; or, even without any such request or suggestion, if they are made for the purpose of being put before the solicitor with the object of obtaining his advice or enabling him to prosecute or defend an action</w:t>
      </w:r>
      <w:r>
        <w:t xml:space="preserve"> </w:t>
      </w:r>
      <w:r w:rsidR="009A5B45">
        <w:t>–</w:t>
      </w:r>
      <w:r>
        <w:t xml:space="preserve"> </w:t>
      </w:r>
      <w:r w:rsidRPr="005E555E">
        <w:rPr>
          <w:rStyle w:val="italic"/>
          <w:i/>
        </w:rPr>
        <w:t>Wheeler v Le Marchant</w:t>
      </w:r>
    </w:p>
    <w:p w14:paraId="683D3590" w14:textId="77777777" w:rsidR="00A32753" w:rsidRPr="005E555E" w:rsidRDefault="00A32753" w:rsidP="00A32753">
      <w:pPr>
        <w:pStyle w:val="NoSpacing"/>
      </w:pPr>
    </w:p>
    <w:p w14:paraId="0F3CBFA4" w14:textId="0B94DAD3" w:rsidR="00A32753" w:rsidRPr="005E555E" w:rsidRDefault="00A32753" w:rsidP="00392BC9">
      <w:pPr>
        <w:pStyle w:val="NoSpacing"/>
        <w:numPr>
          <w:ilvl w:val="0"/>
          <w:numId w:val="53"/>
        </w:numPr>
        <w:rPr>
          <w:lang w:eastAsia="en-AU"/>
        </w:rPr>
      </w:pPr>
      <w:r w:rsidRPr="005E555E">
        <w:rPr>
          <w:b/>
        </w:rPr>
        <w:t>Knowledge, information or belief of the client derived from privileged communications made to him by his solicitor or his agent</w:t>
      </w:r>
      <w:r>
        <w:t xml:space="preserve"> </w:t>
      </w:r>
      <w:r w:rsidR="009A5B45">
        <w:t>–</w:t>
      </w:r>
      <w:r>
        <w:t xml:space="preserve"> </w:t>
      </w:r>
      <w:r w:rsidRPr="005E555E">
        <w:rPr>
          <w:rStyle w:val="italic"/>
          <w:i/>
        </w:rPr>
        <w:t>Kennedy v Lyell</w:t>
      </w:r>
      <w:r>
        <w:rPr>
          <w:rStyle w:val="tightinline"/>
        </w:rPr>
        <w:t xml:space="preserve"> </w:t>
      </w:r>
      <w:r w:rsidRPr="005E555E">
        <w:rPr>
          <w:lang w:eastAsia="en-AU"/>
        </w:rPr>
        <w:t xml:space="preserve"> </w:t>
      </w:r>
    </w:p>
    <w:p w14:paraId="2890A064" w14:textId="77777777" w:rsidR="00A32753" w:rsidRPr="00D377CD" w:rsidRDefault="00A32753" w:rsidP="00A32753">
      <w:pPr>
        <w:pStyle w:val="NoSpacing"/>
      </w:pPr>
    </w:p>
    <w:p w14:paraId="4F65DD71" w14:textId="77777777" w:rsidR="00A32753" w:rsidRDefault="00A32753" w:rsidP="00A32753">
      <w:pPr>
        <w:pStyle w:val="NoSpacing"/>
        <w:rPr>
          <w:b/>
          <w:u w:val="single"/>
        </w:rPr>
      </w:pPr>
    </w:p>
    <w:p w14:paraId="06BF63EB" w14:textId="77777777" w:rsidR="00712906" w:rsidRDefault="00712906" w:rsidP="00A32753">
      <w:pPr>
        <w:pStyle w:val="NoSpacing"/>
        <w:rPr>
          <w:b/>
          <w:u w:val="single"/>
        </w:rPr>
      </w:pPr>
    </w:p>
    <w:p w14:paraId="7768ECA2" w14:textId="77777777" w:rsidR="00712906" w:rsidRDefault="00712906" w:rsidP="00A32753">
      <w:pPr>
        <w:pStyle w:val="NoSpacing"/>
        <w:rPr>
          <w:b/>
          <w:u w:val="single"/>
        </w:rPr>
      </w:pPr>
    </w:p>
    <w:p w14:paraId="6182B1F7" w14:textId="77777777" w:rsidR="00A32753" w:rsidRPr="00826762" w:rsidRDefault="00A32753" w:rsidP="00A32753">
      <w:pPr>
        <w:pStyle w:val="NoSpacing"/>
        <w:rPr>
          <w:b/>
          <w:i/>
        </w:rPr>
      </w:pPr>
      <w:r w:rsidRPr="00826762">
        <w:rPr>
          <w:b/>
          <w:i/>
        </w:rPr>
        <w:lastRenderedPageBreak/>
        <w:t>Public Interest</w:t>
      </w:r>
    </w:p>
    <w:p w14:paraId="6DF23C1A" w14:textId="77777777" w:rsidR="00A32753" w:rsidRDefault="00A32753" w:rsidP="00A32753">
      <w:pPr>
        <w:pStyle w:val="NoSpacing"/>
        <w:rPr>
          <w:b/>
          <w:u w:val="single"/>
        </w:rPr>
      </w:pPr>
    </w:p>
    <w:p w14:paraId="00F89674" w14:textId="77777777" w:rsidR="00A32753" w:rsidRDefault="00A32753" w:rsidP="00A32753">
      <w:pPr>
        <w:pStyle w:val="NoSpacing"/>
      </w:pPr>
      <w:r>
        <w:t>The Court will not compel the disclosure of information which would damaging to a recognised public interest as per</w:t>
      </w:r>
      <w:r w:rsidRPr="007E54D9">
        <w:t xml:space="preserve"> </w:t>
      </w:r>
      <w:r w:rsidRPr="007E54D9">
        <w:rPr>
          <w:i/>
        </w:rPr>
        <w:t>Sankey v Whitlam</w:t>
      </w:r>
      <w:r w:rsidRPr="007E54D9">
        <w:t> (1978) 142 CLR 1</w:t>
      </w:r>
      <w:r>
        <w:t xml:space="preserve">. </w:t>
      </w:r>
    </w:p>
    <w:p w14:paraId="5BB08DEC" w14:textId="77777777" w:rsidR="00A32753" w:rsidRDefault="00A32753" w:rsidP="00A32753">
      <w:pPr>
        <w:pStyle w:val="NoSpacing"/>
      </w:pPr>
    </w:p>
    <w:p w14:paraId="1F416FE7" w14:textId="77777777" w:rsidR="00A32753" w:rsidRDefault="00A32753" w:rsidP="00A32753">
      <w:pPr>
        <w:pStyle w:val="NoSpacing"/>
      </w:pPr>
      <w:r>
        <w:t xml:space="preserve">Public interest privilege fall into two classes as per </w:t>
      </w:r>
      <w:r w:rsidRPr="007E54D9">
        <w:rPr>
          <w:i/>
        </w:rPr>
        <w:t>Commonwealth v Northern Land Council</w:t>
      </w:r>
      <w:r w:rsidRPr="007E54D9">
        <w:t> (1993) 176 CLR 604</w:t>
      </w:r>
      <w:r>
        <w:t xml:space="preserve"> – typically:</w:t>
      </w:r>
    </w:p>
    <w:p w14:paraId="2C6EB5B4" w14:textId="77777777" w:rsidR="00A32753" w:rsidRDefault="00A32753" w:rsidP="00A32753">
      <w:pPr>
        <w:pStyle w:val="NoSpacing"/>
      </w:pPr>
    </w:p>
    <w:p w14:paraId="2E3D8A7E" w14:textId="77777777" w:rsidR="00A32753" w:rsidRDefault="00A32753" w:rsidP="00A32753">
      <w:pPr>
        <w:pStyle w:val="NoSpacing"/>
        <w:numPr>
          <w:ilvl w:val="0"/>
          <w:numId w:val="48"/>
        </w:numPr>
      </w:pPr>
      <w:r w:rsidRPr="00903A46">
        <w:rPr>
          <w:i/>
        </w:rPr>
        <w:t>Class claims</w:t>
      </w:r>
      <w:r>
        <w:t xml:space="preserve"> – the documents belong to an identified class and the disclosure of such document would damage public interest</w:t>
      </w:r>
    </w:p>
    <w:p w14:paraId="09F6BDEC" w14:textId="77777777" w:rsidR="00A32753" w:rsidRDefault="00A32753" w:rsidP="00A32753">
      <w:pPr>
        <w:pStyle w:val="NoSpacing"/>
        <w:numPr>
          <w:ilvl w:val="0"/>
          <w:numId w:val="48"/>
        </w:numPr>
      </w:pPr>
      <w:r>
        <w:rPr>
          <w:i/>
        </w:rPr>
        <w:t xml:space="preserve">Content Claims </w:t>
      </w:r>
      <w:r>
        <w:t>– the risk of injury is on the basis of the content contained within the documents.</w:t>
      </w:r>
    </w:p>
    <w:p w14:paraId="59E0B869" w14:textId="77777777" w:rsidR="00A32753" w:rsidRDefault="00A32753" w:rsidP="00A32753">
      <w:pPr>
        <w:pStyle w:val="NoSpacing"/>
      </w:pPr>
    </w:p>
    <w:p w14:paraId="1D0F7E65" w14:textId="32C6A50A" w:rsidR="00A32753" w:rsidRDefault="00A32753" w:rsidP="00A32753">
      <w:pPr>
        <w:pStyle w:val="NoSpacing"/>
      </w:pPr>
      <w:r>
        <w:t xml:space="preserve">In such circumstances the Court can expressly limit the sensitivity of the material and ensure that it is not available for public viewing as per </w:t>
      </w:r>
      <w:r w:rsidRPr="006A05F3">
        <w:rPr>
          <w:i/>
        </w:rPr>
        <w:t>Warner</w:t>
      </w:r>
      <w:r w:rsidR="009A5B45">
        <w:rPr>
          <w:i/>
        </w:rPr>
        <w:t>–</w:t>
      </w:r>
      <w:r w:rsidRPr="006A05F3">
        <w:rPr>
          <w:i/>
        </w:rPr>
        <w:t>Lambert Co v Glaxo Laboratories</w:t>
      </w:r>
      <w:r w:rsidRPr="006A05F3">
        <w:t xml:space="preserve"> Ltd </w:t>
      </w:r>
      <w:hyperlink r:id="rId18" w:tgtFrame="_parent" w:history="1">
        <w:r w:rsidRPr="006A05F3">
          <w:t>[1975] RPC 354</w:t>
        </w:r>
      </w:hyperlink>
      <w:r>
        <w:t>.</w:t>
      </w:r>
    </w:p>
    <w:p w14:paraId="7670B1E5" w14:textId="77777777" w:rsidR="00A32753" w:rsidRDefault="00A32753" w:rsidP="00A32753">
      <w:pPr>
        <w:pStyle w:val="NoSpacing"/>
      </w:pPr>
    </w:p>
    <w:p w14:paraId="5C6589C9" w14:textId="77777777" w:rsidR="00A32753" w:rsidRPr="003333E2" w:rsidRDefault="00A32753" w:rsidP="00A32753">
      <w:pPr>
        <w:pStyle w:val="NoSpacing"/>
      </w:pPr>
      <w:r>
        <w:t xml:space="preserve">It extends to documents, oral evidence and real evidence as per </w:t>
      </w:r>
      <w:r w:rsidRPr="00884A60">
        <w:rPr>
          <w:i/>
        </w:rPr>
        <w:t>Sankey v Whitlam</w:t>
      </w:r>
      <w:r w:rsidRPr="00884A60">
        <w:t> (1978) 142 CLR 1</w:t>
      </w:r>
    </w:p>
    <w:p w14:paraId="3E63DDEE" w14:textId="77777777" w:rsidR="00A32753" w:rsidRDefault="00A32753" w:rsidP="00A32753">
      <w:pPr>
        <w:pStyle w:val="NoSpacing"/>
        <w:rPr>
          <w:b/>
          <w:u w:val="single"/>
        </w:rPr>
      </w:pPr>
    </w:p>
    <w:p w14:paraId="4A5DE7AE" w14:textId="79E7CD1C" w:rsidR="00A32753" w:rsidRPr="005444C4" w:rsidRDefault="00826762" w:rsidP="00A32753">
      <w:pPr>
        <w:pStyle w:val="NoSpacing"/>
        <w:rPr>
          <w:b/>
          <w:i/>
        </w:rPr>
      </w:pPr>
      <w:r>
        <w:rPr>
          <w:b/>
          <w:i/>
        </w:rPr>
        <w:t>**</w:t>
      </w:r>
      <w:r w:rsidR="00A32753" w:rsidRPr="005444C4">
        <w:rPr>
          <w:b/>
          <w:i/>
        </w:rPr>
        <w:t>Without prejudice communications</w:t>
      </w:r>
    </w:p>
    <w:p w14:paraId="0F8DE53E" w14:textId="77777777" w:rsidR="00A32753" w:rsidRDefault="00A32753" w:rsidP="00A32753">
      <w:pPr>
        <w:pStyle w:val="NoSpacing"/>
        <w:rPr>
          <w:b/>
          <w:u w:val="single"/>
        </w:rPr>
      </w:pPr>
    </w:p>
    <w:p w14:paraId="51A025A2" w14:textId="77777777" w:rsidR="00A32753" w:rsidRDefault="00A32753" w:rsidP="00A32753">
      <w:pPr>
        <w:pStyle w:val="NoSpacing"/>
      </w:pPr>
      <w:r>
        <w:t xml:space="preserve">In </w:t>
      </w:r>
      <w:r>
        <w:rPr>
          <w:i/>
        </w:rPr>
        <w:t xml:space="preserve">Field v Commissioner for Railways </w:t>
      </w:r>
      <w:r>
        <w:t>(1957) 99 CLR 285 the High Court stated</w:t>
      </w:r>
    </w:p>
    <w:p w14:paraId="07D094D7" w14:textId="77777777" w:rsidR="00A32753" w:rsidRDefault="00A32753" w:rsidP="00A32753">
      <w:pPr>
        <w:pStyle w:val="NoSpacing"/>
      </w:pPr>
    </w:p>
    <w:p w14:paraId="67EABF8A" w14:textId="77777777" w:rsidR="00A32753" w:rsidRPr="00A51AB9" w:rsidRDefault="00A32753" w:rsidP="00A32753">
      <w:pPr>
        <w:pStyle w:val="NoSpacing"/>
        <w:ind w:left="720"/>
        <w:rPr>
          <w:i/>
        </w:rPr>
      </w:pPr>
      <w:r>
        <w:rPr>
          <w:i/>
        </w:rPr>
        <w:t>‘the purpose is to enable parties engaged in an attempt to comprise litigation to communicate with one another freely and without the embarrassment which the liability of their communications might be put in evidence subsequently might impose upon them.’</w:t>
      </w:r>
    </w:p>
    <w:p w14:paraId="33C2FD41" w14:textId="77777777" w:rsidR="00A32753" w:rsidRDefault="00A32753" w:rsidP="00A32753">
      <w:pPr>
        <w:pStyle w:val="NoSpacing"/>
      </w:pPr>
    </w:p>
    <w:p w14:paraId="5A7A8492" w14:textId="77777777" w:rsidR="00A32753" w:rsidRDefault="00A32753" w:rsidP="00A32753">
      <w:pPr>
        <w:pStyle w:val="NoSpacing"/>
      </w:pPr>
      <w:r>
        <w:t xml:space="preserve">It seems that while the words have traditionally been used to indicate this fact, they do themselves confirm upon the document an immunity from the court as </w:t>
      </w:r>
      <w:r w:rsidRPr="00837EC0">
        <w:t xml:space="preserve">per </w:t>
      </w:r>
      <w:r w:rsidRPr="00837EC0">
        <w:rPr>
          <w:i/>
        </w:rPr>
        <w:t>Bentley v Nelson</w:t>
      </w:r>
      <w:r w:rsidRPr="00837EC0">
        <w:t> [1963] WAR 89 (FC)</w:t>
      </w:r>
      <w:r>
        <w:t>.</w:t>
      </w:r>
    </w:p>
    <w:p w14:paraId="293CCCB4" w14:textId="77777777" w:rsidR="00A32753" w:rsidRDefault="00A32753" w:rsidP="00A32753">
      <w:pPr>
        <w:pStyle w:val="NoSpacing"/>
      </w:pPr>
    </w:p>
    <w:p w14:paraId="1C85CBF1" w14:textId="77777777" w:rsidR="00A32753" w:rsidRDefault="00A32753" w:rsidP="00A32753">
      <w:pPr>
        <w:pStyle w:val="NoSpacing"/>
      </w:pPr>
      <w:r>
        <w:t xml:space="preserve">The accepted notion now is that it is necessary to have regard to the dispute and relevant negotiation and to examine the nature of the communication contained in the document. If the parties have expressly excluded content from the admissibility of the Court then such a contention would be upheld , but if the parties have no expressly stated the degree to which the “without prejudice” negotiations extend then it possible that they may be admissible as per </w:t>
      </w:r>
      <w:r>
        <w:rPr>
          <w:i/>
        </w:rPr>
        <w:t xml:space="preserve">Field v Commissioner for Railways </w:t>
      </w:r>
      <w:r>
        <w:t xml:space="preserve">(1957) 99 CLR 285. </w:t>
      </w:r>
    </w:p>
    <w:p w14:paraId="026570F1" w14:textId="77777777" w:rsidR="00A32753" w:rsidRDefault="00A32753" w:rsidP="00A32753">
      <w:pPr>
        <w:pStyle w:val="NoSpacing"/>
      </w:pPr>
    </w:p>
    <w:p w14:paraId="08AA8573" w14:textId="77777777" w:rsidR="00A32753" w:rsidRPr="00CF059A" w:rsidRDefault="00A32753" w:rsidP="00A32753">
      <w:pPr>
        <w:pStyle w:val="NoSpacing"/>
      </w:pPr>
      <w:r>
        <w:t xml:space="preserve"> </w:t>
      </w:r>
    </w:p>
    <w:p w14:paraId="10CE5397" w14:textId="77777777" w:rsidR="00A32753" w:rsidRDefault="00A32753" w:rsidP="00A32753">
      <w:pPr>
        <w:pStyle w:val="NoSpacing"/>
      </w:pPr>
    </w:p>
    <w:p w14:paraId="566984E9" w14:textId="77777777" w:rsidR="00A32753" w:rsidRDefault="00A32753" w:rsidP="00A32753">
      <w:pPr>
        <w:pStyle w:val="NoSpacing"/>
      </w:pPr>
    </w:p>
    <w:p w14:paraId="291CD106" w14:textId="77777777" w:rsidR="00A32753" w:rsidRDefault="00A32753" w:rsidP="00A32753">
      <w:pPr>
        <w:pStyle w:val="NoSpacing"/>
      </w:pPr>
    </w:p>
    <w:p w14:paraId="518BA467" w14:textId="77777777" w:rsidR="00A32753" w:rsidRDefault="00A32753" w:rsidP="00A32753">
      <w:pPr>
        <w:pStyle w:val="NoSpacing"/>
      </w:pPr>
    </w:p>
    <w:p w14:paraId="752ED95C" w14:textId="77777777" w:rsidR="00A32753" w:rsidRDefault="00A32753" w:rsidP="00A32753">
      <w:pPr>
        <w:pStyle w:val="NoSpacing"/>
      </w:pPr>
    </w:p>
    <w:p w14:paraId="21558560" w14:textId="77777777" w:rsidR="00A32753" w:rsidRDefault="00A32753" w:rsidP="00A32753">
      <w:pPr>
        <w:pStyle w:val="NoSpacing"/>
      </w:pPr>
    </w:p>
    <w:p w14:paraId="68EA7D61" w14:textId="77777777" w:rsidR="00A32753" w:rsidRDefault="00A32753" w:rsidP="00A32753">
      <w:pPr>
        <w:pStyle w:val="NoSpacing"/>
      </w:pPr>
    </w:p>
    <w:p w14:paraId="06D8D359" w14:textId="77777777" w:rsidR="00A32753" w:rsidRDefault="00A32753" w:rsidP="00A32753">
      <w:pPr>
        <w:pStyle w:val="NoSpacing"/>
      </w:pPr>
    </w:p>
    <w:p w14:paraId="4730C065" w14:textId="77777777" w:rsidR="00A32753" w:rsidRDefault="00A32753" w:rsidP="00A32753">
      <w:pPr>
        <w:pStyle w:val="NoSpacing"/>
      </w:pPr>
    </w:p>
    <w:p w14:paraId="3451ABF9" w14:textId="77777777" w:rsidR="00A32753" w:rsidRDefault="00A32753" w:rsidP="00A32753">
      <w:pPr>
        <w:pStyle w:val="NoSpacing"/>
      </w:pPr>
    </w:p>
    <w:p w14:paraId="3C3F3BA9" w14:textId="77777777" w:rsidR="00A32753" w:rsidRDefault="00A32753" w:rsidP="00A32753">
      <w:pPr>
        <w:pStyle w:val="NoSpacing"/>
      </w:pPr>
    </w:p>
    <w:p w14:paraId="72C3C9B1" w14:textId="77777777" w:rsidR="00485ED1" w:rsidRDefault="00485ED1" w:rsidP="0079364B">
      <w:pPr>
        <w:pStyle w:val="NoSpacing"/>
        <w:rPr>
          <w:rFonts w:cs="Times New Roman"/>
          <w:szCs w:val="24"/>
        </w:rPr>
      </w:pPr>
    </w:p>
    <w:p w14:paraId="095196B9" w14:textId="77777777" w:rsidR="00485ED1" w:rsidRDefault="0061413F" w:rsidP="0079364B">
      <w:pPr>
        <w:pStyle w:val="NoSpacing"/>
        <w:rPr>
          <w:rFonts w:cs="Times New Roman"/>
          <w:b/>
          <w:szCs w:val="24"/>
          <w:u w:val="single"/>
        </w:rPr>
      </w:pPr>
      <w:r>
        <w:rPr>
          <w:rFonts w:cs="Times New Roman"/>
          <w:b/>
          <w:szCs w:val="24"/>
          <w:u w:val="single"/>
        </w:rPr>
        <w:t>Duty to Communicate</w:t>
      </w:r>
    </w:p>
    <w:p w14:paraId="4AB3010B" w14:textId="77777777" w:rsidR="0061413F" w:rsidRDefault="0061413F" w:rsidP="0079364B">
      <w:pPr>
        <w:pStyle w:val="NoSpacing"/>
        <w:rPr>
          <w:rFonts w:cs="Times New Roman"/>
          <w:b/>
          <w:szCs w:val="24"/>
          <w:u w:val="single"/>
        </w:rPr>
      </w:pPr>
    </w:p>
    <w:p w14:paraId="29538DA1" w14:textId="25452B2B" w:rsidR="00CE351E" w:rsidRDefault="0085029A" w:rsidP="00B21502">
      <w:pPr>
        <w:pStyle w:val="NoSpacing"/>
        <w:numPr>
          <w:ilvl w:val="0"/>
          <w:numId w:val="33"/>
        </w:numPr>
      </w:pPr>
      <w:r w:rsidRPr="004E2047">
        <w:rPr>
          <w:b/>
          <w:i/>
        </w:rPr>
        <w:t>Professional Rules</w:t>
      </w:r>
      <w:r>
        <w:rPr>
          <w:i/>
        </w:rPr>
        <w:t xml:space="preserve"> – </w:t>
      </w:r>
      <w:r w:rsidR="00CA67CB">
        <w:rPr>
          <w:i/>
        </w:rPr>
        <w:t>PCPR R12</w:t>
      </w:r>
      <w:r w:rsidR="00D40C65">
        <w:rPr>
          <w:i/>
        </w:rPr>
        <w:t xml:space="preserve"> &amp; 39.1</w:t>
      </w:r>
      <w:r w:rsidR="00CA67CB">
        <w:rPr>
          <w:i/>
        </w:rPr>
        <w:t xml:space="preserve"> – </w:t>
      </w:r>
      <w:r w:rsidR="00AD0431">
        <w:t>Lawyers have a professional and legal obligation to communicate and provide specifi</w:t>
      </w:r>
      <w:r w:rsidR="00875163">
        <w:t>ed information to their clients.</w:t>
      </w:r>
      <w:r w:rsidR="007A78EA">
        <w:t xml:space="preserve"> </w:t>
      </w:r>
    </w:p>
    <w:p w14:paraId="07E3EE8B" w14:textId="2ECA476B" w:rsidR="00AD0431" w:rsidRPr="0094376A" w:rsidRDefault="004B14A1" w:rsidP="00B21502">
      <w:pPr>
        <w:pStyle w:val="NoSpacing"/>
        <w:numPr>
          <w:ilvl w:val="1"/>
          <w:numId w:val="33"/>
        </w:numPr>
      </w:pPr>
      <w:r w:rsidRPr="0094376A">
        <w:t xml:space="preserve">PCPR 39.1 – </w:t>
      </w:r>
      <w:r w:rsidR="00375E09" w:rsidRPr="00375E09">
        <w:rPr>
          <w:i/>
        </w:rPr>
        <w:t>‘</w:t>
      </w:r>
      <w:r w:rsidR="00375E09" w:rsidRPr="00375E09">
        <w:rPr>
          <w:rFonts w:cs="Times New Roman"/>
          <w:i/>
          <w:szCs w:val="24"/>
        </w:rPr>
        <w:t>A practitioner in the course of engaging in legal practice must communicate effectively and promptly with client of the practitioner’</w:t>
      </w:r>
    </w:p>
    <w:p w14:paraId="0E8F8124" w14:textId="77777777" w:rsidR="0085029A" w:rsidRDefault="0085029A" w:rsidP="0085029A">
      <w:pPr>
        <w:pStyle w:val="NoSpacing"/>
        <w:ind w:left="720"/>
        <w:rPr>
          <w:bCs/>
        </w:rPr>
      </w:pPr>
    </w:p>
    <w:p w14:paraId="4E430324" w14:textId="364A6BA0" w:rsidR="00AD0431" w:rsidRDefault="00B66BFB" w:rsidP="00B21502">
      <w:pPr>
        <w:pStyle w:val="NoSpacing"/>
        <w:numPr>
          <w:ilvl w:val="0"/>
          <w:numId w:val="33"/>
        </w:numPr>
        <w:rPr>
          <w:bCs/>
        </w:rPr>
      </w:pPr>
      <w:r w:rsidRPr="004E2047">
        <w:rPr>
          <w:b/>
          <w:bCs/>
          <w:i/>
        </w:rPr>
        <w:t xml:space="preserve">Provide </w:t>
      </w:r>
      <w:r w:rsidR="008A1195" w:rsidRPr="004E2047">
        <w:rPr>
          <w:b/>
          <w:bCs/>
          <w:i/>
        </w:rPr>
        <w:t>Assistance</w:t>
      </w:r>
      <w:r w:rsidRPr="004E2047">
        <w:rPr>
          <w:b/>
          <w:bCs/>
          <w:i/>
        </w:rPr>
        <w:t xml:space="preserve"> and Understanding</w:t>
      </w:r>
      <w:r>
        <w:rPr>
          <w:bCs/>
          <w:i/>
        </w:rPr>
        <w:t xml:space="preserve"> – </w:t>
      </w:r>
      <w:r w:rsidR="00AD0431">
        <w:rPr>
          <w:bCs/>
        </w:rPr>
        <w:t>Assist the client to understand the issues in the case; clients possible rights and obligations; available alternatives;</w:t>
      </w:r>
    </w:p>
    <w:p w14:paraId="600FB848" w14:textId="77777777" w:rsidR="008A1195" w:rsidRDefault="008A1195" w:rsidP="008A1195">
      <w:pPr>
        <w:pStyle w:val="NoSpacing"/>
        <w:ind w:left="720"/>
        <w:rPr>
          <w:bCs/>
        </w:rPr>
      </w:pPr>
    </w:p>
    <w:p w14:paraId="2420671E" w14:textId="69F39F2B" w:rsidR="00C126E2" w:rsidRDefault="008A1195" w:rsidP="00B21502">
      <w:pPr>
        <w:pStyle w:val="NoSpacing"/>
        <w:numPr>
          <w:ilvl w:val="0"/>
          <w:numId w:val="33"/>
        </w:numPr>
        <w:rPr>
          <w:bCs/>
        </w:rPr>
      </w:pPr>
      <w:r w:rsidRPr="004E2047">
        <w:rPr>
          <w:b/>
          <w:bCs/>
          <w:i/>
        </w:rPr>
        <w:t>Informed Decisions</w:t>
      </w:r>
      <w:r w:rsidRPr="00C126E2">
        <w:rPr>
          <w:bCs/>
          <w:i/>
        </w:rPr>
        <w:t xml:space="preserve"> – </w:t>
      </w:r>
      <w:r w:rsidR="00C126E2">
        <w:rPr>
          <w:bCs/>
          <w:i/>
          <w:u w:val="single"/>
        </w:rPr>
        <w:t xml:space="preserve">critical </w:t>
      </w:r>
      <w:r w:rsidR="00C126E2" w:rsidRPr="003F24C7">
        <w:rPr>
          <w:bCs/>
          <w:i/>
          <w:u w:val="single"/>
        </w:rPr>
        <w:t>duty</w:t>
      </w:r>
      <w:r w:rsidR="00C126E2">
        <w:rPr>
          <w:bCs/>
          <w:i/>
        </w:rPr>
        <w:t xml:space="preserve"> –</w:t>
      </w:r>
      <w:r w:rsidR="00366DE3">
        <w:rPr>
          <w:bCs/>
          <w:i/>
        </w:rPr>
        <w:t xml:space="preserve"> </w:t>
      </w:r>
      <w:r w:rsidR="00AD0431" w:rsidRPr="00C126E2">
        <w:rPr>
          <w:bCs/>
        </w:rPr>
        <w:t xml:space="preserve">Duty to provide the client will all the necessary information to make an informed decision about offers of settlement of the case. </w:t>
      </w:r>
      <w:r w:rsidR="00AD0431" w:rsidRPr="00C83C5B">
        <w:rPr>
          <w:bCs/>
          <w:i/>
          <w:u w:val="single"/>
        </w:rPr>
        <w:t>The client should be the one in co</w:t>
      </w:r>
      <w:r w:rsidR="00C126E2" w:rsidRPr="00C83C5B">
        <w:rPr>
          <w:bCs/>
          <w:i/>
          <w:u w:val="single"/>
        </w:rPr>
        <w:t>ntrol of the settlement process.</w:t>
      </w:r>
    </w:p>
    <w:p w14:paraId="24B297C7" w14:textId="77777777" w:rsidR="002306AF" w:rsidRDefault="002306AF" w:rsidP="002306AF">
      <w:pPr>
        <w:pStyle w:val="ListParagraph"/>
        <w:rPr>
          <w:bCs/>
        </w:rPr>
      </w:pPr>
    </w:p>
    <w:p w14:paraId="1B1F47C1" w14:textId="77777777" w:rsidR="00790991" w:rsidRPr="00C92A4B" w:rsidRDefault="001D477D" w:rsidP="00790991">
      <w:pPr>
        <w:pStyle w:val="NoSpacing"/>
        <w:numPr>
          <w:ilvl w:val="1"/>
          <w:numId w:val="33"/>
        </w:numPr>
        <w:rPr>
          <w:b/>
          <w:bCs/>
        </w:rPr>
      </w:pPr>
      <w:r w:rsidRPr="00C92A4B">
        <w:rPr>
          <w:b/>
          <w:bCs/>
        </w:rPr>
        <w:t xml:space="preserve">Must provide all information to the client and three main ways per </w:t>
      </w:r>
      <w:r w:rsidR="0082596D" w:rsidRPr="00C92A4B">
        <w:rPr>
          <w:b/>
          <w:bCs/>
          <w:i/>
        </w:rPr>
        <w:t xml:space="preserve">Joseph Guss v Law Institute of Victoria </w:t>
      </w:r>
    </w:p>
    <w:p w14:paraId="400C3B6A" w14:textId="77777777" w:rsidR="00C92A4B" w:rsidRPr="00C92A4B" w:rsidRDefault="00C92A4B" w:rsidP="00C92A4B">
      <w:pPr>
        <w:pStyle w:val="NoSpacing"/>
        <w:ind w:left="2160"/>
        <w:rPr>
          <w:bCs/>
        </w:rPr>
      </w:pPr>
    </w:p>
    <w:p w14:paraId="7B55CCE7" w14:textId="57819C81" w:rsidR="00790991" w:rsidRDefault="00887D5A" w:rsidP="00790991">
      <w:pPr>
        <w:pStyle w:val="NoSpacing"/>
        <w:numPr>
          <w:ilvl w:val="2"/>
          <w:numId w:val="33"/>
        </w:numPr>
        <w:rPr>
          <w:bCs/>
        </w:rPr>
      </w:pPr>
      <w:r w:rsidRPr="001F730B">
        <w:rPr>
          <w:b/>
          <w:i/>
        </w:rPr>
        <w:t>Alternative Dispute Resolution</w:t>
      </w:r>
      <w:r>
        <w:rPr>
          <w:i/>
        </w:rPr>
        <w:t xml:space="preserve"> – </w:t>
      </w:r>
      <w:r w:rsidR="008171D4">
        <w:rPr>
          <w:i/>
        </w:rPr>
        <w:t xml:space="preserve">Vic Bar r199 – </w:t>
      </w:r>
      <w:r w:rsidR="00790991">
        <w:t>Lawyers and clients may want to consider alternative means of dispute resolution other than litigation in court –such as mediation, arbitration or restorative justice processes (that might be less expensive, less time consuming and more likely to resolve the underlying conflict in a way that meets both parties needs); This could encourage broadly ethics of care approach of lawyering,</w:t>
      </w:r>
    </w:p>
    <w:p w14:paraId="59AFA917" w14:textId="77777777" w:rsidR="00887D5A" w:rsidRPr="00887D5A" w:rsidRDefault="00887D5A" w:rsidP="00887D5A">
      <w:pPr>
        <w:pStyle w:val="NoSpacing"/>
        <w:ind w:left="2160"/>
        <w:rPr>
          <w:bCs/>
        </w:rPr>
      </w:pPr>
    </w:p>
    <w:p w14:paraId="0C81BC7F" w14:textId="2A3B2EB3" w:rsidR="00790991" w:rsidRDefault="00887D5A" w:rsidP="00790991">
      <w:pPr>
        <w:pStyle w:val="NoSpacing"/>
        <w:numPr>
          <w:ilvl w:val="2"/>
          <w:numId w:val="33"/>
        </w:numPr>
        <w:rPr>
          <w:bCs/>
        </w:rPr>
      </w:pPr>
      <w:r w:rsidRPr="002C6B30">
        <w:rPr>
          <w:b/>
          <w:i/>
        </w:rPr>
        <w:t>Candid Disclosure</w:t>
      </w:r>
      <w:r>
        <w:rPr>
          <w:b/>
          <w:i/>
        </w:rPr>
        <w:t xml:space="preserve"> – </w:t>
      </w:r>
      <w:r w:rsidR="00790991">
        <w:t>Lawyers and clients might be expected to have certain legal and/or ethical obligation to truthfulness in litigation ;</w:t>
      </w:r>
    </w:p>
    <w:p w14:paraId="086D8B4E" w14:textId="77777777" w:rsidR="003405B1" w:rsidRPr="003405B1" w:rsidRDefault="003405B1" w:rsidP="003405B1">
      <w:pPr>
        <w:pStyle w:val="NoSpacing"/>
        <w:ind w:left="2160"/>
        <w:rPr>
          <w:bCs/>
        </w:rPr>
      </w:pPr>
    </w:p>
    <w:p w14:paraId="5902312F" w14:textId="535DCE03" w:rsidR="00790991" w:rsidRPr="00790991" w:rsidRDefault="003405B1" w:rsidP="00790991">
      <w:pPr>
        <w:pStyle w:val="NoSpacing"/>
        <w:numPr>
          <w:ilvl w:val="2"/>
          <w:numId w:val="33"/>
        </w:numPr>
        <w:rPr>
          <w:bCs/>
        </w:rPr>
      </w:pPr>
      <w:r>
        <w:rPr>
          <w:b/>
          <w:i/>
        </w:rPr>
        <w:t xml:space="preserve">Approach litigation reasonably and fairly – </w:t>
      </w:r>
      <w:r w:rsidR="00790991">
        <w:t>Also it might be expected that lawyers and clients should be legally and/or ethically obligated to use the processes of litigation fairly, not to invoke court processes unreasonably or for improper purposes, and not to unreasonably waste the court’s time and run up costs for the other side.</w:t>
      </w:r>
    </w:p>
    <w:p w14:paraId="34F1F7D9" w14:textId="77777777" w:rsidR="00790991" w:rsidRPr="00C126E2" w:rsidRDefault="00790991" w:rsidP="00790991">
      <w:pPr>
        <w:pStyle w:val="NoSpacing"/>
        <w:rPr>
          <w:bCs/>
        </w:rPr>
      </w:pPr>
    </w:p>
    <w:p w14:paraId="6BF7FFE2" w14:textId="77777777" w:rsidR="00C126E2" w:rsidRDefault="00C126E2" w:rsidP="00C126E2">
      <w:pPr>
        <w:pStyle w:val="NoSpacing"/>
        <w:ind w:left="720"/>
        <w:rPr>
          <w:bCs/>
        </w:rPr>
      </w:pPr>
    </w:p>
    <w:p w14:paraId="49ACF038" w14:textId="77777777" w:rsidR="00AD0431" w:rsidRDefault="00AD0431" w:rsidP="00B21502">
      <w:pPr>
        <w:pStyle w:val="NoSpacing"/>
        <w:numPr>
          <w:ilvl w:val="0"/>
          <w:numId w:val="33"/>
        </w:numPr>
      </w:pPr>
      <w:r>
        <w:t xml:space="preserve">The </w:t>
      </w:r>
      <w:r>
        <w:rPr>
          <w:b/>
          <w:i/>
          <w:iCs/>
        </w:rPr>
        <w:t>Family Law Act 1975</w:t>
      </w:r>
      <w:r>
        <w:t xml:space="preserve"> (</w:t>
      </w:r>
      <w:r>
        <w:rPr>
          <w:b/>
          <w:bCs/>
        </w:rPr>
        <w:t xml:space="preserve">s 14D, s 62B) </w:t>
      </w:r>
      <w:r>
        <w:t>requires practitioners to inform clients of the legal and possible social effects of proposed proceedings including the consequences for children.</w:t>
      </w:r>
    </w:p>
    <w:p w14:paraId="503BD411" w14:textId="77777777" w:rsidR="0061413F" w:rsidRDefault="0061413F" w:rsidP="0079364B">
      <w:pPr>
        <w:pStyle w:val="NoSpacing"/>
        <w:rPr>
          <w:rFonts w:cs="Times New Roman"/>
          <w:szCs w:val="24"/>
        </w:rPr>
      </w:pPr>
    </w:p>
    <w:p w14:paraId="3F1458F1" w14:textId="77777777" w:rsidR="004E2047" w:rsidRDefault="004E2047" w:rsidP="0079364B">
      <w:pPr>
        <w:pStyle w:val="NoSpacing"/>
        <w:rPr>
          <w:rFonts w:cs="Times New Roman"/>
          <w:szCs w:val="24"/>
        </w:rPr>
      </w:pPr>
    </w:p>
    <w:p w14:paraId="0AA4F4CA" w14:textId="77777777" w:rsidR="004E2047" w:rsidRDefault="004E2047" w:rsidP="0079364B">
      <w:pPr>
        <w:pStyle w:val="NoSpacing"/>
        <w:rPr>
          <w:rFonts w:cs="Times New Roman"/>
          <w:szCs w:val="24"/>
        </w:rPr>
      </w:pPr>
    </w:p>
    <w:p w14:paraId="754F97B0" w14:textId="77777777" w:rsidR="004E2047" w:rsidRDefault="004E2047" w:rsidP="0079364B">
      <w:pPr>
        <w:pStyle w:val="NoSpacing"/>
        <w:rPr>
          <w:rFonts w:cs="Times New Roman"/>
          <w:szCs w:val="24"/>
        </w:rPr>
      </w:pPr>
    </w:p>
    <w:p w14:paraId="097B1E85" w14:textId="77777777" w:rsidR="004E2047" w:rsidRDefault="004E2047" w:rsidP="0079364B">
      <w:pPr>
        <w:pStyle w:val="NoSpacing"/>
        <w:rPr>
          <w:rFonts w:cs="Times New Roman"/>
          <w:szCs w:val="24"/>
        </w:rPr>
      </w:pPr>
    </w:p>
    <w:p w14:paraId="534E973A" w14:textId="77777777" w:rsidR="004E2047" w:rsidRDefault="004E2047" w:rsidP="0079364B">
      <w:pPr>
        <w:pStyle w:val="NoSpacing"/>
        <w:rPr>
          <w:rFonts w:cs="Times New Roman"/>
          <w:szCs w:val="24"/>
        </w:rPr>
      </w:pPr>
    </w:p>
    <w:p w14:paraId="090C6DC8" w14:textId="77777777" w:rsidR="004E2047" w:rsidRDefault="004E2047" w:rsidP="0079364B">
      <w:pPr>
        <w:pStyle w:val="NoSpacing"/>
        <w:rPr>
          <w:rFonts w:cs="Times New Roman"/>
          <w:szCs w:val="24"/>
        </w:rPr>
      </w:pPr>
    </w:p>
    <w:p w14:paraId="3CDC3FBD" w14:textId="77777777" w:rsidR="004E2047" w:rsidRDefault="004E2047" w:rsidP="0079364B">
      <w:pPr>
        <w:pStyle w:val="NoSpacing"/>
        <w:rPr>
          <w:rFonts w:cs="Times New Roman"/>
          <w:szCs w:val="24"/>
        </w:rPr>
      </w:pPr>
    </w:p>
    <w:p w14:paraId="68860455" w14:textId="77777777" w:rsidR="004E2047" w:rsidRDefault="004E2047" w:rsidP="0079364B">
      <w:pPr>
        <w:pStyle w:val="NoSpacing"/>
        <w:rPr>
          <w:rFonts w:cs="Times New Roman"/>
          <w:szCs w:val="24"/>
        </w:rPr>
      </w:pPr>
    </w:p>
    <w:p w14:paraId="78612670" w14:textId="77777777" w:rsidR="004E2047" w:rsidRDefault="004E2047" w:rsidP="0079364B">
      <w:pPr>
        <w:pStyle w:val="NoSpacing"/>
        <w:rPr>
          <w:rFonts w:cs="Times New Roman"/>
          <w:szCs w:val="24"/>
        </w:rPr>
      </w:pPr>
    </w:p>
    <w:p w14:paraId="420C96AA" w14:textId="77777777" w:rsidR="004E2047" w:rsidRDefault="004E2047" w:rsidP="0079364B">
      <w:pPr>
        <w:pStyle w:val="NoSpacing"/>
        <w:rPr>
          <w:rFonts w:cs="Times New Roman"/>
          <w:szCs w:val="24"/>
        </w:rPr>
      </w:pPr>
    </w:p>
    <w:p w14:paraId="77FCDAE3" w14:textId="77777777" w:rsidR="004E2047" w:rsidRDefault="004E2047" w:rsidP="0079364B">
      <w:pPr>
        <w:pStyle w:val="NoSpacing"/>
        <w:rPr>
          <w:rFonts w:cs="Times New Roman"/>
          <w:szCs w:val="24"/>
        </w:rPr>
      </w:pPr>
    </w:p>
    <w:p w14:paraId="47083868" w14:textId="77777777" w:rsidR="003D13DB" w:rsidRDefault="003D13DB" w:rsidP="0079364B">
      <w:pPr>
        <w:pStyle w:val="NoSpacing"/>
        <w:rPr>
          <w:rFonts w:cs="Times New Roman"/>
          <w:szCs w:val="24"/>
        </w:rPr>
      </w:pPr>
    </w:p>
    <w:p w14:paraId="1A0FFEFE" w14:textId="1B78B16F" w:rsidR="00485ED1" w:rsidRPr="00BC7572" w:rsidRDefault="00C92A4B" w:rsidP="0079364B">
      <w:pPr>
        <w:pStyle w:val="NoSpacing"/>
        <w:rPr>
          <w:rFonts w:cs="Times New Roman"/>
          <w:b/>
          <w:szCs w:val="24"/>
          <w:u w:val="single"/>
        </w:rPr>
      </w:pPr>
      <w:r>
        <w:rPr>
          <w:rFonts w:cs="Times New Roman"/>
          <w:b/>
          <w:szCs w:val="24"/>
          <w:u w:val="single"/>
        </w:rPr>
        <w:lastRenderedPageBreak/>
        <w:t>**</w:t>
      </w:r>
      <w:r w:rsidR="00E42C0D" w:rsidRPr="00BC7572">
        <w:rPr>
          <w:rFonts w:cs="Times New Roman"/>
          <w:b/>
          <w:szCs w:val="24"/>
          <w:u w:val="single"/>
        </w:rPr>
        <w:t xml:space="preserve">Duty </w:t>
      </w:r>
      <w:r w:rsidR="00CD1142">
        <w:rPr>
          <w:rFonts w:cs="Times New Roman"/>
          <w:b/>
          <w:szCs w:val="24"/>
          <w:u w:val="single"/>
        </w:rPr>
        <w:t>to</w:t>
      </w:r>
      <w:r w:rsidR="00E42C0D" w:rsidRPr="00BC7572">
        <w:rPr>
          <w:rFonts w:cs="Times New Roman"/>
          <w:b/>
          <w:szCs w:val="24"/>
          <w:u w:val="single"/>
        </w:rPr>
        <w:t xml:space="preserve"> Administration to Justice</w:t>
      </w:r>
      <w:r w:rsidR="00E7401D">
        <w:rPr>
          <w:rFonts w:cs="Times New Roman"/>
          <w:b/>
          <w:szCs w:val="24"/>
          <w:u w:val="single"/>
        </w:rPr>
        <w:t xml:space="preserve"> </w:t>
      </w:r>
    </w:p>
    <w:p w14:paraId="242EBDCE" w14:textId="77777777" w:rsidR="00E42C0D" w:rsidRDefault="00E42C0D" w:rsidP="0079364B">
      <w:pPr>
        <w:pStyle w:val="NoSpacing"/>
        <w:rPr>
          <w:rFonts w:cs="Times New Roman"/>
          <w:szCs w:val="24"/>
        </w:rPr>
      </w:pPr>
    </w:p>
    <w:p w14:paraId="30345E3B" w14:textId="18D6A2A5" w:rsidR="00E42C0D" w:rsidRPr="00CA0F58" w:rsidRDefault="00BF69B3" w:rsidP="00B21502">
      <w:pPr>
        <w:pStyle w:val="NoSpacing"/>
        <w:numPr>
          <w:ilvl w:val="0"/>
          <w:numId w:val="34"/>
        </w:numPr>
        <w:rPr>
          <w:rFonts w:cs="Times New Roman"/>
          <w:szCs w:val="24"/>
        </w:rPr>
      </w:pPr>
      <w:r w:rsidRPr="00BC6C86">
        <w:rPr>
          <w:rFonts w:cs="Times New Roman"/>
          <w:b/>
          <w:i/>
          <w:szCs w:val="24"/>
        </w:rPr>
        <w:t>Purpose</w:t>
      </w:r>
      <w:r>
        <w:rPr>
          <w:rFonts w:cs="Times New Roman"/>
          <w:i/>
          <w:szCs w:val="24"/>
        </w:rPr>
        <w:t xml:space="preserve"> – </w:t>
      </w:r>
      <w:r w:rsidR="00CA0F58">
        <w:rPr>
          <w:rFonts w:cs="Times New Roman"/>
          <w:b/>
          <w:i/>
          <w:szCs w:val="24"/>
        </w:rPr>
        <w:t>See Duty to the Court section</w:t>
      </w:r>
      <w:r w:rsidR="00E7401D">
        <w:rPr>
          <w:rFonts w:cs="Times New Roman"/>
          <w:b/>
          <w:i/>
          <w:szCs w:val="24"/>
        </w:rPr>
        <w:t xml:space="preserve"> </w:t>
      </w:r>
      <w:r w:rsidR="00E7401D">
        <w:rPr>
          <w:rFonts w:cs="Times New Roman"/>
          <w:b/>
          <w:szCs w:val="24"/>
          <w:u w:val="single"/>
        </w:rPr>
        <w:t xml:space="preserve">[see </w:t>
      </w:r>
      <w:r w:rsidR="00E7401D" w:rsidRPr="00BE11DE">
        <w:rPr>
          <w:b/>
          <w:i/>
          <w:u w:val="single"/>
        </w:rPr>
        <w:t>Duty not to Co</w:t>
      </w:r>
      <w:r w:rsidR="00E7401D">
        <w:rPr>
          <w:b/>
          <w:i/>
          <w:u w:val="single"/>
        </w:rPr>
        <w:t>rrupt Administration of Justice]</w:t>
      </w:r>
    </w:p>
    <w:p w14:paraId="508F4C7F" w14:textId="77777777" w:rsidR="00CA0F58" w:rsidRDefault="00CA0F58" w:rsidP="00CA0F58">
      <w:pPr>
        <w:pStyle w:val="NoSpacing"/>
        <w:rPr>
          <w:rFonts w:cs="Times New Roman"/>
          <w:szCs w:val="24"/>
        </w:rPr>
      </w:pPr>
    </w:p>
    <w:p w14:paraId="0C3B53E5" w14:textId="4EA3E442" w:rsidR="00CA0F58" w:rsidRPr="00EE7281" w:rsidRDefault="00CA0F58" w:rsidP="00B21502">
      <w:pPr>
        <w:pStyle w:val="NoSpacing"/>
        <w:numPr>
          <w:ilvl w:val="0"/>
          <w:numId w:val="34"/>
        </w:numPr>
        <w:rPr>
          <w:rFonts w:cs="Times New Roman"/>
          <w:szCs w:val="24"/>
        </w:rPr>
      </w:pPr>
      <w:r w:rsidRPr="00BC6C86">
        <w:rPr>
          <w:rFonts w:cs="Times New Roman"/>
          <w:b/>
          <w:i/>
          <w:szCs w:val="24"/>
        </w:rPr>
        <w:t>Provide accurate fee account</w:t>
      </w:r>
      <w:r>
        <w:rPr>
          <w:rFonts w:cs="Times New Roman"/>
          <w:i/>
          <w:szCs w:val="24"/>
        </w:rPr>
        <w:t xml:space="preserve"> – </w:t>
      </w:r>
      <w:r w:rsidR="00EE7281" w:rsidRPr="00EE7281">
        <w:rPr>
          <w:rFonts w:cs="Times New Roman"/>
          <w:b/>
          <w:i/>
          <w:szCs w:val="24"/>
        </w:rPr>
        <w:t>See Costs Disclosure</w:t>
      </w:r>
    </w:p>
    <w:p w14:paraId="72142596" w14:textId="77777777" w:rsidR="00EE7281" w:rsidRDefault="00EE7281" w:rsidP="00EE7281">
      <w:pPr>
        <w:pStyle w:val="ListParagraph"/>
      </w:pPr>
    </w:p>
    <w:p w14:paraId="300FE6E3" w14:textId="24A01154" w:rsidR="00CA0F58" w:rsidRPr="00420449" w:rsidRDefault="00420449" w:rsidP="00B21502">
      <w:pPr>
        <w:pStyle w:val="NoSpacing"/>
        <w:numPr>
          <w:ilvl w:val="0"/>
          <w:numId w:val="34"/>
        </w:numPr>
        <w:rPr>
          <w:rFonts w:cs="Times New Roman"/>
          <w:szCs w:val="24"/>
        </w:rPr>
      </w:pPr>
      <w:r w:rsidRPr="00BC6C86">
        <w:rPr>
          <w:rFonts w:cs="Times New Roman"/>
          <w:b/>
          <w:i/>
          <w:szCs w:val="24"/>
        </w:rPr>
        <w:t>Duty to Encourage Settlement</w:t>
      </w:r>
      <w:r>
        <w:rPr>
          <w:rFonts w:cs="Times New Roman"/>
          <w:i/>
          <w:szCs w:val="24"/>
        </w:rPr>
        <w:t xml:space="preserve"> – </w:t>
      </w:r>
    </w:p>
    <w:p w14:paraId="2BC59B7C" w14:textId="289D0C89" w:rsidR="00420449" w:rsidRDefault="00420449" w:rsidP="00677A73">
      <w:pPr>
        <w:pStyle w:val="NoSpacing"/>
        <w:ind w:left="1440"/>
        <w:rPr>
          <w:rFonts w:cs="Times New Roman"/>
          <w:szCs w:val="24"/>
        </w:rPr>
      </w:pPr>
    </w:p>
    <w:p w14:paraId="5B956568" w14:textId="78C4BEEA" w:rsidR="00677A73" w:rsidRDefault="00677A73" w:rsidP="00B21502">
      <w:pPr>
        <w:pStyle w:val="NoSpacing"/>
        <w:numPr>
          <w:ilvl w:val="1"/>
          <w:numId w:val="34"/>
        </w:numPr>
        <w:rPr>
          <w:rFonts w:cs="Times New Roman"/>
          <w:szCs w:val="24"/>
        </w:rPr>
      </w:pPr>
      <w:r>
        <w:rPr>
          <w:rFonts w:cs="Times New Roman"/>
          <w:i/>
          <w:szCs w:val="24"/>
        </w:rPr>
        <w:t xml:space="preserve">Purpose </w:t>
      </w:r>
      <w:r>
        <w:rPr>
          <w:rFonts w:cs="Times New Roman"/>
          <w:szCs w:val="24"/>
        </w:rPr>
        <w:t xml:space="preserve">– All lawyers have a duty to the proper and efficient administration of justice and not to extend trial </w:t>
      </w:r>
      <w:r w:rsidR="005E7C64">
        <w:rPr>
          <w:rFonts w:cs="Times New Roman"/>
          <w:szCs w:val="24"/>
        </w:rPr>
        <w:t>lengths</w:t>
      </w:r>
      <w:r>
        <w:rPr>
          <w:rFonts w:cs="Times New Roman"/>
          <w:szCs w:val="24"/>
        </w:rPr>
        <w:t xml:space="preserve"> in the interest of economic gain.</w:t>
      </w:r>
    </w:p>
    <w:p w14:paraId="23ACCE72" w14:textId="452A81B4" w:rsidR="00677A73" w:rsidRDefault="00677A73" w:rsidP="00677A73">
      <w:pPr>
        <w:pStyle w:val="NoSpacing"/>
        <w:ind w:left="1440"/>
        <w:rPr>
          <w:rFonts w:cs="Times New Roman"/>
          <w:szCs w:val="24"/>
        </w:rPr>
      </w:pPr>
    </w:p>
    <w:p w14:paraId="2C5CE102" w14:textId="50E3736D" w:rsidR="00677A73" w:rsidRDefault="00135803" w:rsidP="00B21502">
      <w:pPr>
        <w:pStyle w:val="NoSpacing"/>
        <w:numPr>
          <w:ilvl w:val="1"/>
          <w:numId w:val="34"/>
        </w:numPr>
        <w:rPr>
          <w:rFonts w:cs="Times New Roman"/>
          <w:szCs w:val="24"/>
        </w:rPr>
      </w:pPr>
      <w:r>
        <w:rPr>
          <w:rFonts w:cs="Times New Roman"/>
          <w:i/>
          <w:szCs w:val="24"/>
        </w:rPr>
        <w:t xml:space="preserve">Client Interests </w:t>
      </w:r>
      <w:r>
        <w:rPr>
          <w:rFonts w:cs="Times New Roman"/>
          <w:szCs w:val="24"/>
        </w:rPr>
        <w:t xml:space="preserve">– Per </w:t>
      </w:r>
      <w:r>
        <w:rPr>
          <w:rFonts w:cs="Times New Roman"/>
          <w:i/>
          <w:szCs w:val="24"/>
        </w:rPr>
        <w:t xml:space="preserve">Berjaya Group Pty Ltd v Ariff </w:t>
      </w:r>
      <w:r>
        <w:rPr>
          <w:rFonts w:cs="Times New Roman"/>
          <w:szCs w:val="24"/>
        </w:rPr>
        <w:t>– lawyers should act as ‘moderating influences’ in the interests of justice and ensure that the best outcome for the client is at the forefront of settling a dispute.</w:t>
      </w:r>
    </w:p>
    <w:p w14:paraId="76444527" w14:textId="72E19DCA" w:rsidR="0039596A" w:rsidRDefault="0039596A" w:rsidP="00B21502">
      <w:pPr>
        <w:pStyle w:val="NoSpacing"/>
        <w:numPr>
          <w:ilvl w:val="1"/>
          <w:numId w:val="34"/>
        </w:numPr>
        <w:spacing w:before="240"/>
        <w:rPr>
          <w:rFonts w:cs="Times New Roman"/>
          <w:szCs w:val="24"/>
        </w:rPr>
      </w:pPr>
      <w:r>
        <w:rPr>
          <w:rFonts w:cs="Times New Roman"/>
          <w:i/>
          <w:szCs w:val="24"/>
        </w:rPr>
        <w:t xml:space="preserve">Reasonable Alternatives </w:t>
      </w:r>
      <w:r w:rsidR="00A26FAF">
        <w:rPr>
          <w:rFonts w:cs="Times New Roman"/>
          <w:i/>
          <w:szCs w:val="24"/>
        </w:rPr>
        <w:t xml:space="preserve">– </w:t>
      </w:r>
      <w:r w:rsidR="00B17ABA">
        <w:rPr>
          <w:rFonts w:cs="Times New Roman"/>
          <w:szCs w:val="24"/>
        </w:rPr>
        <w:t>Provide the client with reasonable alternatives as to the nature of the dispute and if mediation and arbitration are the best remedies then such alternative dispute resolution should be explored.</w:t>
      </w:r>
    </w:p>
    <w:p w14:paraId="044802B6" w14:textId="77777777" w:rsidR="00135803" w:rsidRDefault="00135803" w:rsidP="00135803">
      <w:pPr>
        <w:pStyle w:val="ListParagraph"/>
      </w:pPr>
    </w:p>
    <w:p w14:paraId="40CFF071" w14:textId="5E17D9D1" w:rsidR="00135803" w:rsidRPr="00066BC2" w:rsidRDefault="00B7043D" w:rsidP="00B21502">
      <w:pPr>
        <w:pStyle w:val="NoSpacing"/>
        <w:numPr>
          <w:ilvl w:val="1"/>
          <w:numId w:val="34"/>
        </w:numPr>
        <w:rPr>
          <w:rFonts w:cs="Times New Roman"/>
          <w:szCs w:val="24"/>
        </w:rPr>
      </w:pPr>
      <w:r>
        <w:rPr>
          <w:rFonts w:cs="Times New Roman"/>
          <w:i/>
          <w:szCs w:val="24"/>
        </w:rPr>
        <w:t xml:space="preserve">PCPR r 12.3 – </w:t>
      </w:r>
    </w:p>
    <w:p w14:paraId="13944953" w14:textId="77777777" w:rsidR="00066BC2" w:rsidRDefault="00066BC2" w:rsidP="00066BC2">
      <w:pPr>
        <w:pStyle w:val="ListParagraph"/>
      </w:pPr>
    </w:p>
    <w:p w14:paraId="333857FD" w14:textId="344FAEF0" w:rsidR="00066BC2" w:rsidRPr="00066BC2" w:rsidRDefault="003F65A2" w:rsidP="00066BC2">
      <w:pPr>
        <w:autoSpaceDE w:val="0"/>
        <w:autoSpaceDN w:val="0"/>
        <w:adjustRightInd w:val="0"/>
        <w:ind w:left="2160"/>
        <w:rPr>
          <w:i/>
        </w:rPr>
      </w:pPr>
      <w:r>
        <w:rPr>
          <w:rFonts w:eastAsiaTheme="minorHAnsi"/>
          <w:i/>
          <w:sz w:val="23"/>
          <w:szCs w:val="23"/>
          <w:lang w:val="en-AU"/>
        </w:rPr>
        <w:t>‘</w:t>
      </w:r>
      <w:r w:rsidR="00066BC2" w:rsidRPr="00066BC2">
        <w:rPr>
          <w:rFonts w:eastAsiaTheme="minorHAnsi"/>
          <w:i/>
          <w:sz w:val="23"/>
          <w:szCs w:val="23"/>
          <w:lang w:val="en-AU"/>
        </w:rPr>
        <w:t>A practitioner must seek to advance and protect the client's interests to the best of the practitioner's skill and diligence, uninfluenced by the practitioner's personal view of the client or the client's activities, and notwithstanding any threatened unpopularity or criticism of the practitioner or any other person, and always in accordance with the law including these rules.</w:t>
      </w:r>
      <w:r>
        <w:rPr>
          <w:rFonts w:eastAsiaTheme="minorHAnsi"/>
          <w:i/>
          <w:sz w:val="23"/>
          <w:szCs w:val="23"/>
          <w:lang w:val="en-AU"/>
        </w:rPr>
        <w:t>’</w:t>
      </w:r>
    </w:p>
    <w:p w14:paraId="1DE099C6" w14:textId="77777777" w:rsidR="00426020" w:rsidRDefault="00426020" w:rsidP="0079364B">
      <w:pPr>
        <w:pStyle w:val="NoSpacing"/>
        <w:rPr>
          <w:rFonts w:cs="Times New Roman"/>
          <w:szCs w:val="24"/>
        </w:rPr>
      </w:pPr>
    </w:p>
    <w:p w14:paraId="4C77F59B" w14:textId="77777777" w:rsidR="00426020" w:rsidRPr="00F82068" w:rsidRDefault="00426020" w:rsidP="0079364B">
      <w:pPr>
        <w:pStyle w:val="NoSpacing"/>
        <w:rPr>
          <w:rFonts w:cs="Times New Roman"/>
          <w:szCs w:val="24"/>
        </w:rPr>
      </w:pPr>
    </w:p>
    <w:p w14:paraId="35BEB33C" w14:textId="77777777" w:rsidR="009B7853" w:rsidRDefault="009B7853" w:rsidP="0079364B">
      <w:pPr>
        <w:pStyle w:val="NoSpacing"/>
        <w:rPr>
          <w:rFonts w:cs="Times New Roman"/>
          <w:szCs w:val="24"/>
        </w:rPr>
      </w:pPr>
    </w:p>
    <w:p w14:paraId="12DDF1BC" w14:textId="77777777" w:rsidR="005A4EB7" w:rsidRDefault="005A4EB7" w:rsidP="0079364B">
      <w:pPr>
        <w:pStyle w:val="NoSpacing"/>
        <w:rPr>
          <w:rFonts w:cs="Times New Roman"/>
          <w:szCs w:val="24"/>
        </w:rPr>
      </w:pPr>
    </w:p>
    <w:p w14:paraId="678F7816" w14:textId="77777777" w:rsidR="005A4EB7" w:rsidRDefault="005A4EB7" w:rsidP="0079364B">
      <w:pPr>
        <w:pStyle w:val="NoSpacing"/>
        <w:rPr>
          <w:rFonts w:cs="Times New Roman"/>
          <w:szCs w:val="24"/>
        </w:rPr>
      </w:pPr>
    </w:p>
    <w:p w14:paraId="05FEC614" w14:textId="77777777" w:rsidR="005A4EB7" w:rsidRDefault="005A4EB7" w:rsidP="0079364B">
      <w:pPr>
        <w:pStyle w:val="NoSpacing"/>
        <w:rPr>
          <w:rFonts w:cs="Times New Roman"/>
          <w:szCs w:val="24"/>
        </w:rPr>
      </w:pPr>
    </w:p>
    <w:p w14:paraId="1A0197D4" w14:textId="77777777" w:rsidR="005A4EB7" w:rsidRDefault="005A4EB7" w:rsidP="0079364B">
      <w:pPr>
        <w:pStyle w:val="NoSpacing"/>
        <w:rPr>
          <w:rFonts w:cs="Times New Roman"/>
          <w:szCs w:val="24"/>
        </w:rPr>
      </w:pPr>
    </w:p>
    <w:p w14:paraId="4A2A5A16" w14:textId="77777777" w:rsidR="005A4EB7" w:rsidRDefault="005A4EB7" w:rsidP="0079364B">
      <w:pPr>
        <w:pStyle w:val="NoSpacing"/>
        <w:rPr>
          <w:rFonts w:cs="Times New Roman"/>
          <w:szCs w:val="24"/>
        </w:rPr>
      </w:pPr>
    </w:p>
    <w:p w14:paraId="55CECF10" w14:textId="77777777" w:rsidR="005A4EB7" w:rsidRDefault="005A4EB7" w:rsidP="0079364B">
      <w:pPr>
        <w:pStyle w:val="NoSpacing"/>
        <w:rPr>
          <w:rFonts w:cs="Times New Roman"/>
          <w:szCs w:val="24"/>
        </w:rPr>
      </w:pPr>
    </w:p>
    <w:p w14:paraId="79EA872E" w14:textId="77777777" w:rsidR="005A4EB7" w:rsidRDefault="005A4EB7" w:rsidP="0079364B">
      <w:pPr>
        <w:pStyle w:val="NoSpacing"/>
        <w:rPr>
          <w:rFonts w:cs="Times New Roman"/>
          <w:szCs w:val="24"/>
        </w:rPr>
      </w:pPr>
    </w:p>
    <w:p w14:paraId="3550DEE8" w14:textId="77777777" w:rsidR="005A4EB7" w:rsidRDefault="005A4EB7" w:rsidP="0079364B">
      <w:pPr>
        <w:pStyle w:val="NoSpacing"/>
        <w:rPr>
          <w:rFonts w:cs="Times New Roman"/>
          <w:szCs w:val="24"/>
        </w:rPr>
      </w:pPr>
    </w:p>
    <w:p w14:paraId="02AB9CFB" w14:textId="77777777" w:rsidR="004E2047" w:rsidRDefault="004E2047" w:rsidP="0079364B">
      <w:pPr>
        <w:pStyle w:val="NoSpacing"/>
        <w:rPr>
          <w:rFonts w:cs="Times New Roman"/>
          <w:szCs w:val="24"/>
        </w:rPr>
      </w:pPr>
    </w:p>
    <w:p w14:paraId="0CB1F95E" w14:textId="77777777" w:rsidR="004E2047" w:rsidRDefault="004E2047" w:rsidP="0079364B">
      <w:pPr>
        <w:pStyle w:val="NoSpacing"/>
        <w:rPr>
          <w:rFonts w:cs="Times New Roman"/>
          <w:szCs w:val="24"/>
        </w:rPr>
      </w:pPr>
    </w:p>
    <w:p w14:paraId="22B84DC2" w14:textId="77777777" w:rsidR="004E2047" w:rsidRDefault="004E2047" w:rsidP="0079364B">
      <w:pPr>
        <w:pStyle w:val="NoSpacing"/>
        <w:rPr>
          <w:rFonts w:cs="Times New Roman"/>
          <w:szCs w:val="24"/>
        </w:rPr>
      </w:pPr>
    </w:p>
    <w:p w14:paraId="138BC9B0" w14:textId="77777777" w:rsidR="004E2047" w:rsidRDefault="004E2047" w:rsidP="0079364B">
      <w:pPr>
        <w:pStyle w:val="NoSpacing"/>
        <w:rPr>
          <w:rFonts w:cs="Times New Roman"/>
          <w:szCs w:val="24"/>
        </w:rPr>
      </w:pPr>
    </w:p>
    <w:p w14:paraId="74C52DCD" w14:textId="77777777" w:rsidR="004E2047" w:rsidRDefault="004E2047" w:rsidP="0079364B">
      <w:pPr>
        <w:pStyle w:val="NoSpacing"/>
        <w:rPr>
          <w:rFonts w:cs="Times New Roman"/>
          <w:szCs w:val="24"/>
        </w:rPr>
      </w:pPr>
    </w:p>
    <w:p w14:paraId="4B7B1742" w14:textId="77777777" w:rsidR="004E2047" w:rsidRDefault="004E2047" w:rsidP="0079364B">
      <w:pPr>
        <w:pStyle w:val="NoSpacing"/>
        <w:rPr>
          <w:rFonts w:cs="Times New Roman"/>
          <w:szCs w:val="24"/>
        </w:rPr>
      </w:pPr>
    </w:p>
    <w:p w14:paraId="4C3811EC" w14:textId="77777777" w:rsidR="004E2047" w:rsidRDefault="004E2047" w:rsidP="0079364B">
      <w:pPr>
        <w:pStyle w:val="NoSpacing"/>
        <w:rPr>
          <w:rFonts w:cs="Times New Roman"/>
          <w:szCs w:val="24"/>
        </w:rPr>
      </w:pPr>
    </w:p>
    <w:p w14:paraId="1E14677F" w14:textId="77777777" w:rsidR="004E2047" w:rsidRDefault="004E2047" w:rsidP="0079364B">
      <w:pPr>
        <w:pStyle w:val="NoSpacing"/>
        <w:rPr>
          <w:rFonts w:cs="Times New Roman"/>
          <w:szCs w:val="24"/>
        </w:rPr>
      </w:pPr>
    </w:p>
    <w:p w14:paraId="0FD34809" w14:textId="77777777" w:rsidR="004E2047" w:rsidRDefault="004E2047" w:rsidP="0079364B">
      <w:pPr>
        <w:pStyle w:val="NoSpacing"/>
        <w:rPr>
          <w:rFonts w:cs="Times New Roman"/>
          <w:szCs w:val="24"/>
        </w:rPr>
      </w:pPr>
    </w:p>
    <w:p w14:paraId="377F2D07" w14:textId="77777777" w:rsidR="004E2047" w:rsidRDefault="004E2047" w:rsidP="0079364B">
      <w:pPr>
        <w:pStyle w:val="NoSpacing"/>
        <w:rPr>
          <w:rFonts w:cs="Times New Roman"/>
          <w:szCs w:val="24"/>
        </w:rPr>
      </w:pPr>
    </w:p>
    <w:p w14:paraId="24EF4262" w14:textId="77777777" w:rsidR="004E2047" w:rsidRDefault="004E2047" w:rsidP="0079364B">
      <w:pPr>
        <w:pStyle w:val="NoSpacing"/>
        <w:rPr>
          <w:rFonts w:cs="Times New Roman"/>
          <w:szCs w:val="24"/>
        </w:rPr>
      </w:pPr>
    </w:p>
    <w:p w14:paraId="2168C2C1" w14:textId="77777777" w:rsidR="003D13DB" w:rsidRDefault="003D13DB" w:rsidP="0079364B">
      <w:pPr>
        <w:pStyle w:val="NoSpacing"/>
        <w:rPr>
          <w:rFonts w:cs="Times New Roman"/>
          <w:szCs w:val="24"/>
        </w:rPr>
      </w:pPr>
    </w:p>
    <w:p w14:paraId="09D25F1B" w14:textId="77777777" w:rsidR="004E2047" w:rsidRDefault="004E2047" w:rsidP="0079364B">
      <w:pPr>
        <w:pStyle w:val="NoSpacing"/>
        <w:rPr>
          <w:rFonts w:cs="Times New Roman"/>
          <w:szCs w:val="24"/>
        </w:rPr>
      </w:pPr>
    </w:p>
    <w:p w14:paraId="65639D24" w14:textId="5D630159" w:rsidR="005A4EB7" w:rsidRPr="00D31D85" w:rsidRDefault="00540130" w:rsidP="0079364B">
      <w:pPr>
        <w:pStyle w:val="NoSpacing"/>
        <w:rPr>
          <w:rFonts w:cs="Times New Roman"/>
          <w:b/>
          <w:sz w:val="36"/>
          <w:szCs w:val="36"/>
          <w:u w:val="single"/>
        </w:rPr>
      </w:pPr>
      <w:r w:rsidRPr="00D31D85">
        <w:rPr>
          <w:rFonts w:cs="Times New Roman"/>
          <w:b/>
          <w:sz w:val="36"/>
          <w:szCs w:val="36"/>
          <w:u w:val="single"/>
        </w:rPr>
        <w:lastRenderedPageBreak/>
        <w:t>Lawyers Duty to Clients in Tort</w:t>
      </w:r>
    </w:p>
    <w:p w14:paraId="399059FA" w14:textId="77777777" w:rsidR="005A4EB7" w:rsidRDefault="005A4EB7" w:rsidP="0079364B">
      <w:pPr>
        <w:pStyle w:val="NoSpacing"/>
        <w:rPr>
          <w:rFonts w:cs="Times New Roman"/>
          <w:szCs w:val="24"/>
        </w:rPr>
      </w:pPr>
    </w:p>
    <w:p w14:paraId="71D894DF" w14:textId="0D537DB0" w:rsidR="005A4EB7" w:rsidRPr="00BE33F8" w:rsidRDefault="002256AE" w:rsidP="002256AE">
      <w:pPr>
        <w:pStyle w:val="NoSpacing"/>
        <w:rPr>
          <w:rFonts w:cs="Times New Roman"/>
          <w:b/>
          <w:i/>
          <w:szCs w:val="24"/>
        </w:rPr>
      </w:pPr>
      <w:r w:rsidRPr="00BE33F8">
        <w:rPr>
          <w:rFonts w:cs="Times New Roman"/>
          <w:b/>
          <w:i/>
          <w:szCs w:val="24"/>
        </w:rPr>
        <w:t>General</w:t>
      </w:r>
    </w:p>
    <w:p w14:paraId="3DA391E5" w14:textId="77777777" w:rsidR="002256AE" w:rsidRPr="00BE33F8" w:rsidRDefault="002256AE" w:rsidP="002256AE">
      <w:pPr>
        <w:pStyle w:val="NoSpacing"/>
        <w:rPr>
          <w:rFonts w:cs="Times New Roman"/>
          <w:b/>
          <w:szCs w:val="24"/>
        </w:rPr>
      </w:pPr>
    </w:p>
    <w:p w14:paraId="71BE1392" w14:textId="5892602E" w:rsidR="00BE33F8" w:rsidRDefault="00E756EB" w:rsidP="00B21502">
      <w:pPr>
        <w:pStyle w:val="ListParagraph"/>
        <w:keepNext/>
        <w:numPr>
          <w:ilvl w:val="0"/>
          <w:numId w:val="35"/>
        </w:numPr>
        <w:tabs>
          <w:tab w:val="left" w:pos="1350"/>
        </w:tabs>
        <w:rPr>
          <w:lang w:val="en-AU"/>
        </w:rPr>
      </w:pPr>
      <w:r>
        <w:rPr>
          <w:i/>
          <w:lang w:val="en-AU"/>
        </w:rPr>
        <w:t xml:space="preserve">Purpose – </w:t>
      </w:r>
      <w:r w:rsidR="00BE33F8" w:rsidRPr="00BE33F8">
        <w:rPr>
          <w:lang w:val="en-AU"/>
        </w:rPr>
        <w:t xml:space="preserve">Negligence will cause concurrent </w:t>
      </w:r>
      <w:r w:rsidR="00BE33F8" w:rsidRPr="00BE33F8">
        <w:rPr>
          <w:b/>
          <w:lang w:val="en-AU"/>
        </w:rPr>
        <w:t xml:space="preserve">liability in tort </w:t>
      </w:r>
      <w:r w:rsidR="00BE33F8" w:rsidRPr="00BE33F8">
        <w:rPr>
          <w:lang w:val="en-AU"/>
        </w:rPr>
        <w:t xml:space="preserve">and </w:t>
      </w:r>
      <w:r w:rsidR="00BE33F8" w:rsidRPr="00BE33F8">
        <w:rPr>
          <w:b/>
          <w:lang w:val="en-AU"/>
        </w:rPr>
        <w:t>contract (retainer)</w:t>
      </w:r>
      <w:r w:rsidR="00BE33F8" w:rsidRPr="00BE33F8">
        <w:rPr>
          <w:lang w:val="en-AU"/>
        </w:rPr>
        <w:t>, and may be liable in tort independ</w:t>
      </w:r>
      <w:r w:rsidR="00BE33F8">
        <w:rPr>
          <w:lang w:val="en-AU"/>
        </w:rPr>
        <w:t>ently of an action in contract</w:t>
      </w:r>
    </w:p>
    <w:p w14:paraId="72D36B0C" w14:textId="77777777" w:rsidR="00BE33F8" w:rsidRPr="00BE33F8" w:rsidRDefault="00BE33F8" w:rsidP="00B21502">
      <w:pPr>
        <w:pStyle w:val="ListParagraph"/>
        <w:keepNext/>
        <w:numPr>
          <w:ilvl w:val="1"/>
          <w:numId w:val="35"/>
        </w:numPr>
        <w:tabs>
          <w:tab w:val="left" w:pos="1350"/>
        </w:tabs>
        <w:rPr>
          <w:lang w:val="en-AU"/>
        </w:rPr>
      </w:pPr>
      <w:r w:rsidRPr="00BE33F8">
        <w:rPr>
          <w:i/>
          <w:lang w:val="en-AU"/>
        </w:rPr>
        <w:t>Henderson</w:t>
      </w:r>
      <w:r w:rsidRPr="00BE33F8">
        <w:rPr>
          <w:i/>
          <w:iCs/>
          <w:lang w:val="en-AU"/>
        </w:rPr>
        <w:t xml:space="preserve"> v Merrett Syndicates Ltd</w:t>
      </w:r>
      <w:r w:rsidRPr="00BE33F8">
        <w:rPr>
          <w:lang w:val="en-AU"/>
        </w:rPr>
        <w:t xml:space="preserve"> (HofL) </w:t>
      </w:r>
    </w:p>
    <w:p w14:paraId="79DAC4A7" w14:textId="2401C446" w:rsidR="00BE33F8" w:rsidRDefault="00BE33F8" w:rsidP="00B21502">
      <w:pPr>
        <w:pStyle w:val="ListParagraph"/>
        <w:keepNext/>
        <w:numPr>
          <w:ilvl w:val="1"/>
          <w:numId w:val="35"/>
        </w:numPr>
        <w:tabs>
          <w:tab w:val="left" w:pos="1350"/>
        </w:tabs>
        <w:rPr>
          <w:lang w:val="en-AU"/>
        </w:rPr>
      </w:pPr>
      <w:r w:rsidRPr="00BE33F8">
        <w:rPr>
          <w:i/>
          <w:iCs/>
          <w:lang w:val="en-AU"/>
        </w:rPr>
        <w:t>Astley &amp; Ors v Austrust</w:t>
      </w:r>
      <w:r w:rsidRPr="00BE33F8">
        <w:rPr>
          <w:lang w:val="en-AU"/>
        </w:rPr>
        <w:t xml:space="preserve"> (HCA)</w:t>
      </w:r>
    </w:p>
    <w:p w14:paraId="66B233EB" w14:textId="77777777" w:rsidR="00A009D3" w:rsidRDefault="00A009D3" w:rsidP="00A009D3">
      <w:pPr>
        <w:pStyle w:val="ListParagraph"/>
        <w:keepNext/>
        <w:tabs>
          <w:tab w:val="left" w:pos="1350"/>
        </w:tabs>
        <w:ind w:left="1440"/>
        <w:rPr>
          <w:lang w:val="en-AU"/>
        </w:rPr>
      </w:pPr>
    </w:p>
    <w:p w14:paraId="64619E09" w14:textId="77777777" w:rsidR="00F508B8" w:rsidRDefault="00927406" w:rsidP="00B21502">
      <w:pPr>
        <w:pStyle w:val="NoSpacing"/>
        <w:numPr>
          <w:ilvl w:val="0"/>
          <w:numId w:val="35"/>
        </w:numPr>
      </w:pPr>
      <w:r>
        <w:rPr>
          <w:i/>
        </w:rPr>
        <w:t xml:space="preserve">Contract – </w:t>
      </w:r>
      <w:r w:rsidR="00BE33F8" w:rsidRPr="00927406">
        <w:t>The law implies into contracts for services a promise to exercise reasonable care and skill</w:t>
      </w:r>
    </w:p>
    <w:p w14:paraId="0FF8B37D" w14:textId="77777777" w:rsidR="00F508B8" w:rsidRDefault="00BE33F8" w:rsidP="00B21502">
      <w:pPr>
        <w:pStyle w:val="NoSpacing"/>
        <w:numPr>
          <w:ilvl w:val="1"/>
          <w:numId w:val="35"/>
        </w:numPr>
      </w:pPr>
      <w:r w:rsidRPr="00927406">
        <w:t xml:space="preserve">The existence of concurrent liability in tort and contract may be ‘untidy’ but it is not objectionable because tortious duty is imposed by law and contractual duty by the will (express of implied) of the parties: </w:t>
      </w:r>
    </w:p>
    <w:p w14:paraId="51C4095F" w14:textId="77777777" w:rsidR="00F508B8" w:rsidRPr="00844639" w:rsidRDefault="00BE33F8" w:rsidP="00B21502">
      <w:pPr>
        <w:pStyle w:val="NoSpacing"/>
        <w:numPr>
          <w:ilvl w:val="2"/>
          <w:numId w:val="35"/>
        </w:numPr>
      </w:pPr>
      <w:r w:rsidRPr="00844639">
        <w:rPr>
          <w:i/>
        </w:rPr>
        <w:t xml:space="preserve">Henderson v Merrett Syndicates Ltd (HofL) </w:t>
      </w:r>
    </w:p>
    <w:p w14:paraId="565CA6A2" w14:textId="530A6B52" w:rsidR="00BE33F8" w:rsidRPr="00844639" w:rsidRDefault="00BE33F8" w:rsidP="00B21502">
      <w:pPr>
        <w:pStyle w:val="NoSpacing"/>
        <w:numPr>
          <w:ilvl w:val="2"/>
          <w:numId w:val="35"/>
        </w:numPr>
      </w:pPr>
      <w:r w:rsidRPr="00844639">
        <w:rPr>
          <w:i/>
        </w:rPr>
        <w:t xml:space="preserve">Astley &amp; Ors v Austrust (HCA) </w:t>
      </w:r>
    </w:p>
    <w:p w14:paraId="25F7CAB9" w14:textId="77777777" w:rsidR="00FD5567" w:rsidRDefault="00FD5567" w:rsidP="00FD5567">
      <w:pPr>
        <w:pStyle w:val="NoSpacing"/>
      </w:pPr>
    </w:p>
    <w:p w14:paraId="3B718A91" w14:textId="321BDC2E" w:rsidR="00BE33F8" w:rsidRDefault="005D6966" w:rsidP="00B21502">
      <w:pPr>
        <w:pStyle w:val="NoSpacing"/>
        <w:numPr>
          <w:ilvl w:val="0"/>
          <w:numId w:val="35"/>
        </w:numPr>
      </w:pPr>
      <w:r w:rsidRPr="005D6966">
        <w:rPr>
          <w:i/>
        </w:rPr>
        <w:t>Retainer</w:t>
      </w:r>
      <w:r>
        <w:t xml:space="preserve"> – Whoever is listed in the retainer agreement is a party to the contract with the client and is therefore relevantly liable.</w:t>
      </w:r>
    </w:p>
    <w:p w14:paraId="71DAA035" w14:textId="77777777" w:rsidR="005D6966" w:rsidRPr="00BE33F8" w:rsidRDefault="005D6966" w:rsidP="005D6966">
      <w:pPr>
        <w:pStyle w:val="NoSpacing"/>
        <w:ind w:left="720"/>
      </w:pPr>
    </w:p>
    <w:p w14:paraId="0DDD9DDE" w14:textId="09386F4D" w:rsidR="00BE33F8" w:rsidRPr="005D6966" w:rsidRDefault="00FD5567" w:rsidP="00B21502">
      <w:pPr>
        <w:pStyle w:val="NoSpacing"/>
        <w:numPr>
          <w:ilvl w:val="1"/>
          <w:numId w:val="36"/>
        </w:numPr>
        <w:rPr>
          <w:lang w:val="en-US"/>
        </w:rPr>
      </w:pPr>
      <w:r>
        <w:rPr>
          <w:i/>
        </w:rPr>
        <w:t xml:space="preserve">Vicarious Liability – </w:t>
      </w:r>
      <w:r w:rsidR="00BE33F8" w:rsidRPr="00BE33F8">
        <w:t>Solicitors are vicariously liable in tort for negligent work done for a client by an employee in the course of employment.</w:t>
      </w:r>
    </w:p>
    <w:p w14:paraId="6B4106BD" w14:textId="77777777" w:rsidR="005D6966" w:rsidRPr="005D6966" w:rsidRDefault="005D6966" w:rsidP="005D6966">
      <w:pPr>
        <w:pStyle w:val="NoSpacing"/>
        <w:ind w:left="1440"/>
      </w:pPr>
    </w:p>
    <w:p w14:paraId="3D693241" w14:textId="77777777" w:rsidR="00505A91" w:rsidRDefault="00484EC0" w:rsidP="00B21502">
      <w:pPr>
        <w:pStyle w:val="NoSpacing"/>
        <w:numPr>
          <w:ilvl w:val="1"/>
          <w:numId w:val="36"/>
        </w:numPr>
      </w:pPr>
      <w:r>
        <w:rPr>
          <w:i/>
        </w:rPr>
        <w:t xml:space="preserve">Joint Tortfeasors – </w:t>
      </w:r>
      <w:r w:rsidR="00BE33F8" w:rsidRPr="00BE33F8">
        <w:t>Solicitors remain liable, jointly and severally with other involved professionals (eg accountants) for any loss occasioned by bad advice</w:t>
      </w:r>
    </w:p>
    <w:p w14:paraId="07B9C188" w14:textId="77777777" w:rsidR="00505A91" w:rsidRDefault="00505A91" w:rsidP="00505A91">
      <w:pPr>
        <w:pStyle w:val="ListParagraph"/>
        <w:rPr>
          <w:b/>
          <w:u w:val="single"/>
        </w:rPr>
      </w:pPr>
    </w:p>
    <w:p w14:paraId="71726761" w14:textId="77777777" w:rsidR="00505A91" w:rsidRPr="007F06FD" w:rsidRDefault="00BE33F8" w:rsidP="00B21502">
      <w:pPr>
        <w:pStyle w:val="NoSpacing"/>
        <w:numPr>
          <w:ilvl w:val="0"/>
          <w:numId w:val="35"/>
        </w:numPr>
      </w:pPr>
      <w:r w:rsidRPr="007F06FD">
        <w:rPr>
          <w:rFonts w:cs="Times New Roman"/>
          <w:i/>
          <w:szCs w:val="24"/>
        </w:rPr>
        <w:t>Appointing counsel</w:t>
      </w:r>
      <w:r w:rsidRPr="007F06FD">
        <w:rPr>
          <w:rFonts w:cs="Times New Roman"/>
          <w:szCs w:val="24"/>
        </w:rPr>
        <w:t>:</w:t>
      </w:r>
    </w:p>
    <w:p w14:paraId="4CAD726B" w14:textId="77777777" w:rsidR="00844639" w:rsidRPr="00844639" w:rsidRDefault="00844639" w:rsidP="00844639">
      <w:pPr>
        <w:pStyle w:val="NoSpacing"/>
        <w:ind w:left="1440"/>
      </w:pPr>
    </w:p>
    <w:p w14:paraId="78E69D94" w14:textId="3C196578" w:rsidR="00505A91" w:rsidRDefault="00B73D14" w:rsidP="00B21502">
      <w:pPr>
        <w:pStyle w:val="NoSpacing"/>
        <w:numPr>
          <w:ilvl w:val="0"/>
          <w:numId w:val="37"/>
        </w:numPr>
      </w:pPr>
      <w:r>
        <w:rPr>
          <w:i/>
        </w:rPr>
        <w:t xml:space="preserve">Duty of Care when appoint Counsel – </w:t>
      </w:r>
      <w:r w:rsidR="00BE33F8" w:rsidRPr="00505A91">
        <w:t>A solicitor’s duty of care does not end when appointing a counsel in the case.</w:t>
      </w:r>
    </w:p>
    <w:p w14:paraId="2D6CE53C" w14:textId="77777777" w:rsidR="007F06FD" w:rsidRPr="007F06FD" w:rsidRDefault="007F06FD" w:rsidP="007F06FD">
      <w:pPr>
        <w:pStyle w:val="NoSpacing"/>
        <w:ind w:left="1440"/>
      </w:pPr>
    </w:p>
    <w:p w14:paraId="350B5D1F" w14:textId="77777777" w:rsidR="00844639" w:rsidRDefault="00317943" w:rsidP="00B21502">
      <w:pPr>
        <w:pStyle w:val="NoSpacing"/>
        <w:numPr>
          <w:ilvl w:val="0"/>
          <w:numId w:val="37"/>
        </w:numPr>
      </w:pPr>
      <w:r w:rsidRPr="000B60F7">
        <w:rPr>
          <w:i/>
        </w:rPr>
        <w:t xml:space="preserve">Solictor cannot blindly follow </w:t>
      </w:r>
      <w:r w:rsidR="00E539B7">
        <w:rPr>
          <w:i/>
        </w:rPr>
        <w:t>counsel</w:t>
      </w:r>
      <w:r>
        <w:t xml:space="preserve"> – </w:t>
      </w:r>
      <w:r w:rsidR="00BE33F8" w:rsidRPr="00505A91">
        <w:t xml:space="preserve">A solicitor lacking specialist expertise in a field is entitled to rely more heavily on counsel’s advice, </w:t>
      </w:r>
      <w:r w:rsidR="00BE33F8" w:rsidRPr="00844639">
        <w:rPr>
          <w:u w:val="single"/>
        </w:rPr>
        <w:t>but cannot blindly follow the advice</w:t>
      </w:r>
      <w:r w:rsidR="00BE33F8" w:rsidRPr="00505A91">
        <w:t xml:space="preserve">.  </w:t>
      </w:r>
    </w:p>
    <w:p w14:paraId="10003778" w14:textId="77777777" w:rsidR="00844639" w:rsidRDefault="00844639" w:rsidP="00844639">
      <w:pPr>
        <w:pStyle w:val="ListParagraph"/>
      </w:pPr>
    </w:p>
    <w:p w14:paraId="503E8DD4" w14:textId="1CF55063" w:rsidR="00505A91" w:rsidRDefault="00842637" w:rsidP="00B21502">
      <w:pPr>
        <w:pStyle w:val="NoSpacing"/>
        <w:numPr>
          <w:ilvl w:val="2"/>
          <w:numId w:val="36"/>
        </w:numPr>
      </w:pPr>
      <w:r>
        <w:rPr>
          <w:i/>
        </w:rPr>
        <w:t xml:space="preserve">Turn their mind to the case – </w:t>
      </w:r>
      <w:r w:rsidR="00BE33F8" w:rsidRPr="00505A91">
        <w:t>The solicitor must still turn her or his mind to the issue under consideration and</w:t>
      </w:r>
      <w:r w:rsidR="00AF5239">
        <w:t xml:space="preserve"> exercise independent judgment – </w:t>
      </w:r>
      <w:r w:rsidR="00BE33F8" w:rsidRPr="00FF649B">
        <w:rPr>
          <w:i/>
        </w:rPr>
        <w:t>Yates Property Corporation (in liq) and Anor v Boland</w:t>
      </w:r>
    </w:p>
    <w:p w14:paraId="291674DD" w14:textId="77777777" w:rsidR="007F06FD" w:rsidRDefault="007F06FD" w:rsidP="007F06FD">
      <w:pPr>
        <w:pStyle w:val="NoSpacing"/>
        <w:ind w:left="1440"/>
      </w:pPr>
    </w:p>
    <w:p w14:paraId="726A1ADD" w14:textId="45EDD1EF" w:rsidR="00505A91" w:rsidRDefault="00816954" w:rsidP="00B21502">
      <w:pPr>
        <w:pStyle w:val="NoSpacing"/>
        <w:numPr>
          <w:ilvl w:val="0"/>
          <w:numId w:val="37"/>
        </w:numPr>
      </w:pPr>
      <w:r>
        <w:rPr>
          <w:i/>
        </w:rPr>
        <w:t xml:space="preserve">Standard is raised for Expert Solicitors – </w:t>
      </w:r>
      <w:r w:rsidR="00BE33F8" w:rsidRPr="00505A91">
        <w:t>Solicitors with expertise in the area of law concerned cannot rely on counsel to the same extent as solicitors lacking that expertise</w:t>
      </w:r>
      <w:r w:rsidR="009366A8">
        <w:t xml:space="preserve"> –</w:t>
      </w:r>
      <w:r w:rsidR="00BE33F8" w:rsidRPr="00505A91">
        <w:t xml:space="preserve"> </w:t>
      </w:r>
      <w:r w:rsidR="009366A8" w:rsidRPr="00FF649B">
        <w:rPr>
          <w:i/>
        </w:rPr>
        <w:t>Yates Property Corporation (in liq) and Anor v Boland</w:t>
      </w:r>
    </w:p>
    <w:p w14:paraId="39C3D6DB" w14:textId="77777777" w:rsidR="007F06FD" w:rsidRDefault="007F06FD" w:rsidP="007F06FD">
      <w:pPr>
        <w:pStyle w:val="NoSpacing"/>
        <w:ind w:left="1440"/>
      </w:pPr>
    </w:p>
    <w:p w14:paraId="2C51CB3A" w14:textId="195693C4" w:rsidR="00505A91" w:rsidRDefault="00B41D8A" w:rsidP="00B21502">
      <w:pPr>
        <w:pStyle w:val="NoSpacing"/>
        <w:numPr>
          <w:ilvl w:val="0"/>
          <w:numId w:val="37"/>
        </w:numPr>
      </w:pPr>
      <w:r>
        <w:rPr>
          <w:i/>
        </w:rPr>
        <w:t xml:space="preserve">Solicitors can be joint tortfeasors of barristers – </w:t>
      </w:r>
      <w:r w:rsidR="00BE33F8" w:rsidRPr="00505A91">
        <w:t>If barrister makes error soli</w:t>
      </w:r>
      <w:r w:rsidR="007E3941">
        <w:t xml:space="preserve">citor does not loose liability – </w:t>
      </w:r>
      <w:r w:rsidR="007E3941" w:rsidRPr="007E3941">
        <w:rPr>
          <w:i/>
        </w:rPr>
        <w:t>Yates Property Corporation (in liq) and Anor v Boland</w:t>
      </w:r>
    </w:p>
    <w:p w14:paraId="45A2E99E" w14:textId="77777777" w:rsidR="007F06FD" w:rsidRDefault="007F06FD" w:rsidP="00FF649B">
      <w:pPr>
        <w:pStyle w:val="NoSpacing"/>
      </w:pPr>
    </w:p>
    <w:p w14:paraId="3865414C" w14:textId="77777777" w:rsidR="00A16292" w:rsidRDefault="00A16292" w:rsidP="00FF649B">
      <w:pPr>
        <w:pStyle w:val="NoSpacing"/>
      </w:pPr>
    </w:p>
    <w:p w14:paraId="1F86DB5A" w14:textId="77777777" w:rsidR="00A16292" w:rsidRDefault="00A16292" w:rsidP="00FF649B">
      <w:pPr>
        <w:pStyle w:val="NoSpacing"/>
      </w:pPr>
    </w:p>
    <w:p w14:paraId="1399BDE6" w14:textId="77777777" w:rsidR="00A16292" w:rsidRDefault="00A16292" w:rsidP="00FF649B">
      <w:pPr>
        <w:pStyle w:val="NoSpacing"/>
      </w:pPr>
    </w:p>
    <w:p w14:paraId="0C16EEDC" w14:textId="77777777" w:rsidR="00A16292" w:rsidRDefault="00A16292" w:rsidP="00FF649B">
      <w:pPr>
        <w:pStyle w:val="NoSpacing"/>
      </w:pPr>
    </w:p>
    <w:p w14:paraId="66D61A47" w14:textId="77777777" w:rsidR="00A16292" w:rsidRDefault="00A16292" w:rsidP="00FF649B">
      <w:pPr>
        <w:pStyle w:val="NoSpacing"/>
      </w:pPr>
    </w:p>
    <w:p w14:paraId="5AC4422D" w14:textId="77777777" w:rsidR="00F80BC9" w:rsidRDefault="00F80BC9" w:rsidP="00F80BC9">
      <w:pPr>
        <w:keepNext/>
        <w:tabs>
          <w:tab w:val="left" w:pos="1260"/>
        </w:tabs>
        <w:rPr>
          <w:b/>
          <w:i/>
          <w:lang w:val="en-AU"/>
        </w:rPr>
      </w:pPr>
      <w:r>
        <w:rPr>
          <w:b/>
          <w:i/>
          <w:lang w:val="en-AU"/>
        </w:rPr>
        <w:lastRenderedPageBreak/>
        <w:t>Differences between Tort and Contract</w:t>
      </w:r>
    </w:p>
    <w:p w14:paraId="362B9C3A" w14:textId="77777777" w:rsidR="00F80BC9" w:rsidRPr="007F6409" w:rsidRDefault="00F80BC9" w:rsidP="00F80BC9">
      <w:pPr>
        <w:keepNext/>
        <w:tabs>
          <w:tab w:val="left" w:pos="1260"/>
        </w:tabs>
        <w:rPr>
          <w:b/>
          <w:i/>
          <w:lang w:val="en-AU"/>
        </w:rPr>
      </w:pPr>
    </w:p>
    <w:p w14:paraId="56F27379" w14:textId="77777777" w:rsidR="00063701" w:rsidRPr="00063701" w:rsidRDefault="001E2A91" w:rsidP="00B21502">
      <w:pPr>
        <w:pStyle w:val="ListParagraph"/>
        <w:numPr>
          <w:ilvl w:val="0"/>
          <w:numId w:val="39"/>
        </w:numPr>
        <w:rPr>
          <w:lang w:val="en-AU"/>
        </w:rPr>
      </w:pPr>
      <w:r>
        <w:rPr>
          <w:i/>
          <w:lang w:val="en-AU"/>
        </w:rPr>
        <w:t xml:space="preserve">Limitation Period – </w:t>
      </w:r>
    </w:p>
    <w:p w14:paraId="42153BC8" w14:textId="569601E9" w:rsidR="00F80BC9" w:rsidRDefault="00F80BC9" w:rsidP="00B21502">
      <w:pPr>
        <w:pStyle w:val="ListParagraph"/>
        <w:numPr>
          <w:ilvl w:val="1"/>
          <w:numId w:val="39"/>
        </w:numPr>
        <w:rPr>
          <w:lang w:val="en-AU"/>
        </w:rPr>
      </w:pPr>
      <w:r w:rsidRPr="00BB0BCB">
        <w:rPr>
          <w:i/>
        </w:rPr>
        <w:t>T</w:t>
      </w:r>
      <w:r w:rsidRPr="00BB0BCB">
        <w:rPr>
          <w:i/>
          <w:lang w:val="en-AU"/>
        </w:rPr>
        <w:t>ort</w:t>
      </w:r>
      <w:r w:rsidR="00063701">
        <w:rPr>
          <w:lang w:val="en-AU"/>
        </w:rPr>
        <w:t xml:space="preserve"> –</w:t>
      </w:r>
      <w:r w:rsidRPr="00F80BC9">
        <w:rPr>
          <w:lang w:val="en-AU"/>
        </w:rPr>
        <w:t xml:space="preserve"> the </w:t>
      </w:r>
      <w:r w:rsidRPr="00F80BC9">
        <w:t xml:space="preserve">6 yr </w:t>
      </w:r>
      <w:r w:rsidRPr="00F80BC9">
        <w:rPr>
          <w:lang w:val="en-AU"/>
        </w:rPr>
        <w:t xml:space="preserve">limitation period does not commence until the </w:t>
      </w:r>
      <w:r w:rsidRPr="00F80BC9">
        <w:rPr>
          <w:u w:val="single"/>
          <w:lang w:val="en-AU"/>
        </w:rPr>
        <w:t>plaintiff first becomes aware of the damage</w:t>
      </w:r>
      <w:r w:rsidRPr="00F80BC9">
        <w:t xml:space="preserve"> (the date of ‘discoverability’)</w:t>
      </w:r>
      <w:r w:rsidRPr="00F80BC9">
        <w:rPr>
          <w:lang w:val="en-AU"/>
        </w:rPr>
        <w:t xml:space="preserve">.  </w:t>
      </w:r>
    </w:p>
    <w:p w14:paraId="6C887DE2" w14:textId="77777777" w:rsidR="0066557A" w:rsidRPr="0066557A" w:rsidRDefault="0066557A" w:rsidP="0066557A">
      <w:pPr>
        <w:pStyle w:val="ListParagraph"/>
        <w:ind w:left="1440"/>
        <w:rPr>
          <w:lang w:val="en-AU"/>
        </w:rPr>
      </w:pPr>
    </w:p>
    <w:p w14:paraId="17FA41C3" w14:textId="77777777" w:rsidR="006069C4" w:rsidRDefault="001370A0" w:rsidP="00B21502">
      <w:pPr>
        <w:pStyle w:val="ListParagraph"/>
        <w:numPr>
          <w:ilvl w:val="1"/>
          <w:numId w:val="39"/>
        </w:numPr>
        <w:rPr>
          <w:lang w:val="en-AU"/>
        </w:rPr>
      </w:pPr>
      <w:r w:rsidRPr="004F6F11">
        <w:rPr>
          <w:i/>
          <w:lang w:val="en-AU"/>
        </w:rPr>
        <w:t>Contract</w:t>
      </w:r>
      <w:r>
        <w:rPr>
          <w:lang w:val="en-AU"/>
        </w:rPr>
        <w:t xml:space="preserve"> – </w:t>
      </w:r>
      <w:r w:rsidR="00C9584D">
        <w:rPr>
          <w:lang w:val="en-AU"/>
        </w:rPr>
        <w:t>the</w:t>
      </w:r>
      <w:r>
        <w:rPr>
          <w:lang w:val="en-AU"/>
        </w:rPr>
        <w:t xml:space="preserve"> </w:t>
      </w:r>
      <w:r w:rsidR="00F80BC9" w:rsidRPr="00F80BC9">
        <w:rPr>
          <w:lang w:val="en-AU"/>
        </w:rPr>
        <w:t xml:space="preserve">time runs from </w:t>
      </w:r>
      <w:r w:rsidR="00F80BC9" w:rsidRPr="00F80BC9">
        <w:rPr>
          <w:u w:val="single"/>
          <w:lang w:val="en-AU"/>
        </w:rPr>
        <w:t>the date of breach</w:t>
      </w:r>
      <w:r w:rsidR="00F80BC9" w:rsidRPr="00F80BC9">
        <w:rPr>
          <w:lang w:val="en-AU"/>
        </w:rPr>
        <w:t xml:space="preserve"> (date of damage)</w:t>
      </w:r>
    </w:p>
    <w:p w14:paraId="69513C70" w14:textId="77777777" w:rsidR="0066557A" w:rsidRPr="0066557A" w:rsidRDefault="0066557A" w:rsidP="0066557A">
      <w:pPr>
        <w:pStyle w:val="ListParagraph"/>
        <w:ind w:left="1440"/>
        <w:rPr>
          <w:lang w:val="en-AU"/>
        </w:rPr>
      </w:pPr>
    </w:p>
    <w:p w14:paraId="66BE91B5" w14:textId="33DC4DFC" w:rsidR="00F80BC9" w:rsidRPr="006069C4" w:rsidRDefault="006069C4" w:rsidP="00B21502">
      <w:pPr>
        <w:pStyle w:val="ListParagraph"/>
        <w:numPr>
          <w:ilvl w:val="1"/>
          <w:numId w:val="39"/>
        </w:numPr>
        <w:rPr>
          <w:lang w:val="en-AU"/>
        </w:rPr>
      </w:pPr>
      <w:r w:rsidRPr="0066557A">
        <w:rPr>
          <w:b/>
          <w:i/>
          <w:lang w:val="en-AU"/>
        </w:rPr>
        <w:t>Effect</w:t>
      </w:r>
      <w:r w:rsidRPr="0066557A">
        <w:rPr>
          <w:b/>
        </w:rPr>
        <w:t>?</w:t>
      </w:r>
      <w:r>
        <w:t xml:space="preserve"> – A</w:t>
      </w:r>
      <w:r w:rsidR="00F80BC9" w:rsidRPr="00F80BC9">
        <w:t xml:space="preserve"> disgruntled client could have more time to act if they can rely on a duty of care and not just the contract (of retainer)</w:t>
      </w:r>
    </w:p>
    <w:p w14:paraId="31C365F5" w14:textId="77777777" w:rsidR="00FB5BB6" w:rsidRDefault="00FB5BB6" w:rsidP="00FB5BB6">
      <w:pPr>
        <w:pStyle w:val="NoSpacing"/>
        <w:ind w:left="720"/>
      </w:pPr>
    </w:p>
    <w:p w14:paraId="37E8B355" w14:textId="0EEBFD13" w:rsidR="00F80BC9" w:rsidRPr="00F80BC9" w:rsidRDefault="00BA5FEA" w:rsidP="00B21502">
      <w:pPr>
        <w:pStyle w:val="NoSpacing"/>
        <w:numPr>
          <w:ilvl w:val="0"/>
          <w:numId w:val="39"/>
        </w:numPr>
      </w:pPr>
      <w:r>
        <w:t xml:space="preserve">Examples </w:t>
      </w:r>
      <w:r>
        <w:rPr>
          <w:i/>
        </w:rPr>
        <w:t>– Will Drafting</w:t>
      </w:r>
    </w:p>
    <w:p w14:paraId="753490E7" w14:textId="77777777" w:rsidR="00F80BC9" w:rsidRPr="00F80BC9" w:rsidRDefault="00F80BC9" w:rsidP="00B21502">
      <w:pPr>
        <w:pStyle w:val="NoSpacing"/>
        <w:numPr>
          <w:ilvl w:val="1"/>
          <w:numId w:val="39"/>
        </w:numPr>
      </w:pPr>
      <w:r w:rsidRPr="00F80BC9">
        <w:t xml:space="preserve">When a Will is badly drafted and a beneficiary misses out, they have 6 years (under the statute of limitations) from the date of signing the Will to sue in </w:t>
      </w:r>
      <w:r w:rsidRPr="00F80BC9">
        <w:rPr>
          <w:u w:val="single"/>
        </w:rPr>
        <w:t>contract</w:t>
      </w:r>
    </w:p>
    <w:p w14:paraId="7CA7E3A0" w14:textId="79F93371" w:rsidR="00F80BC9" w:rsidRPr="00F80BC9" w:rsidRDefault="00FB5BB6" w:rsidP="00B21502">
      <w:pPr>
        <w:pStyle w:val="NoSpacing"/>
        <w:numPr>
          <w:ilvl w:val="2"/>
          <w:numId w:val="39"/>
        </w:numPr>
      </w:pPr>
      <w:r w:rsidRPr="00FB5BB6">
        <w:rPr>
          <w:u w:val="single"/>
        </w:rPr>
        <w:t>However</w:t>
      </w:r>
      <w:r w:rsidR="00F80BC9" w:rsidRPr="00F80BC9">
        <w:t xml:space="preserve"> </w:t>
      </w:r>
      <w:r w:rsidR="00F80BC9" w:rsidRPr="00F36D45">
        <w:rPr>
          <w:b/>
        </w:rPr>
        <w:t xml:space="preserve">there is more time in </w:t>
      </w:r>
      <w:r w:rsidR="00F80BC9" w:rsidRPr="00F36D45">
        <w:rPr>
          <w:b/>
          <w:u w:val="single"/>
        </w:rPr>
        <w:t>tort</w:t>
      </w:r>
      <w:r w:rsidR="00F80BC9" w:rsidRPr="00F80BC9">
        <w:t>, where the limitation period only runs from the date of death, because that is the date on which the damage ‘occurs’.</w:t>
      </w:r>
    </w:p>
    <w:p w14:paraId="46E42448" w14:textId="77777777" w:rsidR="00F36D45" w:rsidRDefault="00F36D45" w:rsidP="00F36D45">
      <w:pPr>
        <w:pStyle w:val="NoSpacing"/>
        <w:ind w:left="1440"/>
      </w:pPr>
    </w:p>
    <w:p w14:paraId="4FD47F1D" w14:textId="69C536D3" w:rsidR="00F80BC9" w:rsidRPr="00F80BC9" w:rsidRDefault="00C01C55" w:rsidP="00B21502">
      <w:pPr>
        <w:pStyle w:val="NoSpacing"/>
        <w:numPr>
          <w:ilvl w:val="1"/>
          <w:numId w:val="39"/>
        </w:numPr>
      </w:pPr>
      <w:r>
        <w:rPr>
          <w:i/>
        </w:rPr>
        <w:t xml:space="preserve">Damage </w:t>
      </w:r>
      <w:r w:rsidR="00894FA0">
        <w:rPr>
          <w:i/>
        </w:rPr>
        <w:t xml:space="preserve">required </w:t>
      </w:r>
      <w:r>
        <w:rPr>
          <w:i/>
        </w:rPr>
        <w:t xml:space="preserve">– </w:t>
      </w:r>
      <w:r w:rsidR="00F80BC9" w:rsidRPr="00F80BC9">
        <w:t xml:space="preserve">An action in </w:t>
      </w:r>
      <w:r w:rsidR="00F80BC9" w:rsidRPr="00F80BC9">
        <w:rPr>
          <w:u w:val="single"/>
        </w:rPr>
        <w:t>contract</w:t>
      </w:r>
      <w:r w:rsidR="00F80BC9" w:rsidRPr="00F80BC9">
        <w:t xml:space="preserve"> lies in respect of the breach </w:t>
      </w:r>
      <w:r w:rsidR="00F80BC9" w:rsidRPr="00F80BC9">
        <w:rPr>
          <w:i/>
          <w:iCs/>
        </w:rPr>
        <w:t>per se</w:t>
      </w:r>
      <w:r w:rsidR="00F80BC9" w:rsidRPr="00F80BC9">
        <w:t xml:space="preserve">, whereas </w:t>
      </w:r>
      <w:r w:rsidR="00F80BC9" w:rsidRPr="00F80BC9">
        <w:rPr>
          <w:u w:val="single"/>
        </w:rPr>
        <w:t>tortious</w:t>
      </w:r>
      <w:r w:rsidR="00F80BC9" w:rsidRPr="00F80BC9">
        <w:t xml:space="preserve"> liability does not arise in the absence of damage</w:t>
      </w:r>
    </w:p>
    <w:p w14:paraId="252F0FD2" w14:textId="77777777" w:rsidR="00D902BC" w:rsidRDefault="00D902BC" w:rsidP="00D902BC">
      <w:pPr>
        <w:pStyle w:val="NoSpacing"/>
        <w:ind w:left="1440"/>
      </w:pPr>
    </w:p>
    <w:p w14:paraId="261D5D78" w14:textId="3D26FC6F" w:rsidR="00F80BC9" w:rsidRPr="00F80BC9" w:rsidRDefault="00D902BC" w:rsidP="00B21502">
      <w:pPr>
        <w:pStyle w:val="NoSpacing"/>
        <w:numPr>
          <w:ilvl w:val="1"/>
          <w:numId w:val="39"/>
        </w:numPr>
      </w:pPr>
      <w:r>
        <w:rPr>
          <w:i/>
        </w:rPr>
        <w:t xml:space="preserve">Different Damage Assessment – </w:t>
      </w:r>
      <w:r w:rsidR="00F80BC9" w:rsidRPr="00F80BC9">
        <w:t>Damages are often assessed on a different basis and damages in tort may include exemplary and punitive damages</w:t>
      </w:r>
    </w:p>
    <w:p w14:paraId="44F17AEE" w14:textId="77777777" w:rsidR="007F06FD" w:rsidRDefault="007F06FD" w:rsidP="00FF649B">
      <w:pPr>
        <w:pStyle w:val="NoSpacing"/>
      </w:pPr>
    </w:p>
    <w:p w14:paraId="74A1C3FD" w14:textId="77777777" w:rsidR="001370A0" w:rsidRDefault="001370A0" w:rsidP="00FF649B">
      <w:pPr>
        <w:pStyle w:val="NoSpacing"/>
      </w:pPr>
    </w:p>
    <w:p w14:paraId="0C78E85E" w14:textId="77777777" w:rsidR="00C663E7" w:rsidRPr="00665B78" w:rsidRDefault="00C663E7" w:rsidP="00C663E7">
      <w:pPr>
        <w:rPr>
          <w:i/>
          <w:lang w:val="en-AU"/>
        </w:rPr>
      </w:pPr>
      <w:r w:rsidRPr="00665B78">
        <w:rPr>
          <w:b/>
          <w:i/>
          <w:lang w:val="en-AU"/>
        </w:rPr>
        <w:t>Contributory negligence</w:t>
      </w:r>
    </w:p>
    <w:p w14:paraId="15772782" w14:textId="1C77BADA" w:rsidR="00C663E7" w:rsidRPr="00BE33F8" w:rsidRDefault="00FA69BB" w:rsidP="00B21502">
      <w:pPr>
        <w:pStyle w:val="ListParagraph"/>
        <w:numPr>
          <w:ilvl w:val="0"/>
          <w:numId w:val="41"/>
        </w:numPr>
      </w:pPr>
      <w:r w:rsidRPr="002D660D">
        <w:rPr>
          <w:i/>
        </w:rPr>
        <w:t>Tort –</w:t>
      </w:r>
      <w:r w:rsidR="00C663E7" w:rsidRPr="00BE33F8">
        <w:t xml:space="preserve"> Contributory negligence by a client may result in an apportionment of damages in tortuous claim</w:t>
      </w:r>
    </w:p>
    <w:p w14:paraId="07012649" w14:textId="77777777" w:rsidR="006435F0" w:rsidRPr="006435F0" w:rsidRDefault="006435F0" w:rsidP="006435F0">
      <w:pPr>
        <w:pStyle w:val="ListParagraph"/>
      </w:pPr>
    </w:p>
    <w:p w14:paraId="17335309" w14:textId="477564EA" w:rsidR="00C663E7" w:rsidRPr="00BE33F8" w:rsidRDefault="006435F0" w:rsidP="00B21502">
      <w:pPr>
        <w:pStyle w:val="ListParagraph"/>
        <w:numPr>
          <w:ilvl w:val="0"/>
          <w:numId w:val="41"/>
        </w:numPr>
      </w:pPr>
      <w:r w:rsidRPr="006435F0">
        <w:rPr>
          <w:i/>
        </w:rPr>
        <w:t xml:space="preserve">Contract – </w:t>
      </w:r>
      <w:r w:rsidR="00C663E7" w:rsidRPr="00BE33F8">
        <w:t>However, apportionment does not apply to contractual claims and client is entitled to recover the whole of the damage suffered: Astley and Ors v Austrust</w:t>
      </w:r>
    </w:p>
    <w:p w14:paraId="7CE8A696" w14:textId="77777777" w:rsidR="001370A0" w:rsidRDefault="001370A0" w:rsidP="00FF649B">
      <w:pPr>
        <w:pStyle w:val="NoSpacing"/>
      </w:pPr>
    </w:p>
    <w:p w14:paraId="044BB511" w14:textId="77777777" w:rsidR="001370A0" w:rsidRDefault="001370A0" w:rsidP="00FF649B">
      <w:pPr>
        <w:pStyle w:val="NoSpacing"/>
      </w:pPr>
    </w:p>
    <w:p w14:paraId="676E084B" w14:textId="77777777" w:rsidR="001370A0" w:rsidRDefault="001370A0" w:rsidP="00FF649B">
      <w:pPr>
        <w:pStyle w:val="NoSpacing"/>
      </w:pPr>
    </w:p>
    <w:p w14:paraId="03410B27" w14:textId="77777777" w:rsidR="001370A0" w:rsidRDefault="001370A0" w:rsidP="00FF649B">
      <w:pPr>
        <w:pStyle w:val="NoSpacing"/>
      </w:pPr>
    </w:p>
    <w:p w14:paraId="71558BD7" w14:textId="77777777" w:rsidR="001370A0" w:rsidRDefault="001370A0" w:rsidP="00FF649B">
      <w:pPr>
        <w:pStyle w:val="NoSpacing"/>
      </w:pPr>
    </w:p>
    <w:p w14:paraId="79E2AB8B" w14:textId="77777777" w:rsidR="001370A0" w:rsidRDefault="001370A0" w:rsidP="00FF649B">
      <w:pPr>
        <w:pStyle w:val="NoSpacing"/>
      </w:pPr>
    </w:p>
    <w:p w14:paraId="07DBEE9B" w14:textId="77777777" w:rsidR="001370A0" w:rsidRDefault="001370A0" w:rsidP="00FF649B">
      <w:pPr>
        <w:pStyle w:val="NoSpacing"/>
      </w:pPr>
    </w:p>
    <w:p w14:paraId="1B5D7492" w14:textId="77777777" w:rsidR="001370A0" w:rsidRDefault="001370A0" w:rsidP="00FF649B">
      <w:pPr>
        <w:pStyle w:val="NoSpacing"/>
      </w:pPr>
    </w:p>
    <w:p w14:paraId="4B0418D7" w14:textId="77777777" w:rsidR="003D13DB" w:rsidRDefault="003D13DB" w:rsidP="00FF649B">
      <w:pPr>
        <w:pStyle w:val="NoSpacing"/>
      </w:pPr>
    </w:p>
    <w:p w14:paraId="6B4DCAB8" w14:textId="77777777" w:rsidR="001370A0" w:rsidRDefault="001370A0" w:rsidP="00FF649B">
      <w:pPr>
        <w:pStyle w:val="NoSpacing"/>
      </w:pPr>
    </w:p>
    <w:p w14:paraId="2266F233" w14:textId="77777777" w:rsidR="001370A0" w:rsidRDefault="001370A0" w:rsidP="00FF649B">
      <w:pPr>
        <w:pStyle w:val="NoSpacing"/>
      </w:pPr>
    </w:p>
    <w:p w14:paraId="62666405" w14:textId="77777777" w:rsidR="001370A0" w:rsidRDefault="001370A0" w:rsidP="00FF649B">
      <w:pPr>
        <w:pStyle w:val="NoSpacing"/>
      </w:pPr>
    </w:p>
    <w:p w14:paraId="0D17F753" w14:textId="77777777" w:rsidR="001370A0" w:rsidRDefault="001370A0" w:rsidP="00FF649B">
      <w:pPr>
        <w:pStyle w:val="NoSpacing"/>
      </w:pPr>
    </w:p>
    <w:p w14:paraId="6B77E705" w14:textId="77777777" w:rsidR="001370A0" w:rsidRDefault="001370A0" w:rsidP="00FF649B">
      <w:pPr>
        <w:pStyle w:val="NoSpacing"/>
      </w:pPr>
    </w:p>
    <w:p w14:paraId="71E689AC" w14:textId="77777777" w:rsidR="001370A0" w:rsidRDefault="001370A0" w:rsidP="00FF649B">
      <w:pPr>
        <w:pStyle w:val="NoSpacing"/>
      </w:pPr>
    </w:p>
    <w:p w14:paraId="343C8A0A" w14:textId="77777777" w:rsidR="001370A0" w:rsidRDefault="001370A0" w:rsidP="00FF649B">
      <w:pPr>
        <w:pStyle w:val="NoSpacing"/>
      </w:pPr>
    </w:p>
    <w:p w14:paraId="11887388" w14:textId="77777777" w:rsidR="001370A0" w:rsidRDefault="001370A0" w:rsidP="00FF649B">
      <w:pPr>
        <w:pStyle w:val="NoSpacing"/>
      </w:pPr>
    </w:p>
    <w:p w14:paraId="3AC4F057" w14:textId="77777777" w:rsidR="001370A0" w:rsidRDefault="001370A0" w:rsidP="00FF649B">
      <w:pPr>
        <w:pStyle w:val="NoSpacing"/>
      </w:pPr>
    </w:p>
    <w:p w14:paraId="3044FB78" w14:textId="77777777" w:rsidR="001370A0" w:rsidRDefault="001370A0" w:rsidP="00FF649B">
      <w:pPr>
        <w:pStyle w:val="NoSpacing"/>
      </w:pPr>
    </w:p>
    <w:p w14:paraId="616FF778" w14:textId="77777777" w:rsidR="001370A0" w:rsidRDefault="001370A0" w:rsidP="00FF649B">
      <w:pPr>
        <w:pStyle w:val="NoSpacing"/>
      </w:pPr>
    </w:p>
    <w:p w14:paraId="7A5D3735" w14:textId="60C74F58" w:rsidR="007F06FD" w:rsidRPr="00E43D98" w:rsidRDefault="00E43D98" w:rsidP="007F06FD">
      <w:pPr>
        <w:pStyle w:val="NoSpacing"/>
        <w:rPr>
          <w:b/>
          <w:i/>
        </w:rPr>
      </w:pPr>
      <w:r>
        <w:rPr>
          <w:b/>
          <w:i/>
        </w:rPr>
        <w:lastRenderedPageBreak/>
        <w:t xml:space="preserve">Tort </w:t>
      </w:r>
      <w:r w:rsidR="00FE43A6">
        <w:rPr>
          <w:b/>
          <w:i/>
        </w:rPr>
        <w:t>Liability</w:t>
      </w:r>
    </w:p>
    <w:p w14:paraId="651BF06D" w14:textId="77777777" w:rsidR="007F06FD" w:rsidRDefault="007F06FD" w:rsidP="007F06FD">
      <w:pPr>
        <w:pStyle w:val="NoSpacing"/>
        <w:rPr>
          <w:b/>
          <w:u w:val="single"/>
        </w:rPr>
      </w:pPr>
    </w:p>
    <w:p w14:paraId="5F3281F1" w14:textId="17472AED" w:rsidR="007F06FD" w:rsidRDefault="004A148C" w:rsidP="00B21502">
      <w:pPr>
        <w:pStyle w:val="NoSpacing"/>
        <w:numPr>
          <w:ilvl w:val="0"/>
          <w:numId w:val="38"/>
        </w:numPr>
        <w:rPr>
          <w:rFonts w:cs="Times New Roman"/>
          <w:szCs w:val="24"/>
        </w:rPr>
      </w:pPr>
      <w:r>
        <w:rPr>
          <w:rFonts w:cs="Times New Roman"/>
          <w:i/>
          <w:szCs w:val="24"/>
        </w:rPr>
        <w:t xml:space="preserve">Failure to maintain standard – </w:t>
      </w:r>
      <w:r w:rsidR="00BE33F8" w:rsidRPr="00BE33F8">
        <w:rPr>
          <w:rFonts w:cs="Times New Roman"/>
          <w:szCs w:val="24"/>
        </w:rPr>
        <w:t xml:space="preserve">Lawyers who fail to attain a standard of competence expected by law may be liable in tort </w:t>
      </w:r>
      <w:r w:rsidR="00052FA4">
        <w:rPr>
          <w:rFonts w:cs="Times New Roman"/>
          <w:szCs w:val="24"/>
        </w:rPr>
        <w:t>because</w:t>
      </w:r>
      <w:r w:rsidR="00BE33F8" w:rsidRPr="00BE33F8">
        <w:rPr>
          <w:rFonts w:cs="Times New Roman"/>
          <w:szCs w:val="24"/>
        </w:rPr>
        <w:t xml:space="preserve"> lawyers are assumed to owe a duty of care in tort. </w:t>
      </w:r>
    </w:p>
    <w:p w14:paraId="1FFDF462" w14:textId="77777777" w:rsidR="001F2407" w:rsidRDefault="001F2407" w:rsidP="001F2407">
      <w:pPr>
        <w:pStyle w:val="NoSpacing"/>
        <w:ind w:left="720"/>
        <w:rPr>
          <w:rFonts w:cs="Times New Roman"/>
          <w:szCs w:val="24"/>
        </w:rPr>
      </w:pPr>
    </w:p>
    <w:p w14:paraId="638DA35C" w14:textId="0D5967FF" w:rsidR="007F06FD" w:rsidRDefault="00801F30" w:rsidP="00B21502">
      <w:pPr>
        <w:pStyle w:val="NoSpacing"/>
        <w:numPr>
          <w:ilvl w:val="0"/>
          <w:numId w:val="38"/>
        </w:numPr>
        <w:rPr>
          <w:rFonts w:cs="Times New Roman"/>
          <w:szCs w:val="24"/>
        </w:rPr>
      </w:pPr>
      <w:r w:rsidRPr="00801F30">
        <w:rPr>
          <w:rFonts w:cs="Times New Roman"/>
          <w:i/>
          <w:szCs w:val="24"/>
        </w:rPr>
        <w:t>Retainer establishes duty –</w:t>
      </w:r>
      <w:r>
        <w:rPr>
          <w:rFonts w:cs="Times New Roman"/>
          <w:i/>
          <w:szCs w:val="24"/>
        </w:rPr>
        <w:t xml:space="preserve"> </w:t>
      </w:r>
      <w:r w:rsidR="00BE33F8" w:rsidRPr="00801F30">
        <w:rPr>
          <w:rFonts w:cs="Times New Roman"/>
          <w:szCs w:val="24"/>
        </w:rPr>
        <w:t>The retainer establishes the existence of the relationship that has given rise to the duty and its terms determines the scope of the lawyer’s tortious duty of care</w:t>
      </w:r>
    </w:p>
    <w:p w14:paraId="433F0921" w14:textId="77777777" w:rsidR="00132B4F" w:rsidRDefault="00132B4F" w:rsidP="00132B4F">
      <w:pPr>
        <w:pStyle w:val="ListParagraph"/>
      </w:pPr>
    </w:p>
    <w:p w14:paraId="541D383F" w14:textId="644CDB2F" w:rsidR="00BF25FB" w:rsidRDefault="00132B4F" w:rsidP="00B21502">
      <w:pPr>
        <w:pStyle w:val="NoSpacing"/>
        <w:numPr>
          <w:ilvl w:val="0"/>
          <w:numId w:val="38"/>
        </w:numPr>
        <w:rPr>
          <w:rFonts w:cs="Times New Roman"/>
          <w:szCs w:val="24"/>
        </w:rPr>
      </w:pPr>
      <w:r w:rsidRPr="00132B4F">
        <w:rPr>
          <w:rFonts w:cs="Times New Roman"/>
          <w:i/>
          <w:szCs w:val="24"/>
        </w:rPr>
        <w:t>Negligence Burden –</w:t>
      </w:r>
      <w:r>
        <w:rPr>
          <w:rFonts w:cs="Times New Roman"/>
          <w:i/>
          <w:szCs w:val="24"/>
        </w:rPr>
        <w:t xml:space="preserve"> </w:t>
      </w:r>
      <w:r w:rsidR="00BE33F8" w:rsidRPr="00132B4F">
        <w:rPr>
          <w:rFonts w:cs="Times New Roman"/>
          <w:szCs w:val="24"/>
        </w:rPr>
        <w:t xml:space="preserve">To </w:t>
      </w:r>
      <w:r w:rsidR="00BE33F8" w:rsidRPr="00A14765">
        <w:rPr>
          <w:rFonts w:cs="Times New Roman"/>
          <w:szCs w:val="24"/>
        </w:rPr>
        <w:t>show negligence</w:t>
      </w:r>
      <w:r w:rsidR="00086A09">
        <w:rPr>
          <w:rFonts w:cs="Times New Roman"/>
          <w:szCs w:val="24"/>
        </w:rPr>
        <w:t xml:space="preserve"> [</w:t>
      </w:r>
      <w:r w:rsidR="00086A09">
        <w:rPr>
          <w:rFonts w:cs="Times New Roman"/>
          <w:b/>
          <w:szCs w:val="24"/>
        </w:rPr>
        <w:t>see next page also</w:t>
      </w:r>
      <w:r w:rsidR="00086A09" w:rsidRPr="00CE67B2">
        <w:rPr>
          <w:rFonts w:cs="Times New Roman"/>
          <w:szCs w:val="24"/>
        </w:rPr>
        <w:t>]</w:t>
      </w:r>
      <w:r w:rsidR="00BE33F8" w:rsidRPr="00132B4F">
        <w:rPr>
          <w:rFonts w:cs="Times New Roman"/>
          <w:szCs w:val="24"/>
        </w:rPr>
        <w:tab/>
      </w:r>
    </w:p>
    <w:p w14:paraId="64F18AA9" w14:textId="7E8AD213" w:rsidR="00BF25FB" w:rsidRDefault="008A3D62" w:rsidP="00B21502">
      <w:pPr>
        <w:pStyle w:val="NoSpacing"/>
        <w:numPr>
          <w:ilvl w:val="1"/>
          <w:numId w:val="38"/>
        </w:numPr>
        <w:rPr>
          <w:rFonts w:cs="Times New Roman"/>
          <w:szCs w:val="24"/>
        </w:rPr>
      </w:pPr>
      <w:r w:rsidRPr="00B52207">
        <w:rPr>
          <w:rFonts w:cs="Times New Roman"/>
          <w:i/>
          <w:szCs w:val="24"/>
        </w:rPr>
        <w:t>D</w:t>
      </w:r>
      <w:r w:rsidR="00BE33F8" w:rsidRPr="00B52207">
        <w:rPr>
          <w:rFonts w:cs="Times New Roman"/>
          <w:i/>
          <w:szCs w:val="24"/>
        </w:rPr>
        <w:t>etermine the scope</w:t>
      </w:r>
      <w:r w:rsidR="00BE33F8" w:rsidRPr="008A3D62">
        <w:rPr>
          <w:rFonts w:cs="Times New Roman"/>
          <w:szCs w:val="24"/>
        </w:rPr>
        <w:t xml:space="preserve"> </w:t>
      </w:r>
      <w:r w:rsidR="00D45574">
        <w:rPr>
          <w:rFonts w:cs="Times New Roman"/>
          <w:szCs w:val="24"/>
        </w:rPr>
        <w:t xml:space="preserve">– Must ascertain the scope </w:t>
      </w:r>
      <w:r w:rsidR="00BE33F8" w:rsidRPr="008A3D62">
        <w:rPr>
          <w:rFonts w:cs="Times New Roman"/>
          <w:szCs w:val="24"/>
        </w:rPr>
        <w:t>of the duty of care</w:t>
      </w:r>
      <w:r w:rsidR="00BE33F8" w:rsidRPr="00132B4F">
        <w:rPr>
          <w:rFonts w:cs="Times New Roman"/>
          <w:szCs w:val="24"/>
        </w:rPr>
        <w:t xml:space="preserve"> as determined by the terms of the retainer (in tort it is not limited to scope of retainer)</w:t>
      </w:r>
    </w:p>
    <w:p w14:paraId="0A3F6436" w14:textId="511F4FB6" w:rsidR="00EA02FD" w:rsidRPr="00BE33F8" w:rsidRDefault="003F63BE" w:rsidP="00B21502">
      <w:pPr>
        <w:pStyle w:val="NoSpacing"/>
        <w:numPr>
          <w:ilvl w:val="2"/>
          <w:numId w:val="38"/>
        </w:numPr>
      </w:pPr>
      <w:r w:rsidRPr="00E74C77">
        <w:rPr>
          <w:i/>
          <w:iCs/>
        </w:rPr>
        <w:t>Hawkins v Clayton</w:t>
      </w:r>
      <w:r w:rsidRPr="00BE33F8">
        <w:t xml:space="preserve"> </w:t>
      </w:r>
      <w:r>
        <w:t xml:space="preserve">– </w:t>
      </w:r>
      <w:r w:rsidR="00AD266B" w:rsidRPr="00BE33F8">
        <w:t xml:space="preserve">The law of negligence has been broadened and the duty of care may require </w:t>
      </w:r>
      <w:r w:rsidR="00AD266B" w:rsidRPr="00BE33F8">
        <w:rPr>
          <w:u w:val="single"/>
        </w:rPr>
        <w:t>the taking of positive steps beyond the specifically agreed professional task or function</w:t>
      </w:r>
      <w:r w:rsidR="00AD266B" w:rsidRPr="00BE33F8">
        <w:t xml:space="preserve"> to avoid a real and foreseeable risk of economic loss being sustained by the client</w:t>
      </w:r>
      <w:r w:rsidR="00AD266B">
        <w:t xml:space="preserve">. </w:t>
      </w:r>
      <w:r w:rsidR="00EA02FD" w:rsidRPr="00BE33F8">
        <w:t>Also depends on proximity and what is reasonable.</w:t>
      </w:r>
    </w:p>
    <w:p w14:paraId="1822CDD7" w14:textId="77777777" w:rsidR="00EA02FD" w:rsidRPr="00EA02FD" w:rsidRDefault="00EA02FD" w:rsidP="00EA02FD">
      <w:pPr>
        <w:pStyle w:val="NoSpacing"/>
        <w:ind w:left="2160"/>
        <w:rPr>
          <w:rFonts w:cs="Times New Roman"/>
          <w:szCs w:val="24"/>
        </w:rPr>
      </w:pPr>
    </w:p>
    <w:p w14:paraId="2EAA279A" w14:textId="2970689C" w:rsidR="00BD20B2" w:rsidRDefault="00BD20B2" w:rsidP="00B21502">
      <w:pPr>
        <w:pStyle w:val="NoSpacing"/>
        <w:numPr>
          <w:ilvl w:val="2"/>
          <w:numId w:val="38"/>
        </w:numPr>
        <w:rPr>
          <w:rFonts w:cs="Times New Roman"/>
          <w:szCs w:val="24"/>
        </w:rPr>
      </w:pPr>
      <w:r>
        <w:rPr>
          <w:rFonts w:cs="Times New Roman"/>
          <w:i/>
          <w:szCs w:val="24"/>
        </w:rPr>
        <w:t>A less sophisticated client is deemed to have a wider retainer than a client who is extremely sophisticated and knowledgable</w:t>
      </w:r>
      <w:r w:rsidRPr="00BD20B2">
        <w:rPr>
          <w:rFonts w:cs="Times New Roman"/>
          <w:szCs w:val="24"/>
        </w:rPr>
        <w:t>.</w:t>
      </w:r>
      <w:r>
        <w:rPr>
          <w:rFonts w:cs="Times New Roman"/>
          <w:szCs w:val="24"/>
        </w:rPr>
        <w:t xml:space="preserve"> </w:t>
      </w:r>
    </w:p>
    <w:p w14:paraId="5869F120" w14:textId="3B6779CC" w:rsidR="00BD20B2" w:rsidRDefault="001D26E2" w:rsidP="00B21502">
      <w:pPr>
        <w:pStyle w:val="NoSpacing"/>
        <w:numPr>
          <w:ilvl w:val="3"/>
          <w:numId w:val="38"/>
        </w:numPr>
        <w:rPr>
          <w:rFonts w:cs="Times New Roman"/>
          <w:szCs w:val="24"/>
        </w:rPr>
      </w:pPr>
      <w:r>
        <w:rPr>
          <w:rFonts w:cs="Times New Roman"/>
          <w:i/>
          <w:szCs w:val="24"/>
        </w:rPr>
        <w:t xml:space="preserve">Sophisticated </w:t>
      </w:r>
      <w:r w:rsidR="00BD20B2">
        <w:rPr>
          <w:rFonts w:cs="Times New Roman"/>
          <w:i/>
          <w:szCs w:val="24"/>
        </w:rPr>
        <w:t xml:space="preserve">– </w:t>
      </w:r>
      <w:r w:rsidR="00D461FF">
        <w:rPr>
          <w:rFonts w:cs="Times New Roman"/>
          <w:szCs w:val="24"/>
        </w:rPr>
        <w:t>Able to protect their own interests, Court less inclined to adopt an expansive view of the scope of the lawyers duty of care.</w:t>
      </w:r>
    </w:p>
    <w:p w14:paraId="2162AC4B" w14:textId="10787902" w:rsidR="00D461FF" w:rsidRPr="001D26E2" w:rsidRDefault="00D461FF" w:rsidP="00B21502">
      <w:pPr>
        <w:pStyle w:val="NoSpacing"/>
        <w:numPr>
          <w:ilvl w:val="4"/>
          <w:numId w:val="38"/>
        </w:numPr>
        <w:rPr>
          <w:rFonts w:cs="Times New Roman"/>
          <w:szCs w:val="24"/>
        </w:rPr>
      </w:pPr>
      <w:r>
        <w:rPr>
          <w:rFonts w:cs="Times New Roman"/>
          <w:i/>
          <w:szCs w:val="24"/>
        </w:rPr>
        <w:t>Scottsdale Homes Pty Ltd v Gemkip Pty Ltd</w:t>
      </w:r>
    </w:p>
    <w:p w14:paraId="6F4AEF04" w14:textId="4DA90BB9" w:rsidR="001D26E2" w:rsidRDefault="00427056" w:rsidP="00B21502">
      <w:pPr>
        <w:pStyle w:val="NoSpacing"/>
        <w:numPr>
          <w:ilvl w:val="3"/>
          <w:numId w:val="38"/>
        </w:numPr>
        <w:rPr>
          <w:rFonts w:cs="Times New Roman"/>
          <w:szCs w:val="24"/>
        </w:rPr>
      </w:pPr>
      <w:r>
        <w:rPr>
          <w:rFonts w:cs="Times New Roman"/>
          <w:i/>
          <w:szCs w:val="24"/>
        </w:rPr>
        <w:t xml:space="preserve">Unsophisicated – </w:t>
      </w:r>
      <w:r w:rsidR="007317CF">
        <w:rPr>
          <w:rFonts w:cs="Times New Roman"/>
          <w:szCs w:val="24"/>
        </w:rPr>
        <w:t xml:space="preserve">Clients who are uneducated or commercially unsophisticated increase the burden of care owed in tort because of their </w:t>
      </w:r>
      <w:r w:rsidR="00A83EC8">
        <w:rPr>
          <w:rFonts w:cs="Times New Roman"/>
          <w:szCs w:val="24"/>
        </w:rPr>
        <w:t xml:space="preserve">lack of comprehension. </w:t>
      </w:r>
    </w:p>
    <w:p w14:paraId="3B794FF9" w14:textId="01408508" w:rsidR="00A83EC8" w:rsidRDefault="00A83EC8" w:rsidP="00B21502">
      <w:pPr>
        <w:pStyle w:val="NoSpacing"/>
        <w:numPr>
          <w:ilvl w:val="4"/>
          <w:numId w:val="38"/>
        </w:numPr>
        <w:rPr>
          <w:rFonts w:cs="Times New Roman"/>
          <w:szCs w:val="24"/>
        </w:rPr>
      </w:pPr>
      <w:r>
        <w:rPr>
          <w:rFonts w:cs="Times New Roman"/>
          <w:i/>
          <w:szCs w:val="24"/>
        </w:rPr>
        <w:t>Davies v Camilleri</w:t>
      </w:r>
    </w:p>
    <w:p w14:paraId="5F820356" w14:textId="77777777" w:rsidR="001D26E2" w:rsidRDefault="001D26E2" w:rsidP="001D26E2">
      <w:pPr>
        <w:pStyle w:val="NoSpacing"/>
        <w:ind w:left="2160"/>
        <w:rPr>
          <w:rFonts w:cs="Times New Roman"/>
          <w:szCs w:val="24"/>
        </w:rPr>
      </w:pPr>
    </w:p>
    <w:p w14:paraId="2A480B98" w14:textId="73C4B5D3" w:rsidR="00BF25FB" w:rsidRPr="009010D4" w:rsidRDefault="00690566" w:rsidP="00B21502">
      <w:pPr>
        <w:pStyle w:val="NoSpacing"/>
        <w:numPr>
          <w:ilvl w:val="1"/>
          <w:numId w:val="38"/>
        </w:numPr>
        <w:rPr>
          <w:rFonts w:cs="Times New Roman"/>
          <w:szCs w:val="24"/>
        </w:rPr>
      </w:pPr>
      <w:r>
        <w:rPr>
          <w:i/>
        </w:rPr>
        <w:t xml:space="preserve">Standard Owed to the Client – </w:t>
      </w:r>
      <w:r w:rsidR="00017CBE">
        <w:t>A</w:t>
      </w:r>
      <w:r w:rsidR="00BE33F8" w:rsidRPr="00BF25FB">
        <w:t xml:space="preserve">scertain whether or not in acting as he/she did, the lawyer has fulfilled the requisite </w:t>
      </w:r>
      <w:r w:rsidR="00BE33F8" w:rsidRPr="003B0C99">
        <w:t>standard of care</w:t>
      </w:r>
      <w:r w:rsidR="00BE33F8" w:rsidRPr="00BF25FB">
        <w:t>.</w:t>
      </w:r>
    </w:p>
    <w:p w14:paraId="2FE09018" w14:textId="07F8AEE4" w:rsidR="000D1AE3" w:rsidRPr="00BE33F8" w:rsidRDefault="000D1AE3" w:rsidP="00B21502">
      <w:pPr>
        <w:pStyle w:val="NoSpacing"/>
        <w:numPr>
          <w:ilvl w:val="2"/>
          <w:numId w:val="38"/>
        </w:numPr>
      </w:pPr>
      <w:r w:rsidRPr="00BE33F8">
        <w:rPr>
          <w:b/>
        </w:rPr>
        <w:t>The relevant standard</w:t>
      </w:r>
      <w:r w:rsidRPr="00BE33F8">
        <w:t xml:space="preserve">:  is that of </w:t>
      </w:r>
      <w:r w:rsidRPr="00BE33F8">
        <w:rPr>
          <w:u w:val="single"/>
        </w:rPr>
        <w:t>a qualified, competent and careful lawyer in the given circumstances</w:t>
      </w:r>
      <w:r w:rsidRPr="00BE33F8">
        <w:t xml:space="preserve"> in the practice of his or her profession: </w:t>
      </w:r>
      <w:r w:rsidRPr="00BE33F8">
        <w:rPr>
          <w:i/>
          <w:iCs/>
        </w:rPr>
        <w:t>Hawkins v Clayton</w:t>
      </w:r>
      <w:r w:rsidRPr="00BE33F8">
        <w:t xml:space="preserve"> per Deane J</w:t>
      </w:r>
      <w:r w:rsidR="004B0367">
        <w:t xml:space="preserve">; </w:t>
      </w:r>
      <w:r w:rsidR="004B0367">
        <w:rPr>
          <w:i/>
        </w:rPr>
        <w:t>Rogers v Whitaker</w:t>
      </w:r>
    </w:p>
    <w:p w14:paraId="2ACFFD81" w14:textId="347F87E9" w:rsidR="008848BD" w:rsidRDefault="008848BD" w:rsidP="00B21502">
      <w:pPr>
        <w:pStyle w:val="ListParagraph"/>
        <w:numPr>
          <w:ilvl w:val="3"/>
          <w:numId w:val="38"/>
        </w:numPr>
        <w:rPr>
          <w:lang w:val="en-AU"/>
        </w:rPr>
      </w:pPr>
      <w:r w:rsidRPr="008848BD">
        <w:rPr>
          <w:lang w:val="en-AU"/>
        </w:rPr>
        <w:t xml:space="preserve">The standard of care dictates that a lawyer is expected to possess the knowledge held by the reasonably competent lawyer of well settled principles of law and the relevant procedure and rules of court applicable to the clients needs. </w:t>
      </w:r>
    </w:p>
    <w:p w14:paraId="5DFAAB55" w14:textId="77777777" w:rsidR="00F80BC9" w:rsidRPr="00F80BC9" w:rsidRDefault="00F80BC9" w:rsidP="00F80BC9">
      <w:pPr>
        <w:pStyle w:val="NoSpacing"/>
        <w:ind w:left="2160"/>
      </w:pPr>
    </w:p>
    <w:p w14:paraId="0DDC99A8" w14:textId="7942116C" w:rsidR="00B6210D" w:rsidRPr="00BE33F8" w:rsidRDefault="00B6210D" w:rsidP="00B21502">
      <w:pPr>
        <w:pStyle w:val="NoSpacing"/>
        <w:numPr>
          <w:ilvl w:val="2"/>
          <w:numId w:val="38"/>
        </w:numPr>
      </w:pPr>
      <w:r w:rsidRPr="00F80BC9">
        <w:rPr>
          <w:i/>
        </w:rPr>
        <w:t>Higher Standard</w:t>
      </w:r>
      <w:r>
        <w:t xml:space="preserve"> – </w:t>
      </w:r>
      <w:r w:rsidRPr="00BE33F8">
        <w:t>A lawyer who holds him or herself out as an expert in a field of practice will be subjected to a higher standard:</w:t>
      </w:r>
      <w:r w:rsidRPr="00BE33F8">
        <w:rPr>
          <w:i/>
        </w:rPr>
        <w:t xml:space="preserve"> Yates v Boland</w:t>
      </w:r>
    </w:p>
    <w:p w14:paraId="748BC107" w14:textId="77777777" w:rsidR="00F80BC9" w:rsidRPr="00F80BC9" w:rsidRDefault="00F80BC9" w:rsidP="00F80BC9">
      <w:pPr>
        <w:pStyle w:val="NoSpacing"/>
        <w:rPr>
          <w:rFonts w:cs="Times New Roman"/>
          <w:szCs w:val="24"/>
        </w:rPr>
      </w:pPr>
    </w:p>
    <w:p w14:paraId="59CD7A6B" w14:textId="26F873BC" w:rsidR="004E7748" w:rsidRDefault="00045F7E" w:rsidP="00B21502">
      <w:pPr>
        <w:pStyle w:val="NoSpacing"/>
        <w:numPr>
          <w:ilvl w:val="2"/>
          <w:numId w:val="38"/>
        </w:numPr>
        <w:rPr>
          <w:rFonts w:cs="Times New Roman"/>
          <w:szCs w:val="24"/>
        </w:rPr>
      </w:pPr>
      <w:r>
        <w:rPr>
          <w:rFonts w:cs="Times New Roman"/>
          <w:i/>
          <w:szCs w:val="24"/>
        </w:rPr>
        <w:t xml:space="preserve">Lower Standard – </w:t>
      </w:r>
      <w:r w:rsidR="004E7748" w:rsidRPr="00A03503">
        <w:rPr>
          <w:rFonts w:cs="Times New Roman"/>
          <w:i/>
          <w:szCs w:val="24"/>
        </w:rPr>
        <w:t>Impact of Advice</w:t>
      </w:r>
      <w:r>
        <w:rPr>
          <w:rFonts w:cs="Times New Roman"/>
          <w:i/>
          <w:szCs w:val="24"/>
        </w:rPr>
        <w:t xml:space="preserve"> </w:t>
      </w:r>
      <w:r w:rsidR="004E7748">
        <w:rPr>
          <w:rFonts w:cs="Times New Roman"/>
          <w:szCs w:val="24"/>
        </w:rPr>
        <w:t>Urgent advice or advice with hard time pressure can influence the scope of the dtuy of care.</w:t>
      </w:r>
    </w:p>
    <w:p w14:paraId="79968815" w14:textId="0A64D85F" w:rsidR="004E7748" w:rsidRPr="004E7748" w:rsidRDefault="004E7748" w:rsidP="004E7748">
      <w:pPr>
        <w:pStyle w:val="NoSpacing"/>
        <w:rPr>
          <w:rFonts w:cs="Times New Roman"/>
          <w:szCs w:val="24"/>
        </w:rPr>
      </w:pPr>
      <w:r w:rsidRPr="004E7748">
        <w:rPr>
          <w:rFonts w:cs="Times New Roman"/>
          <w:i/>
          <w:szCs w:val="24"/>
        </w:rPr>
        <w:t xml:space="preserve">May v </w:t>
      </w:r>
      <w:proofErr w:type="spellStart"/>
      <w:r w:rsidRPr="004E7748">
        <w:rPr>
          <w:rFonts w:cs="Times New Roman"/>
          <w:i/>
          <w:szCs w:val="24"/>
        </w:rPr>
        <w:t>Mijatovic</w:t>
      </w:r>
      <w:proofErr w:type="spellEnd"/>
      <w:r w:rsidRPr="004E7748">
        <w:rPr>
          <w:rFonts w:cs="Times New Roman"/>
          <w:i/>
          <w:szCs w:val="24"/>
        </w:rPr>
        <w:t xml:space="preserve"> </w:t>
      </w:r>
    </w:p>
    <w:p w14:paraId="5CB8B0AC" w14:textId="77777777" w:rsidR="009336AF" w:rsidRDefault="004E7748" w:rsidP="004E7748">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imes New Roman"/>
          <w:szCs w:val="24"/>
        </w:rPr>
      </w:pPr>
      <w:r>
        <w:rPr>
          <w:rFonts w:cs="Times New Roman"/>
          <w:szCs w:val="24"/>
        </w:rPr>
        <w:t xml:space="preserve">Injunction sought at extremely short notice. Failed for client </w:t>
      </w:r>
      <w:r w:rsidR="009336AF">
        <w:rPr>
          <w:rFonts w:cs="Times New Roman"/>
          <w:szCs w:val="24"/>
        </w:rPr>
        <w:t>and was forced to pay damages. The c</w:t>
      </w:r>
      <w:r>
        <w:rPr>
          <w:rFonts w:cs="Times New Roman"/>
          <w:szCs w:val="24"/>
        </w:rPr>
        <w:t xml:space="preserve">lient </w:t>
      </w:r>
      <w:r w:rsidR="009336AF">
        <w:rPr>
          <w:rFonts w:cs="Times New Roman"/>
          <w:szCs w:val="24"/>
        </w:rPr>
        <w:t>sued solicitor for damages.</w:t>
      </w:r>
    </w:p>
    <w:p w14:paraId="2A4AC787" w14:textId="3B0C96C8" w:rsidR="004E7748" w:rsidRDefault="009336AF" w:rsidP="004E7748">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imes New Roman"/>
          <w:szCs w:val="24"/>
        </w:rPr>
      </w:pPr>
      <w:r>
        <w:rPr>
          <w:rFonts w:cs="Times New Roman"/>
          <w:b/>
          <w:szCs w:val="24"/>
        </w:rPr>
        <w:t>Held:</w:t>
      </w:r>
      <w:r>
        <w:rPr>
          <w:rFonts w:cs="Times New Roman"/>
          <w:szCs w:val="24"/>
        </w:rPr>
        <w:t xml:space="preserve"> Need to strike a ‘balance between a lawyer acting with little time and not acting with due care to expose a client to liability’. </w:t>
      </w:r>
      <w:r w:rsidR="00D107AB">
        <w:rPr>
          <w:rFonts w:cs="Times New Roman"/>
          <w:szCs w:val="24"/>
        </w:rPr>
        <w:t xml:space="preserve">If </w:t>
      </w:r>
      <w:r w:rsidR="00485D76">
        <w:rPr>
          <w:rFonts w:cs="Times New Roman"/>
          <w:szCs w:val="24"/>
        </w:rPr>
        <w:t xml:space="preserve">a </w:t>
      </w:r>
      <w:r w:rsidR="00D107AB">
        <w:rPr>
          <w:rFonts w:cs="Times New Roman"/>
          <w:szCs w:val="24"/>
        </w:rPr>
        <w:t xml:space="preserve">lawyer cannot complete the task within the time </w:t>
      </w:r>
      <w:r w:rsidR="00D107AB">
        <w:rPr>
          <w:rFonts w:cs="Times New Roman"/>
          <w:szCs w:val="24"/>
        </w:rPr>
        <w:lastRenderedPageBreak/>
        <w:t xml:space="preserve">due to experience etc – tell </w:t>
      </w:r>
      <w:r w:rsidR="006E2B55">
        <w:rPr>
          <w:rFonts w:cs="Times New Roman"/>
          <w:szCs w:val="24"/>
        </w:rPr>
        <w:t>the client this – otherwise expose the client to ‘real and foreseeable loss’</w:t>
      </w:r>
      <w:r w:rsidR="00086AEC">
        <w:rPr>
          <w:rFonts w:cs="Times New Roman"/>
          <w:szCs w:val="24"/>
        </w:rPr>
        <w:t xml:space="preserve">. </w:t>
      </w:r>
      <w:r w:rsidR="00EE6043">
        <w:rPr>
          <w:rFonts w:cs="Times New Roman"/>
          <w:szCs w:val="24"/>
        </w:rPr>
        <w:t>Naturally, the standard is lower.</w:t>
      </w:r>
    </w:p>
    <w:p w14:paraId="74E6DCC6" w14:textId="7A352AF6" w:rsidR="0046647E" w:rsidRPr="00EA6DF3" w:rsidRDefault="00AF5851" w:rsidP="004E7748">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imes New Roman"/>
          <w:b/>
          <w:szCs w:val="24"/>
        </w:rPr>
      </w:pPr>
      <w:r w:rsidRPr="00EA6DF3">
        <w:rPr>
          <w:rFonts w:cs="Times New Roman"/>
          <w:b/>
          <w:szCs w:val="24"/>
        </w:rPr>
        <w:t>Solicitor</w:t>
      </w:r>
      <w:r w:rsidR="0046647E" w:rsidRPr="00EA6DF3">
        <w:rPr>
          <w:rFonts w:cs="Times New Roman"/>
          <w:b/>
          <w:szCs w:val="24"/>
        </w:rPr>
        <w:t xml:space="preserve"> was negligent – not for mistake in relation to the clients instructions – but in not advising the client of the risks of loss from such little time.</w:t>
      </w:r>
    </w:p>
    <w:p w14:paraId="145CEFB8" w14:textId="0CFA9278" w:rsidR="00F80BC9" w:rsidRPr="006702F2" w:rsidRDefault="00F80BC9" w:rsidP="00F80BC9">
      <w:pPr>
        <w:keepNext/>
        <w:tabs>
          <w:tab w:val="left" w:pos="1350"/>
        </w:tabs>
        <w:spacing w:before="120"/>
        <w:rPr>
          <w:b/>
          <w:i/>
          <w:lang w:val="en-AU"/>
        </w:rPr>
      </w:pPr>
      <w:r w:rsidRPr="006702F2">
        <w:rPr>
          <w:b/>
          <w:i/>
          <w:lang w:val="en-AU"/>
        </w:rPr>
        <w:t>Liability to 3</w:t>
      </w:r>
      <w:r w:rsidRPr="006702F2">
        <w:rPr>
          <w:b/>
          <w:i/>
          <w:vertAlign w:val="superscript"/>
          <w:lang w:val="en-AU"/>
        </w:rPr>
        <w:t>rd</w:t>
      </w:r>
      <w:r w:rsidRPr="006702F2">
        <w:rPr>
          <w:b/>
          <w:i/>
          <w:lang w:val="en-AU"/>
        </w:rPr>
        <w:t xml:space="preserve"> parties – i.e not to client</w:t>
      </w:r>
    </w:p>
    <w:p w14:paraId="3A514FF2" w14:textId="77777777" w:rsidR="006702F2" w:rsidRDefault="006702F2" w:rsidP="006702F2">
      <w:pPr>
        <w:pStyle w:val="NoSpacing"/>
      </w:pPr>
    </w:p>
    <w:p w14:paraId="4C6521DC" w14:textId="727710D7" w:rsidR="00F80BC9" w:rsidRDefault="00B75E21" w:rsidP="00B21502">
      <w:pPr>
        <w:pStyle w:val="NoSpacing"/>
        <w:numPr>
          <w:ilvl w:val="0"/>
          <w:numId w:val="40"/>
        </w:numPr>
      </w:pPr>
      <w:r w:rsidRPr="00FC68B8">
        <w:rPr>
          <w:i/>
        </w:rPr>
        <w:t>Purpose</w:t>
      </w:r>
      <w:r>
        <w:t xml:space="preserve"> – </w:t>
      </w:r>
      <w:r w:rsidR="00F80BC9" w:rsidRPr="00DA64F2">
        <w:t xml:space="preserve">Liability to third parties may arise under statute, or tort – not limited to person with retainer, others may also suffer damages (not contract here) </w:t>
      </w:r>
    </w:p>
    <w:p w14:paraId="6BB98489" w14:textId="77777777" w:rsidR="00DC2E47" w:rsidRDefault="00DC2E47" w:rsidP="00DC2E47">
      <w:pPr>
        <w:pStyle w:val="NoSpacing"/>
        <w:ind w:left="720"/>
      </w:pPr>
    </w:p>
    <w:p w14:paraId="56161C39" w14:textId="77777777" w:rsidR="003C0A43" w:rsidRDefault="00DC2E47" w:rsidP="00B21502">
      <w:pPr>
        <w:pStyle w:val="NoSpacing"/>
        <w:numPr>
          <w:ilvl w:val="0"/>
          <w:numId w:val="40"/>
        </w:numPr>
      </w:pPr>
      <w:r w:rsidRPr="003C0A43">
        <w:rPr>
          <w:i/>
        </w:rPr>
        <w:t xml:space="preserve">Misleading and Deceptive Conduct – </w:t>
      </w:r>
      <w:r w:rsidR="00F80BC9" w:rsidRPr="003C0A43">
        <w:t xml:space="preserve">Under the </w:t>
      </w:r>
      <w:r w:rsidR="00F80BC9" w:rsidRPr="003C0A43">
        <w:rPr>
          <w:i/>
          <w:iCs/>
        </w:rPr>
        <w:t>Trade Practice Act</w:t>
      </w:r>
      <w:r w:rsidR="00F80BC9" w:rsidRPr="003C0A43">
        <w:t xml:space="preserve"> or</w:t>
      </w:r>
      <w:r w:rsidR="00F80BC9" w:rsidRPr="003C0A43">
        <w:rPr>
          <w:i/>
          <w:iCs/>
        </w:rPr>
        <w:t xml:space="preserve"> Fair Trading Act </w:t>
      </w:r>
      <w:r w:rsidR="00F80BC9" w:rsidRPr="003C0A43">
        <w:t>a practitioner may be liable to third parties for misleading and deceptive conduct</w:t>
      </w:r>
      <w:r w:rsidR="003C0A43">
        <w:t>.</w:t>
      </w:r>
    </w:p>
    <w:p w14:paraId="2945A959" w14:textId="77777777" w:rsidR="003C0A43" w:rsidRDefault="003C0A43" w:rsidP="003C0A43">
      <w:pPr>
        <w:pStyle w:val="ListParagraph"/>
      </w:pPr>
    </w:p>
    <w:p w14:paraId="0E701FCC" w14:textId="4989EB8D" w:rsidR="00F80BC9" w:rsidRDefault="003C0A43" w:rsidP="00B21502">
      <w:pPr>
        <w:pStyle w:val="NoSpacing"/>
        <w:numPr>
          <w:ilvl w:val="0"/>
          <w:numId w:val="40"/>
        </w:numPr>
      </w:pPr>
      <w:r>
        <w:rPr>
          <w:i/>
        </w:rPr>
        <w:t xml:space="preserve">Reasonable Care to avoid acts or omissions – </w:t>
      </w:r>
      <w:r w:rsidR="00F80BC9" w:rsidRPr="003C0A43">
        <w:t>There is a duty to take reasonable care to avoid acts or omissions which a practitioner could reasonably foresee would be likely to harm another person</w:t>
      </w:r>
    </w:p>
    <w:p w14:paraId="7907072D" w14:textId="77777777" w:rsidR="00B2567E" w:rsidRPr="003C0A43" w:rsidRDefault="00B2567E" w:rsidP="00B2567E">
      <w:pPr>
        <w:pStyle w:val="NoSpacing"/>
        <w:ind w:left="1440"/>
      </w:pPr>
    </w:p>
    <w:p w14:paraId="7E808150" w14:textId="33390DC3" w:rsidR="00F80BC9" w:rsidRPr="00C407EE" w:rsidRDefault="00F80BC9" w:rsidP="00B21502">
      <w:pPr>
        <w:pStyle w:val="ListParagraph"/>
        <w:numPr>
          <w:ilvl w:val="1"/>
          <w:numId w:val="40"/>
        </w:numPr>
        <w:rPr>
          <w:lang w:val="en-AU"/>
        </w:rPr>
      </w:pPr>
      <w:r w:rsidRPr="00402C4A">
        <w:rPr>
          <w:i/>
          <w:lang w:val="en-AU"/>
        </w:rPr>
        <w:t>Circumstances of liability</w:t>
      </w:r>
      <w:r w:rsidR="00C407EE">
        <w:rPr>
          <w:i/>
          <w:lang w:val="en-AU"/>
        </w:rPr>
        <w:t xml:space="preserve"> – </w:t>
      </w:r>
      <w:r w:rsidR="00054015">
        <w:rPr>
          <w:lang w:val="en-AU"/>
        </w:rPr>
        <w:t>A reasonable expectation in a third party in circumstances where it</w:t>
      </w:r>
      <w:r w:rsidR="00BF44AB">
        <w:rPr>
          <w:lang w:val="en-AU"/>
        </w:rPr>
        <w:t>’</w:t>
      </w:r>
      <w:r w:rsidR="00054015">
        <w:rPr>
          <w:lang w:val="en-AU"/>
        </w:rPr>
        <w:t>s reasonable for the third party to rely on that expectation.</w:t>
      </w:r>
    </w:p>
    <w:p w14:paraId="22EDE0B6" w14:textId="2E90B572" w:rsidR="00F80BC9" w:rsidRPr="003C58CC" w:rsidRDefault="00FD7CE7" w:rsidP="00B21502">
      <w:pPr>
        <w:pStyle w:val="ListParagraph"/>
        <w:numPr>
          <w:ilvl w:val="2"/>
          <w:numId w:val="40"/>
        </w:numPr>
        <w:rPr>
          <w:iCs/>
          <w:lang w:val="en-AU"/>
        </w:rPr>
      </w:pPr>
      <w:r>
        <w:rPr>
          <w:i/>
          <w:lang w:val="en-AU"/>
        </w:rPr>
        <w:t>Reasonable</w:t>
      </w:r>
      <w:r w:rsidR="00AA014C">
        <w:rPr>
          <w:i/>
          <w:lang w:val="en-AU"/>
        </w:rPr>
        <w:t xml:space="preserve"> Expectation of Liability – </w:t>
      </w:r>
      <w:r w:rsidR="003C58CC">
        <w:rPr>
          <w:lang w:val="en-AU"/>
        </w:rPr>
        <w:t>A</w:t>
      </w:r>
      <w:r w:rsidR="00F80BC9" w:rsidRPr="0069332D">
        <w:rPr>
          <w:lang w:val="en-AU"/>
        </w:rPr>
        <w:t xml:space="preserve"> practitioner who creates a reasonable expectation in a third party in circumstances where it is reasonable for the third party to rely on that expectation assumes a tortious responsibility to that person </w:t>
      </w:r>
      <w:r w:rsidR="009A5B45">
        <w:rPr>
          <w:lang w:val="en-AU"/>
        </w:rPr>
        <w:t>–</w:t>
      </w:r>
      <w:r w:rsidR="00F80BC9" w:rsidRPr="0069332D">
        <w:rPr>
          <w:lang w:val="en-AU"/>
        </w:rPr>
        <w:t xml:space="preserve"> </w:t>
      </w:r>
      <w:r w:rsidR="00F80BC9" w:rsidRPr="0069332D">
        <w:rPr>
          <w:i/>
          <w:iCs/>
          <w:lang w:val="en-AU"/>
        </w:rPr>
        <w:t>Hawkins v Clayton</w:t>
      </w:r>
      <w:r w:rsidR="00F80BC9" w:rsidRPr="0069332D">
        <w:rPr>
          <w:lang w:val="en-AU"/>
        </w:rPr>
        <w:t xml:space="preserve"> and </w:t>
      </w:r>
      <w:r w:rsidR="00F80BC9" w:rsidRPr="0069332D">
        <w:rPr>
          <w:i/>
          <w:iCs/>
          <w:lang w:val="en-AU"/>
        </w:rPr>
        <w:t xml:space="preserve">Van Erp. </w:t>
      </w:r>
    </w:p>
    <w:p w14:paraId="52944912" w14:textId="1DC41640" w:rsidR="00FD7CE7" w:rsidRDefault="00FD7CE7" w:rsidP="00B21502">
      <w:pPr>
        <w:pStyle w:val="ListParagraph"/>
        <w:numPr>
          <w:ilvl w:val="3"/>
          <w:numId w:val="39"/>
        </w:numPr>
        <w:rPr>
          <w:iCs/>
          <w:lang w:val="en-AU"/>
        </w:rPr>
      </w:pPr>
      <w:r>
        <w:rPr>
          <w:iCs/>
          <w:lang w:val="en-AU"/>
        </w:rPr>
        <w:t>Test:</w:t>
      </w:r>
    </w:p>
    <w:p w14:paraId="1AD26955" w14:textId="4DE8B7AD" w:rsidR="00F80BC9" w:rsidRPr="0069332D" w:rsidRDefault="00FD7CE7" w:rsidP="00B21502">
      <w:pPr>
        <w:pStyle w:val="ListParagraph"/>
        <w:numPr>
          <w:ilvl w:val="4"/>
          <w:numId w:val="39"/>
        </w:numPr>
        <w:rPr>
          <w:iCs/>
          <w:lang w:val="en-AU"/>
        </w:rPr>
      </w:pPr>
      <w:r>
        <w:rPr>
          <w:iCs/>
          <w:lang w:val="en-AU"/>
        </w:rPr>
        <w:t>Assuming a</w:t>
      </w:r>
      <w:r w:rsidR="00F80BC9" w:rsidRPr="0069332D">
        <w:rPr>
          <w:iCs/>
          <w:lang w:val="en-AU"/>
        </w:rPr>
        <w:t xml:space="preserve"> responsibility to 3</w:t>
      </w:r>
      <w:r w:rsidR="00F80BC9" w:rsidRPr="0069332D">
        <w:rPr>
          <w:iCs/>
          <w:vertAlign w:val="superscript"/>
          <w:lang w:val="en-AU"/>
        </w:rPr>
        <w:t>rd</w:t>
      </w:r>
      <w:r w:rsidR="00F80BC9" w:rsidRPr="0069332D">
        <w:rPr>
          <w:iCs/>
          <w:lang w:val="en-AU"/>
        </w:rPr>
        <w:t xml:space="preserve"> party</w:t>
      </w:r>
    </w:p>
    <w:p w14:paraId="151F92BC" w14:textId="7C994D2D" w:rsidR="00F80BC9" w:rsidRPr="0069332D" w:rsidRDefault="00FD7CE7" w:rsidP="00B21502">
      <w:pPr>
        <w:pStyle w:val="ListParagraph"/>
        <w:numPr>
          <w:ilvl w:val="4"/>
          <w:numId w:val="39"/>
        </w:numPr>
        <w:rPr>
          <w:iCs/>
          <w:lang w:val="en-AU"/>
        </w:rPr>
      </w:pPr>
      <w:r>
        <w:rPr>
          <w:iCs/>
          <w:lang w:val="en-AU"/>
        </w:rPr>
        <w:t xml:space="preserve">The </w:t>
      </w:r>
      <w:r w:rsidR="00F80BC9" w:rsidRPr="0069332D">
        <w:rPr>
          <w:iCs/>
          <w:lang w:val="en-AU"/>
        </w:rPr>
        <w:t>3</w:t>
      </w:r>
      <w:r w:rsidR="00F80BC9" w:rsidRPr="0069332D">
        <w:rPr>
          <w:iCs/>
          <w:vertAlign w:val="superscript"/>
          <w:lang w:val="en-AU"/>
        </w:rPr>
        <w:t>rd</w:t>
      </w:r>
      <w:r w:rsidR="00F80BC9" w:rsidRPr="0069332D">
        <w:rPr>
          <w:iCs/>
          <w:lang w:val="en-AU"/>
        </w:rPr>
        <w:t xml:space="preserve"> party relies in something lawyer does;</w:t>
      </w:r>
    </w:p>
    <w:p w14:paraId="774CFA41" w14:textId="65BEB677" w:rsidR="00F80BC9" w:rsidRDefault="00302495" w:rsidP="00B21502">
      <w:pPr>
        <w:pStyle w:val="ListParagraph"/>
        <w:numPr>
          <w:ilvl w:val="4"/>
          <w:numId w:val="39"/>
        </w:numPr>
        <w:rPr>
          <w:iCs/>
          <w:lang w:val="en-AU"/>
        </w:rPr>
      </w:pPr>
      <w:r>
        <w:rPr>
          <w:iCs/>
          <w:lang w:val="en-AU"/>
        </w:rPr>
        <w:t>The</w:t>
      </w:r>
      <w:r w:rsidR="00F80BC9" w:rsidRPr="0069332D">
        <w:rPr>
          <w:iCs/>
          <w:lang w:val="en-AU"/>
        </w:rPr>
        <w:t xml:space="preserve"> lawyer has relationship of control over third party.</w:t>
      </w:r>
    </w:p>
    <w:p w14:paraId="1A310BFE" w14:textId="77777777" w:rsidR="008235F1" w:rsidRPr="008235F1" w:rsidRDefault="008235F1" w:rsidP="00FE43A6">
      <w:pPr>
        <w:pStyle w:val="NoSpacing"/>
      </w:pPr>
    </w:p>
    <w:p w14:paraId="5F298626" w14:textId="2C8646DE" w:rsidR="00F80BC9" w:rsidRPr="005B5CF8" w:rsidRDefault="00894B31" w:rsidP="00B21502">
      <w:pPr>
        <w:pStyle w:val="ListParagraph"/>
        <w:numPr>
          <w:ilvl w:val="0"/>
          <w:numId w:val="40"/>
        </w:numPr>
        <w:rPr>
          <w:iCs/>
          <w:lang w:val="en-AU"/>
        </w:rPr>
      </w:pPr>
      <w:r w:rsidRPr="00D26130">
        <w:rPr>
          <w:i/>
          <w:iCs/>
          <w:lang w:val="en-AU"/>
        </w:rPr>
        <w:t>Third Party Examples</w:t>
      </w:r>
      <w:r>
        <w:rPr>
          <w:iCs/>
          <w:lang w:val="en-AU"/>
        </w:rPr>
        <w:t xml:space="preserve"> – </w:t>
      </w:r>
    </w:p>
    <w:p w14:paraId="365985F8" w14:textId="77777777" w:rsidR="005B5CF8" w:rsidRDefault="005B5CF8" w:rsidP="005B5CF8">
      <w:pPr>
        <w:pStyle w:val="NoSpacing"/>
        <w:ind w:left="1440"/>
      </w:pPr>
    </w:p>
    <w:p w14:paraId="0D176914" w14:textId="0E55411B" w:rsidR="00F80BC9" w:rsidRPr="00BE33F8" w:rsidRDefault="00F80BC9" w:rsidP="00B21502">
      <w:pPr>
        <w:pStyle w:val="NoSpacing"/>
        <w:numPr>
          <w:ilvl w:val="1"/>
          <w:numId w:val="40"/>
        </w:numPr>
      </w:pPr>
      <w:r w:rsidRPr="00F61186">
        <w:rPr>
          <w:i/>
        </w:rPr>
        <w:t xml:space="preserve">If solicitors </w:t>
      </w:r>
      <w:r w:rsidRPr="00F61186">
        <w:rPr>
          <w:b/>
          <w:i/>
        </w:rPr>
        <w:t>advise a person</w:t>
      </w:r>
      <w:r w:rsidRPr="00F61186">
        <w:rPr>
          <w:i/>
        </w:rPr>
        <w:t xml:space="preserve"> whom they know, or should know, will place reliance upon it then a duty of care will arise</w:t>
      </w:r>
      <w:r w:rsidRPr="00BE33F8">
        <w:t xml:space="preserve"> – </w:t>
      </w:r>
      <w:r w:rsidRPr="00BE33F8">
        <w:rPr>
          <w:i/>
          <w:iCs/>
        </w:rPr>
        <w:t>Hedley Byrne v Heller</w:t>
      </w:r>
      <w:r w:rsidR="00773388">
        <w:t xml:space="preserve">; </w:t>
      </w:r>
      <w:r w:rsidRPr="00BE33F8">
        <w:rPr>
          <w:i/>
          <w:iCs/>
        </w:rPr>
        <w:t>MacPherson &amp; Kelley v Kevin J Prunty &amp; Assocs</w:t>
      </w:r>
    </w:p>
    <w:p w14:paraId="5626E886" w14:textId="7E6C5C61" w:rsidR="00F80BC9" w:rsidRPr="00BE33F8" w:rsidRDefault="0022355B" w:rsidP="00B21502">
      <w:pPr>
        <w:pStyle w:val="NoSpacing"/>
        <w:numPr>
          <w:ilvl w:val="2"/>
          <w:numId w:val="40"/>
        </w:numPr>
      </w:pPr>
      <w:r>
        <w:t>Example –</w:t>
      </w:r>
      <w:r w:rsidR="00F80BC9" w:rsidRPr="00BE33F8">
        <w:t xml:space="preserve"> Providing  information to opposing clients (eg, conveyancing solicitors acting for vendors but purchasers (may be unrepresented) ask for information regarding the property such as the amount of rates  and solicitor provides written but erroneous information to the purchaser → solicitor will owe a duty</w:t>
      </w:r>
    </w:p>
    <w:p w14:paraId="44EE3C98" w14:textId="77777777" w:rsidR="00D06D88" w:rsidRPr="00D06D88" w:rsidRDefault="00D06D88" w:rsidP="00D06D88">
      <w:pPr>
        <w:ind w:left="180"/>
        <w:rPr>
          <w:lang w:val="en-AU"/>
        </w:rPr>
      </w:pPr>
    </w:p>
    <w:p w14:paraId="2DB348BA" w14:textId="2B180B59" w:rsidR="00F80BC9" w:rsidRPr="00BE33F8" w:rsidRDefault="00F80BC9" w:rsidP="00B21502">
      <w:pPr>
        <w:pStyle w:val="NoSpacing"/>
        <w:numPr>
          <w:ilvl w:val="1"/>
          <w:numId w:val="40"/>
        </w:numPr>
      </w:pPr>
      <w:r w:rsidRPr="00EC2A1E">
        <w:rPr>
          <w:i/>
        </w:rPr>
        <w:t>Liability to an executor of a will (he adm</w:t>
      </w:r>
      <w:r w:rsidR="00C56BB3" w:rsidRPr="00EC2A1E">
        <w:rPr>
          <w:i/>
        </w:rPr>
        <w:t>inisters for the beneficiaries</w:t>
      </w:r>
      <w:r w:rsidR="00C56BB3">
        <w:t xml:space="preserve">) – </w:t>
      </w:r>
      <w:r w:rsidRPr="00BE33F8">
        <w:t xml:space="preserve"> </w:t>
      </w:r>
      <w:r w:rsidRPr="00D44B1E">
        <w:rPr>
          <w:i/>
        </w:rPr>
        <w:t>Failure to notify executor of a will</w:t>
      </w:r>
    </w:p>
    <w:p w14:paraId="51F9DE90" w14:textId="30DC16E0" w:rsidR="00F80BC9" w:rsidRPr="00BE33F8" w:rsidRDefault="000B69D3" w:rsidP="00B21502">
      <w:pPr>
        <w:pStyle w:val="NoSpacing"/>
        <w:numPr>
          <w:ilvl w:val="2"/>
          <w:numId w:val="40"/>
        </w:numPr>
      </w:pPr>
      <w:r>
        <w:rPr>
          <w:i/>
        </w:rPr>
        <w:t>Lack of Notification about Will –</w:t>
      </w:r>
      <w:r w:rsidR="00F80BC9" w:rsidRPr="00BE33F8">
        <w:t xml:space="preserve"> A solicitor was held to be liable in tort to an executor for loss suffered by reason of the solicitor’s failure to locate and notify the executor of the will or its contents</w:t>
      </w:r>
      <w:r w:rsidR="00484D05">
        <w:t xml:space="preserve">. 6 years later, assets were in state of disrepair – </w:t>
      </w:r>
      <w:r w:rsidR="00F80BC9" w:rsidRPr="00BE33F8">
        <w:rPr>
          <w:i/>
          <w:iCs/>
        </w:rPr>
        <w:t>Hawkins v Clayton</w:t>
      </w:r>
      <w:r w:rsidR="00F80BC9" w:rsidRPr="00BE33F8">
        <w:t xml:space="preserve"> </w:t>
      </w:r>
    </w:p>
    <w:p w14:paraId="02976F03" w14:textId="77777777" w:rsidR="00D06D88" w:rsidRPr="00D06D88" w:rsidRDefault="00D06D88" w:rsidP="00D06D88">
      <w:pPr>
        <w:ind w:left="180"/>
        <w:rPr>
          <w:lang w:val="en-AU"/>
        </w:rPr>
      </w:pPr>
    </w:p>
    <w:p w14:paraId="1E01C7C5" w14:textId="7B048C0D" w:rsidR="000B69D3" w:rsidRDefault="00F80BC9" w:rsidP="00B21502">
      <w:pPr>
        <w:pStyle w:val="NoSpacing"/>
        <w:numPr>
          <w:ilvl w:val="1"/>
          <w:numId w:val="40"/>
        </w:numPr>
      </w:pPr>
      <w:r w:rsidRPr="00BE33F8">
        <w:rPr>
          <w:u w:val="single"/>
        </w:rPr>
        <w:t xml:space="preserve">Duties may be owed to </w:t>
      </w:r>
      <w:r w:rsidRPr="00BE33F8">
        <w:rPr>
          <w:b/>
          <w:u w:val="single"/>
        </w:rPr>
        <w:t>beneficiaries</w:t>
      </w:r>
      <w:r w:rsidRPr="00BE33F8">
        <w:t xml:space="preserve"> directly: A solicitor who accepts instructions to make a will owes a duty of care to the proposed beneficiaries to carry out the testator’s in</w:t>
      </w:r>
      <w:r w:rsidR="004E735B">
        <w:t xml:space="preserve">structions with due diligence – </w:t>
      </w:r>
      <w:r w:rsidR="004E735B" w:rsidRPr="00BE33F8">
        <w:rPr>
          <w:i/>
          <w:iCs/>
        </w:rPr>
        <w:t>Hill v Van Erp</w:t>
      </w:r>
    </w:p>
    <w:p w14:paraId="482779EF" w14:textId="77777777" w:rsidR="006F2855" w:rsidRDefault="006F2855" w:rsidP="00451E86">
      <w:pPr>
        <w:pStyle w:val="NoSpacing"/>
        <w:rPr>
          <w:i/>
          <w:iCs/>
        </w:rPr>
      </w:pPr>
    </w:p>
    <w:p w14:paraId="71ECD258" w14:textId="77777777" w:rsidR="00E32C84" w:rsidRDefault="00E32C84" w:rsidP="00451E86">
      <w:pPr>
        <w:pStyle w:val="NoSpacing"/>
        <w:rPr>
          <w:i/>
          <w:iCs/>
        </w:rPr>
      </w:pPr>
    </w:p>
    <w:p w14:paraId="0A545579" w14:textId="187D1258" w:rsidR="00F80BC9" w:rsidRPr="00BE33F8" w:rsidRDefault="00F80BC9" w:rsidP="00451E86">
      <w:pPr>
        <w:pStyle w:val="NoSpacing"/>
      </w:pPr>
      <w:r w:rsidRPr="00BE33F8">
        <w:rPr>
          <w:i/>
          <w:iCs/>
        </w:rPr>
        <w:lastRenderedPageBreak/>
        <w:t xml:space="preserve">Hill v Van </w:t>
      </w:r>
      <w:proofErr w:type="spellStart"/>
      <w:r w:rsidRPr="00BE33F8">
        <w:rPr>
          <w:i/>
          <w:iCs/>
        </w:rPr>
        <w:t>Erp</w:t>
      </w:r>
      <w:proofErr w:type="spellEnd"/>
      <w:r w:rsidRPr="00BE33F8">
        <w:rPr>
          <w:i/>
          <w:iCs/>
        </w:rPr>
        <w:t xml:space="preserve"> (1997) 142 ALR 687</w:t>
      </w:r>
    </w:p>
    <w:p w14:paraId="3A2425D5" w14:textId="1262DB1F" w:rsidR="00F80BC9" w:rsidRPr="00451E86" w:rsidRDefault="00F80BC9" w:rsidP="00451E86">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rsidRPr="00451E86">
        <w:t>Hill (a solicitor) was instructed to prepare a will for his client (a Mrs Currey), leaving a house jointly to her son and to her friend, Mrs Van Erp</w:t>
      </w:r>
      <w:r w:rsidR="00472C4F">
        <w:t xml:space="preserve">. </w:t>
      </w:r>
      <w:r w:rsidRPr="00451E86">
        <w:t>At the signing of the will, he allowed the husband of Mrs Van Erp to witness the will</w:t>
      </w:r>
      <w:r w:rsidR="00472C4F">
        <w:t xml:space="preserve">. </w:t>
      </w:r>
      <w:r w:rsidRPr="00451E86">
        <w:t>This act voided the will because of the rule that an ‘interested party’ (as defined) cannot be a witness</w:t>
      </w:r>
      <w:r w:rsidR="00472C4F">
        <w:t xml:space="preserve">. </w:t>
      </w:r>
      <w:r w:rsidRPr="00451E86">
        <w:t>Mrs Van Erp sued the solicitor because, as usually happens in these matters, the error could not be remedied!</w:t>
      </w:r>
    </w:p>
    <w:p w14:paraId="17CC3E50" w14:textId="5FEFF7D5" w:rsidR="00F80BC9" w:rsidRPr="00451E86" w:rsidRDefault="007E3B44" w:rsidP="00451E86">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rPr>
          <w:b/>
        </w:rPr>
        <w:t xml:space="preserve">Held: </w:t>
      </w:r>
      <w:r w:rsidR="00F80BC9" w:rsidRPr="00451E86">
        <w:t>The HCA endorsed the principle of proximity as applying to this situation and found Hill liable to Mrs Van Erp in negligence.</w:t>
      </w:r>
    </w:p>
    <w:p w14:paraId="79855B1C" w14:textId="77777777" w:rsidR="00D44B1E" w:rsidRDefault="00D44B1E" w:rsidP="00D44B1E">
      <w:pPr>
        <w:pStyle w:val="NoSpacing"/>
        <w:ind w:left="1440"/>
      </w:pPr>
    </w:p>
    <w:p w14:paraId="2D7DA117" w14:textId="77777777" w:rsidR="006F2855" w:rsidRPr="00D44B1E" w:rsidRDefault="006F2855" w:rsidP="00D44B1E">
      <w:pPr>
        <w:pStyle w:val="NoSpacing"/>
        <w:ind w:left="1440"/>
      </w:pPr>
    </w:p>
    <w:p w14:paraId="6D1ED2AF" w14:textId="6133F0B8" w:rsidR="004E7D8D" w:rsidRDefault="00870436" w:rsidP="00B21502">
      <w:pPr>
        <w:pStyle w:val="NoSpacing"/>
        <w:numPr>
          <w:ilvl w:val="1"/>
          <w:numId w:val="40"/>
        </w:numPr>
      </w:pPr>
      <w:r w:rsidRPr="004E7D8D">
        <w:rPr>
          <w:i/>
        </w:rPr>
        <w:t>Duty to other’s client</w:t>
      </w:r>
      <w:r>
        <w:t xml:space="preserve"> – A duty is owed to lawyers </w:t>
      </w:r>
      <w:r w:rsidR="00901295">
        <w:t>opposing</w:t>
      </w:r>
      <w:r>
        <w:t xml:space="preserve"> clients</w:t>
      </w:r>
      <w:r w:rsidR="00795227">
        <w:t xml:space="preserve"> to provide accurate and timely information when it is requested. I</w:t>
      </w:r>
      <w:r>
        <w:t xml:space="preserve">f the representing </w:t>
      </w:r>
      <w:r w:rsidR="00F922F6">
        <w:t>solicitor</w:t>
      </w:r>
      <w:r>
        <w:t xml:space="preserve"> provides false or </w:t>
      </w:r>
      <w:r w:rsidR="00F922F6">
        <w:t>inaccurate</w:t>
      </w:r>
      <w:r>
        <w:t xml:space="preserve"> information which is relied upon by the o</w:t>
      </w:r>
      <w:r w:rsidR="00AD567E">
        <w:t xml:space="preserve">ther party </w:t>
      </w:r>
      <w:r w:rsidR="00795227">
        <w:t xml:space="preserve">then they are </w:t>
      </w:r>
      <w:r w:rsidR="0044166A">
        <w:t>liable</w:t>
      </w:r>
      <w:r w:rsidR="00795227">
        <w:t xml:space="preserve"> in tort </w:t>
      </w:r>
      <w:r w:rsidR="00AD567E">
        <w:t xml:space="preserve">– </w:t>
      </w:r>
      <w:r w:rsidR="00AD567E" w:rsidRPr="00AD567E">
        <w:rPr>
          <w:i/>
        </w:rPr>
        <w:t>LT King v Besser</w:t>
      </w:r>
    </w:p>
    <w:p w14:paraId="5285717E" w14:textId="77777777" w:rsidR="004E7D8D" w:rsidRDefault="004E7D8D" w:rsidP="004E7D8D">
      <w:pPr>
        <w:pStyle w:val="NoSpacing"/>
        <w:rPr>
          <w:i/>
        </w:rPr>
      </w:pPr>
    </w:p>
    <w:p w14:paraId="117F460D" w14:textId="72777DB7" w:rsidR="00F80BC9" w:rsidRPr="00BE33F8" w:rsidRDefault="00F80BC9" w:rsidP="004E7D8D">
      <w:pPr>
        <w:pStyle w:val="NoSpacing"/>
      </w:pPr>
      <w:r w:rsidRPr="004E7D8D">
        <w:rPr>
          <w:i/>
        </w:rPr>
        <w:t>L T King v Besser</w:t>
      </w:r>
    </w:p>
    <w:p w14:paraId="0BDFE099" w14:textId="41480536" w:rsidR="00F80BC9" w:rsidRPr="00870436" w:rsidRDefault="00F80BC9" w:rsidP="00870436">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rsidRPr="00870436">
        <w:t>King, a financial advisor, invested money into Besser’s (ran financial schemes) scheme, based on information provided to him by his own solicitor (Minters) who sought for the information from Besser’s  solicitors. Besser’s solicitors provided incorrect and deceptive information (assured Minters that Besser had $900,000 in his account, but in fact only had an uncleared cheque for that amount which bounced ) which King relied on.</w:t>
      </w:r>
    </w:p>
    <w:p w14:paraId="26B7F645" w14:textId="77777777" w:rsidR="00F80BC9" w:rsidRPr="00870436" w:rsidRDefault="00F80BC9" w:rsidP="00870436">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rsidRPr="00CB3962">
        <w:t>King</w:t>
      </w:r>
      <w:r w:rsidRPr="00870436">
        <w:t xml:space="preserve"> sued Besser’s solicitor for deceptive and misleading conduct (s 52 TPA).</w:t>
      </w:r>
    </w:p>
    <w:p w14:paraId="7A6F80BE" w14:textId="66FE8E26" w:rsidR="00F80BC9" w:rsidRPr="00870436" w:rsidRDefault="00A61650" w:rsidP="00870436">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rPr>
          <w:i/>
        </w:rPr>
        <w:t>Q: Was</w:t>
      </w:r>
      <w:r w:rsidR="00F80BC9" w:rsidRPr="00226E1C">
        <w:rPr>
          <w:i/>
        </w:rPr>
        <w:t xml:space="preserve"> Besser’s solicitor’s advice trade or commerce for the purposes of  TPA? Is a solicitors activity commercial or legal (intellectual advice – not covered by TPA).</w:t>
      </w:r>
    </w:p>
    <w:p w14:paraId="22AAE466" w14:textId="53512615" w:rsidR="00F80BC9" w:rsidRPr="00C956C8" w:rsidRDefault="00347E5B" w:rsidP="00870436">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sidRPr="00CB3962">
        <w:rPr>
          <w:b/>
        </w:rPr>
        <w:t>Held</w:t>
      </w:r>
      <w:r>
        <w:t>:</w:t>
      </w:r>
      <w:r w:rsidRPr="00870436">
        <w:t xml:space="preserve"> </w:t>
      </w:r>
      <w:r w:rsidR="00F80BC9" w:rsidRPr="00C956C8">
        <w:rPr>
          <w:b/>
        </w:rPr>
        <w:t xml:space="preserve">Here was yes, </w:t>
      </w:r>
      <w:r w:rsidR="00AF3973" w:rsidRPr="00C956C8">
        <w:rPr>
          <w:b/>
        </w:rPr>
        <w:t>because</w:t>
      </w:r>
      <w:r w:rsidR="00F80BC9" w:rsidRPr="00C956C8">
        <w:rPr>
          <w:b/>
        </w:rPr>
        <w:t xml:space="preserve"> it was pre</w:t>
      </w:r>
      <w:r w:rsidR="009A5B45">
        <w:rPr>
          <w:b/>
        </w:rPr>
        <w:t>–</w:t>
      </w:r>
      <w:r w:rsidR="00F80BC9" w:rsidRPr="00C956C8">
        <w:rPr>
          <w:b/>
        </w:rPr>
        <w:t xml:space="preserve">litigation, hence not communication about litigation i.e not giving advice </w:t>
      </w:r>
    </w:p>
    <w:p w14:paraId="1BE3EFAF" w14:textId="77777777" w:rsidR="00F80BC9" w:rsidRPr="00BE33F8" w:rsidRDefault="00F80BC9" w:rsidP="00F80BC9">
      <w:pPr>
        <w:spacing w:before="120"/>
        <w:ind w:left="900"/>
        <w:rPr>
          <w:iCs/>
          <w:lang w:val="en-AU"/>
        </w:rPr>
      </w:pPr>
    </w:p>
    <w:p w14:paraId="66812501" w14:textId="77777777" w:rsidR="00BE33F8" w:rsidRPr="0082653E" w:rsidRDefault="00BE33F8" w:rsidP="00B21502">
      <w:pPr>
        <w:pStyle w:val="NoSpacing"/>
        <w:numPr>
          <w:ilvl w:val="0"/>
          <w:numId w:val="40"/>
        </w:numPr>
      </w:pPr>
      <w:r w:rsidRPr="005324E6">
        <w:rPr>
          <w:i/>
        </w:rPr>
        <w:t>Statutory liability</w:t>
      </w:r>
    </w:p>
    <w:p w14:paraId="0375886F" w14:textId="677788DF" w:rsidR="00BE33F8" w:rsidRPr="00BE33F8" w:rsidRDefault="00BC75B6" w:rsidP="00B21502">
      <w:pPr>
        <w:pStyle w:val="NoSpacing"/>
        <w:numPr>
          <w:ilvl w:val="1"/>
          <w:numId w:val="40"/>
        </w:numPr>
      </w:pPr>
      <w:r w:rsidRPr="00BA1F54">
        <w:rPr>
          <w:i/>
        </w:rPr>
        <w:t>TPA</w:t>
      </w:r>
      <w:r>
        <w:t xml:space="preserve"> &amp; </w:t>
      </w:r>
      <w:r w:rsidRPr="00BA1F54">
        <w:rPr>
          <w:i/>
        </w:rPr>
        <w:t>Fair Trading Act</w:t>
      </w:r>
      <w:r>
        <w:t xml:space="preserve"> – </w:t>
      </w:r>
      <w:r w:rsidR="00BE33F8" w:rsidRPr="00BE33F8">
        <w:t>Lawyers may also be potentially liable for breaching the statutory prohibition of misleading and deceptive conduct in the conduct of  “trade or commerce”: TPA s 52; and Fair Trading Act 1999 (Vic) s 9. – usually for third parties</w:t>
      </w:r>
    </w:p>
    <w:p w14:paraId="383758AF" w14:textId="77777777" w:rsidR="0084605B" w:rsidRDefault="0084605B" w:rsidP="0084605B">
      <w:pPr>
        <w:pStyle w:val="NoSpacing"/>
        <w:ind w:left="1440"/>
      </w:pPr>
    </w:p>
    <w:p w14:paraId="4EFFC179" w14:textId="0E5AE18E" w:rsidR="00BE33F8" w:rsidRPr="00BE33F8" w:rsidRDefault="0084605B" w:rsidP="00B21502">
      <w:pPr>
        <w:pStyle w:val="NoSpacing"/>
        <w:numPr>
          <w:ilvl w:val="1"/>
          <w:numId w:val="40"/>
        </w:numPr>
      </w:pPr>
      <w:r>
        <w:rPr>
          <w:i/>
        </w:rPr>
        <w:t xml:space="preserve">Partnership Act – </w:t>
      </w:r>
      <w:r w:rsidR="00BE33F8" w:rsidRPr="00BE33F8">
        <w:t xml:space="preserve">Liability may also arise under the </w:t>
      </w:r>
      <w:r w:rsidR="00BE33F8" w:rsidRPr="00BE33F8">
        <w:rPr>
          <w:i/>
          <w:iCs/>
        </w:rPr>
        <w:t>Partnership Act 1958</w:t>
      </w:r>
      <w:r w:rsidR="00BE33F8" w:rsidRPr="00BE33F8">
        <w:t xml:space="preserve"> (Vic) s14 and s16 for loss resulting from wrongful acts or omissions of a partner acting in the ordinary course of business of the firm.</w:t>
      </w:r>
    </w:p>
    <w:p w14:paraId="46514183" w14:textId="77777777" w:rsidR="0084605B" w:rsidRDefault="0084605B" w:rsidP="0084605B">
      <w:pPr>
        <w:pStyle w:val="NoSpacing"/>
        <w:rPr>
          <w:b/>
          <w:u w:val="single"/>
        </w:rPr>
      </w:pPr>
    </w:p>
    <w:p w14:paraId="082E5467" w14:textId="77777777" w:rsidR="00B76D26" w:rsidRDefault="00BE33F8" w:rsidP="00B21502">
      <w:pPr>
        <w:pStyle w:val="NoSpacing"/>
        <w:numPr>
          <w:ilvl w:val="0"/>
          <w:numId w:val="40"/>
        </w:numPr>
      </w:pPr>
      <w:r w:rsidRPr="00BE33F8">
        <w:rPr>
          <w:b/>
          <w:u w:val="single"/>
        </w:rPr>
        <w:t>Exemption clauses</w:t>
      </w:r>
      <w:r w:rsidR="00B76D26">
        <w:t xml:space="preserve"> – </w:t>
      </w:r>
    </w:p>
    <w:p w14:paraId="586EB214" w14:textId="77777777" w:rsidR="00607F71" w:rsidRPr="00607F71" w:rsidRDefault="00607F71" w:rsidP="00607F71">
      <w:pPr>
        <w:pStyle w:val="NoSpacing"/>
        <w:ind w:left="1440"/>
      </w:pPr>
    </w:p>
    <w:p w14:paraId="44AE0CCF" w14:textId="4AA0717B" w:rsidR="00BE33F8" w:rsidRPr="00BE33F8" w:rsidRDefault="00BE33F8" w:rsidP="00B21502">
      <w:pPr>
        <w:pStyle w:val="NoSpacing"/>
        <w:numPr>
          <w:ilvl w:val="1"/>
          <w:numId w:val="40"/>
        </w:numPr>
      </w:pPr>
      <w:r w:rsidRPr="00BE33F8">
        <w:t>Liability cannot be excluded by such clauses : s 7.2.11(2) LPA i.e cannot modify the tortuous duty by terms of the retainer.</w:t>
      </w:r>
    </w:p>
    <w:p w14:paraId="39CBC493" w14:textId="77777777" w:rsidR="00B51E3D" w:rsidRDefault="00B51E3D" w:rsidP="00B51E3D">
      <w:pPr>
        <w:pStyle w:val="NoSpacing"/>
        <w:rPr>
          <w:bdr w:val="single" w:sz="4" w:space="0" w:color="auto" w:frame="1"/>
        </w:rPr>
      </w:pPr>
    </w:p>
    <w:p w14:paraId="7E43D8FF" w14:textId="77777777" w:rsidR="00B51E3D" w:rsidRDefault="00B51E3D" w:rsidP="00B51E3D">
      <w:pPr>
        <w:pStyle w:val="NoSpacing"/>
        <w:rPr>
          <w:bdr w:val="single" w:sz="4" w:space="0" w:color="auto" w:frame="1"/>
        </w:rPr>
      </w:pPr>
    </w:p>
    <w:p w14:paraId="0BE8ABC5" w14:textId="77777777" w:rsidR="00B51E3D" w:rsidRDefault="00B51E3D" w:rsidP="00B51E3D">
      <w:pPr>
        <w:pStyle w:val="NoSpacing"/>
        <w:rPr>
          <w:bdr w:val="single" w:sz="4" w:space="0" w:color="auto" w:frame="1"/>
        </w:rPr>
      </w:pPr>
    </w:p>
    <w:p w14:paraId="78126514" w14:textId="77777777" w:rsidR="00B51E3D" w:rsidRDefault="00B51E3D" w:rsidP="00B51E3D">
      <w:pPr>
        <w:pStyle w:val="NoSpacing"/>
        <w:rPr>
          <w:bdr w:val="single" w:sz="4" w:space="0" w:color="auto" w:frame="1"/>
        </w:rPr>
      </w:pPr>
    </w:p>
    <w:p w14:paraId="74BC992A" w14:textId="77777777" w:rsidR="00B51E3D" w:rsidRDefault="00B51E3D" w:rsidP="00B51E3D">
      <w:pPr>
        <w:pStyle w:val="NoSpacing"/>
        <w:rPr>
          <w:bdr w:val="single" w:sz="4" w:space="0" w:color="auto" w:frame="1"/>
        </w:rPr>
      </w:pPr>
    </w:p>
    <w:p w14:paraId="024CC57D" w14:textId="77777777" w:rsidR="00B51E3D" w:rsidRDefault="00B51E3D" w:rsidP="00B51E3D">
      <w:pPr>
        <w:pStyle w:val="NoSpacing"/>
        <w:rPr>
          <w:bdr w:val="single" w:sz="4" w:space="0" w:color="auto" w:frame="1"/>
        </w:rPr>
      </w:pPr>
    </w:p>
    <w:p w14:paraId="56410F2C" w14:textId="77777777" w:rsidR="00B51E3D" w:rsidRDefault="00B51E3D" w:rsidP="00B51E3D">
      <w:pPr>
        <w:pStyle w:val="NoSpacing"/>
        <w:rPr>
          <w:bdr w:val="single" w:sz="4" w:space="0" w:color="auto" w:frame="1"/>
        </w:rPr>
      </w:pPr>
    </w:p>
    <w:p w14:paraId="18EFDEC2" w14:textId="77777777" w:rsidR="00B51E3D" w:rsidRDefault="00B51E3D" w:rsidP="00B51E3D">
      <w:pPr>
        <w:pStyle w:val="NoSpacing"/>
        <w:rPr>
          <w:bdr w:val="single" w:sz="4" w:space="0" w:color="auto" w:frame="1"/>
        </w:rPr>
      </w:pPr>
    </w:p>
    <w:p w14:paraId="454185CD" w14:textId="77777777" w:rsidR="00B51E3D" w:rsidRDefault="00B51E3D" w:rsidP="00B51E3D">
      <w:pPr>
        <w:pStyle w:val="NoSpacing"/>
        <w:rPr>
          <w:bdr w:val="single" w:sz="4" w:space="0" w:color="auto" w:frame="1"/>
        </w:rPr>
      </w:pPr>
    </w:p>
    <w:p w14:paraId="7DB6F4B1" w14:textId="77777777" w:rsidR="00B51E3D" w:rsidRDefault="00B51E3D" w:rsidP="00B51E3D">
      <w:pPr>
        <w:pStyle w:val="NoSpacing"/>
        <w:rPr>
          <w:bdr w:val="single" w:sz="4" w:space="0" w:color="auto" w:frame="1"/>
        </w:rPr>
      </w:pPr>
    </w:p>
    <w:p w14:paraId="75892128" w14:textId="7EC98380" w:rsidR="00BE33F8" w:rsidRPr="00245FE6" w:rsidRDefault="00BE33F8" w:rsidP="00B51E3D">
      <w:pPr>
        <w:pStyle w:val="NoSpacing"/>
        <w:rPr>
          <w:b/>
          <w:u w:val="single"/>
        </w:rPr>
      </w:pPr>
      <w:r w:rsidRPr="00245FE6">
        <w:rPr>
          <w:b/>
          <w:u w:val="single"/>
        </w:rPr>
        <w:lastRenderedPageBreak/>
        <w:t xml:space="preserve">Liability in tort </w:t>
      </w:r>
      <w:r w:rsidR="009A5B45">
        <w:rPr>
          <w:b/>
          <w:u w:val="single"/>
        </w:rPr>
        <w:t>–</w:t>
      </w:r>
      <w:r w:rsidRPr="00245FE6">
        <w:rPr>
          <w:b/>
          <w:u w:val="single"/>
        </w:rPr>
        <w:t xml:space="preserve"> BARRISTERS</w:t>
      </w:r>
    </w:p>
    <w:p w14:paraId="0B6B2A92" w14:textId="77777777" w:rsidR="00752D32" w:rsidRDefault="00752D32" w:rsidP="00752D32">
      <w:pPr>
        <w:pStyle w:val="NoSpacing"/>
        <w:ind w:left="720"/>
      </w:pPr>
    </w:p>
    <w:p w14:paraId="28C9E974" w14:textId="7FDA7882" w:rsidR="00BE33F8" w:rsidRPr="00BE33F8" w:rsidRDefault="00705018" w:rsidP="00B21502">
      <w:pPr>
        <w:pStyle w:val="NoSpacing"/>
        <w:numPr>
          <w:ilvl w:val="0"/>
          <w:numId w:val="42"/>
        </w:numPr>
      </w:pPr>
      <w:r w:rsidRPr="00950844">
        <w:rPr>
          <w:i/>
        </w:rPr>
        <w:t>Barristerial</w:t>
      </w:r>
      <w:r w:rsidR="00C45CA1" w:rsidRPr="00950844">
        <w:rPr>
          <w:i/>
        </w:rPr>
        <w:t xml:space="preserve"> Immunity</w:t>
      </w:r>
      <w:r w:rsidR="00C45CA1">
        <w:rPr>
          <w:i/>
        </w:rPr>
        <w:t xml:space="preserve"> – </w:t>
      </w:r>
      <w:r w:rsidR="00BE33F8" w:rsidRPr="00BE33F8">
        <w:t xml:space="preserve">Barristers and solicitor advocates (who do court work) have immunity from being sued in negligence </w:t>
      </w:r>
    </w:p>
    <w:p w14:paraId="0048FEFF" w14:textId="77777777" w:rsidR="00752D32" w:rsidRDefault="00752D32" w:rsidP="00752D32">
      <w:pPr>
        <w:pStyle w:val="NoSpacing"/>
        <w:ind w:left="720"/>
      </w:pPr>
    </w:p>
    <w:p w14:paraId="650DCC99" w14:textId="00537763" w:rsidR="00BE33F8" w:rsidRPr="00BE33F8" w:rsidRDefault="00BE33F8" w:rsidP="00B21502">
      <w:pPr>
        <w:pStyle w:val="NoSpacing"/>
        <w:numPr>
          <w:ilvl w:val="1"/>
          <w:numId w:val="42"/>
        </w:numPr>
      </w:pPr>
      <w:r w:rsidRPr="00245FE6">
        <w:rPr>
          <w:b/>
          <w:i/>
        </w:rPr>
        <w:t>Court work</w:t>
      </w:r>
      <w:r w:rsidR="00AC554F">
        <w:t xml:space="preserve"> –</w:t>
      </w:r>
      <w:r w:rsidRPr="00BE33F8">
        <w:t xml:space="preserve"> preparation of court documents, court proceedings</w:t>
      </w:r>
    </w:p>
    <w:p w14:paraId="49E30785" w14:textId="79EAE237" w:rsidR="005324E6" w:rsidRDefault="00BE33F8" w:rsidP="00B21502">
      <w:pPr>
        <w:pStyle w:val="NoSpacing"/>
        <w:numPr>
          <w:ilvl w:val="1"/>
          <w:numId w:val="42"/>
        </w:numPr>
      </w:pPr>
      <w:r w:rsidRPr="00AC554F">
        <w:rPr>
          <w:b/>
          <w:i/>
        </w:rPr>
        <w:t>Covers tort and contract</w:t>
      </w:r>
      <w:r w:rsidRPr="00BE33F8">
        <w:t xml:space="preserve"> – i.e complete immunity</w:t>
      </w:r>
    </w:p>
    <w:p w14:paraId="42F55A48" w14:textId="77777777" w:rsidR="00FF59F0" w:rsidRDefault="00FF59F0" w:rsidP="00FF59F0">
      <w:pPr>
        <w:pStyle w:val="NoSpacing"/>
      </w:pPr>
    </w:p>
    <w:p w14:paraId="0447FEB1" w14:textId="4B679E77" w:rsidR="00BE33F8" w:rsidRPr="00D43C27" w:rsidRDefault="00BE33F8" w:rsidP="00B21502">
      <w:pPr>
        <w:pStyle w:val="NoSpacing"/>
        <w:numPr>
          <w:ilvl w:val="0"/>
          <w:numId w:val="42"/>
        </w:numPr>
      </w:pPr>
      <w:r w:rsidRPr="00D43C27">
        <w:rPr>
          <w:b/>
        </w:rPr>
        <w:t>Rational for immunity</w:t>
      </w:r>
      <w:r w:rsidRPr="00D43C27">
        <w:t xml:space="preserve">: </w:t>
      </w:r>
      <w:r w:rsidR="009A5B45">
        <w:t>–</w:t>
      </w:r>
      <w:r w:rsidRPr="00D43C27">
        <w:t xml:space="preserve"> </w:t>
      </w:r>
      <w:r w:rsidRPr="00D43C27">
        <w:rPr>
          <w:i/>
          <w:iCs/>
          <w:u w:val="single"/>
        </w:rPr>
        <w:t>Rondel</w:t>
      </w:r>
      <w:r w:rsidRPr="00D43C27">
        <w:rPr>
          <w:i/>
          <w:iCs/>
        </w:rPr>
        <w:t xml:space="preserve"> v </w:t>
      </w:r>
      <w:r w:rsidRPr="00D43C27">
        <w:rPr>
          <w:i/>
          <w:iCs/>
          <w:u w:val="single"/>
        </w:rPr>
        <w:t>Worsley</w:t>
      </w:r>
      <w:r w:rsidRPr="00D43C27">
        <w:t xml:space="preserve"> [1969] 1 AC 191 per Lord Reid</w:t>
      </w:r>
      <w:r w:rsidR="007B165B">
        <w:t xml:space="preserve"> which was applied in </w:t>
      </w:r>
      <w:r w:rsidR="007B165B">
        <w:rPr>
          <w:i/>
        </w:rPr>
        <w:t xml:space="preserve">Giannarelli v Wraith </w:t>
      </w:r>
      <w:r w:rsidR="00073F5F">
        <w:t>in the Australian High Court</w:t>
      </w:r>
    </w:p>
    <w:p w14:paraId="51C9D129" w14:textId="77777777" w:rsidR="001E4686" w:rsidRDefault="001E4686" w:rsidP="00FF59F0">
      <w:pPr>
        <w:pStyle w:val="NoSpacing"/>
      </w:pPr>
    </w:p>
    <w:p w14:paraId="59028159" w14:textId="0C61C457" w:rsidR="00BE33F8" w:rsidRDefault="00BE33F8" w:rsidP="001E4686">
      <w:pPr>
        <w:pStyle w:val="NoSpacing"/>
        <w:ind w:left="720"/>
      </w:pPr>
      <w:r w:rsidRPr="00BE33F8">
        <w:t>‘It is impossible to expect an advocate to prune his case of irrelevancies against a client’s wishes if he faces an action for negligence when he does so. Prudence will always be prompting to ask every question and produce every piece of evidence that his client wishes, in order to avoid the risk of getting involved [in an action against him/herself]… it is difficult and it needs courage in an advocate to disregard irrelevancies which a forceful client wishes him to pursue.</w:t>
      </w:r>
      <w:r w:rsidR="001E4686">
        <w:t>’</w:t>
      </w:r>
      <w:r w:rsidRPr="00BE33F8">
        <w:t xml:space="preserve"> </w:t>
      </w:r>
    </w:p>
    <w:p w14:paraId="4669F6D3" w14:textId="77777777" w:rsidR="001E4686" w:rsidRPr="00BE33F8" w:rsidRDefault="001E4686" w:rsidP="00FF59F0">
      <w:pPr>
        <w:pStyle w:val="NoSpacing"/>
      </w:pPr>
    </w:p>
    <w:p w14:paraId="6F263EA7" w14:textId="53F854CB" w:rsidR="00EF0D90" w:rsidRDefault="00EF0D90" w:rsidP="00B21502">
      <w:pPr>
        <w:pStyle w:val="NoSpacing"/>
        <w:numPr>
          <w:ilvl w:val="1"/>
          <w:numId w:val="42"/>
        </w:numPr>
      </w:pPr>
      <w:r>
        <w:rPr>
          <w:i/>
        </w:rPr>
        <w:t xml:space="preserve">Threat from Public Interest &amp; Administration of Justice – </w:t>
      </w:r>
      <w:r>
        <w:t xml:space="preserve">Unsuccessful litigants could bring an action to show that ‘but for’ their barristers negligence, they would have obtained a more favourable result which would create significant difficulties in the administration of justice per </w:t>
      </w:r>
      <w:r>
        <w:rPr>
          <w:i/>
        </w:rPr>
        <w:t xml:space="preserve">Giannarelli v Wraith </w:t>
      </w:r>
      <w:r w:rsidRPr="00527D59">
        <w:t>per Wilson &amp; Deane JJ</w:t>
      </w:r>
    </w:p>
    <w:p w14:paraId="78D9C649" w14:textId="77777777" w:rsidR="00EF0D90" w:rsidRPr="00BE33F8" w:rsidRDefault="00EF0D90" w:rsidP="00EF0D90">
      <w:pPr>
        <w:pStyle w:val="NoSpacing"/>
        <w:ind w:left="1440"/>
      </w:pPr>
    </w:p>
    <w:p w14:paraId="6ED59624" w14:textId="5C9B7C31" w:rsidR="00D1549B" w:rsidRDefault="00EF1912" w:rsidP="00B21502">
      <w:pPr>
        <w:pStyle w:val="NoSpacing"/>
        <w:numPr>
          <w:ilvl w:val="1"/>
          <w:numId w:val="42"/>
        </w:numPr>
      </w:pPr>
      <w:r>
        <w:rPr>
          <w:i/>
        </w:rPr>
        <w:t xml:space="preserve">Good Advocacy– </w:t>
      </w:r>
      <w:r w:rsidR="00BE33F8" w:rsidRPr="00BE33F8">
        <w:t xml:space="preserve">a case is cut down to its </w:t>
      </w:r>
      <w:r w:rsidR="00D1549B" w:rsidRPr="00BE33F8">
        <w:t>essentials;</w:t>
      </w:r>
      <w:r w:rsidR="00BE33F8" w:rsidRPr="00BE33F8">
        <w:t xml:space="preserve"> it is more manageable and more likely to be justly decided by judge or jury. </w:t>
      </w:r>
    </w:p>
    <w:p w14:paraId="545837EC" w14:textId="77777777" w:rsidR="00EF0D90" w:rsidRDefault="00EF0D90" w:rsidP="00EF0D90">
      <w:pPr>
        <w:pStyle w:val="NoSpacing"/>
        <w:ind w:left="1440"/>
      </w:pPr>
    </w:p>
    <w:p w14:paraId="55607AD3" w14:textId="4D04990A" w:rsidR="00BE33F8" w:rsidRDefault="00D1549B" w:rsidP="00B21502">
      <w:pPr>
        <w:pStyle w:val="NoSpacing"/>
        <w:numPr>
          <w:ilvl w:val="1"/>
          <w:numId w:val="42"/>
        </w:numPr>
      </w:pPr>
      <w:r w:rsidRPr="00D1549B">
        <w:rPr>
          <w:i/>
        </w:rPr>
        <w:t>T</w:t>
      </w:r>
      <w:r w:rsidR="00BE33F8" w:rsidRPr="00D1549B">
        <w:rPr>
          <w:i/>
        </w:rPr>
        <w:t>ime</w:t>
      </w:r>
      <w:r w:rsidR="00BE33F8" w:rsidRPr="00BE33F8">
        <w:t xml:space="preserve"> (and consequently th</w:t>
      </w:r>
      <w:r w:rsidR="000F1D6E">
        <w:t>e cost) – is greatly diminished o</w:t>
      </w:r>
      <w:r w:rsidR="00BE33F8" w:rsidRPr="00BE33F8">
        <w:t>therwise barristers will compromise their duties to the court to please their clients – need to go against client’s instructions</w:t>
      </w:r>
    </w:p>
    <w:p w14:paraId="7154C6BE" w14:textId="77777777" w:rsidR="00BE33F8" w:rsidRPr="00BE33F8" w:rsidRDefault="00BE33F8" w:rsidP="00BE33F8">
      <w:pPr>
        <w:keepNext/>
        <w:tabs>
          <w:tab w:val="left" w:pos="1350"/>
        </w:tabs>
        <w:rPr>
          <w:lang w:val="en-AU"/>
        </w:rPr>
      </w:pPr>
    </w:p>
    <w:p w14:paraId="5C595BE9" w14:textId="0A9E1DBA" w:rsidR="00BE33F8" w:rsidRDefault="00C02E7E" w:rsidP="00B21502">
      <w:pPr>
        <w:pStyle w:val="NoSpacing"/>
        <w:numPr>
          <w:ilvl w:val="0"/>
          <w:numId w:val="42"/>
        </w:numPr>
      </w:pPr>
      <w:r>
        <w:rPr>
          <w:i/>
        </w:rPr>
        <w:t xml:space="preserve">Cannot attempt to avoid negligence – </w:t>
      </w:r>
      <w:r w:rsidR="00BE33F8" w:rsidRPr="00BE33F8">
        <w:t>Barristers need to take a case – cannot refuse a case to avoid negligence</w:t>
      </w:r>
    </w:p>
    <w:p w14:paraId="6EE72350" w14:textId="19C87E5C" w:rsidR="00C02E7E" w:rsidRPr="00BE33F8" w:rsidRDefault="00C02E7E" w:rsidP="00B21502">
      <w:pPr>
        <w:pStyle w:val="NoSpacing"/>
        <w:numPr>
          <w:ilvl w:val="1"/>
          <w:numId w:val="42"/>
        </w:numPr>
      </w:pPr>
      <w:r w:rsidRPr="00A93D46">
        <w:rPr>
          <w:b/>
          <w:i/>
        </w:rPr>
        <w:t>See Cab</w:t>
      </w:r>
      <w:r w:rsidR="009A5B45">
        <w:rPr>
          <w:b/>
          <w:i/>
        </w:rPr>
        <w:t>–</w:t>
      </w:r>
      <w:r w:rsidRPr="00A93D46">
        <w:rPr>
          <w:b/>
          <w:i/>
        </w:rPr>
        <w:t>Rank rule</w:t>
      </w:r>
      <w:r w:rsidR="00A93D46">
        <w:t xml:space="preserve"> </w:t>
      </w:r>
      <w:r w:rsidR="00A93D46" w:rsidRPr="00A93D46">
        <w:rPr>
          <w:b/>
        </w:rPr>
        <w:t>[above]</w:t>
      </w:r>
    </w:p>
    <w:p w14:paraId="7AF1BCD4" w14:textId="77777777" w:rsidR="00A93D46" w:rsidRPr="00A93D46" w:rsidRDefault="00A93D46" w:rsidP="00A93D46">
      <w:pPr>
        <w:pStyle w:val="NoSpacing"/>
        <w:ind w:left="1440"/>
        <w:rPr>
          <w:i/>
          <w:iCs/>
        </w:rPr>
      </w:pPr>
    </w:p>
    <w:p w14:paraId="093AE269" w14:textId="3A471041" w:rsidR="00BE33F8" w:rsidRPr="00A93D46" w:rsidRDefault="00ED73DC" w:rsidP="00B21502">
      <w:pPr>
        <w:pStyle w:val="NoSpacing"/>
        <w:numPr>
          <w:ilvl w:val="0"/>
          <w:numId w:val="42"/>
        </w:numPr>
        <w:rPr>
          <w:i/>
          <w:iCs/>
        </w:rPr>
      </w:pPr>
      <w:r>
        <w:rPr>
          <w:i/>
        </w:rPr>
        <w:t xml:space="preserve">Boland v Yates – </w:t>
      </w:r>
      <w:r w:rsidR="00E25D32">
        <w:t>Referred</w:t>
      </w:r>
      <w:r w:rsidR="00BE33F8" w:rsidRPr="00A93D46">
        <w:t xml:space="preserve"> to again by the High Court in 1999 in </w:t>
      </w:r>
      <w:r w:rsidR="00BE33F8" w:rsidRPr="00A93D46">
        <w:rPr>
          <w:i/>
          <w:iCs/>
        </w:rPr>
        <w:t>Boland v Yates</w:t>
      </w:r>
    </w:p>
    <w:p w14:paraId="330C86B3" w14:textId="073A2656" w:rsidR="00BE33F8" w:rsidRPr="00BE33F8" w:rsidRDefault="00BE33F8" w:rsidP="00B21502">
      <w:pPr>
        <w:pStyle w:val="NoSpacing"/>
        <w:numPr>
          <w:ilvl w:val="1"/>
          <w:numId w:val="42"/>
        </w:numPr>
      </w:pPr>
      <w:r w:rsidRPr="00BE33F8">
        <w:t>Court found no negligence, therefore did not find it necessary to comment on the question of immunity</w:t>
      </w:r>
      <w:r w:rsidR="00C157D9">
        <w:t>.</w:t>
      </w:r>
      <w:r w:rsidRPr="00BE33F8">
        <w:t xml:space="preserve"> </w:t>
      </w:r>
    </w:p>
    <w:p w14:paraId="3AF7F740" w14:textId="77777777" w:rsidR="00287510" w:rsidRDefault="00287510" w:rsidP="00287510">
      <w:pPr>
        <w:pStyle w:val="NoSpacing"/>
        <w:ind w:left="1440"/>
      </w:pPr>
    </w:p>
    <w:p w14:paraId="02984F7B" w14:textId="21A05C33" w:rsidR="00BE33F8" w:rsidRPr="00BE33F8" w:rsidRDefault="00BE33F8" w:rsidP="00B21502">
      <w:pPr>
        <w:pStyle w:val="NoSpacing"/>
        <w:numPr>
          <w:ilvl w:val="1"/>
          <w:numId w:val="42"/>
        </w:numPr>
      </w:pPr>
      <w:r w:rsidRPr="00BE33F8">
        <w:t>Kirby J was prepared to express a view about the immunity</w:t>
      </w:r>
      <w:r w:rsidR="007F4638">
        <w:t>:</w:t>
      </w:r>
    </w:p>
    <w:p w14:paraId="282DDBFB" w14:textId="29594FB3" w:rsidR="00BE33F8" w:rsidRPr="00BE33F8" w:rsidRDefault="00C874C4" w:rsidP="00B21502">
      <w:pPr>
        <w:pStyle w:val="NoSpacing"/>
        <w:numPr>
          <w:ilvl w:val="2"/>
          <w:numId w:val="42"/>
        </w:numPr>
      </w:pPr>
      <w:r>
        <w:rPr>
          <w:i/>
        </w:rPr>
        <w:t xml:space="preserve">Conduct in Court – </w:t>
      </w:r>
      <w:r w:rsidR="00C32850">
        <w:t>I</w:t>
      </w:r>
      <w:r w:rsidR="00BE33F8" w:rsidRPr="00BE33F8">
        <w:t xml:space="preserve">t was appropriate for the immunity to cover barristers </w:t>
      </w:r>
      <w:r w:rsidR="00BE33F8" w:rsidRPr="00BE33F8">
        <w:rPr>
          <w:u w:val="single"/>
        </w:rPr>
        <w:t>and</w:t>
      </w:r>
      <w:r w:rsidR="00BE33F8" w:rsidRPr="00BE33F8">
        <w:t xml:space="preserve"> solicitor</w:t>
      </w:r>
      <w:r w:rsidR="009A5B45">
        <w:t>–</w:t>
      </w:r>
      <w:r w:rsidR="00BE33F8" w:rsidRPr="00BE33F8">
        <w:t xml:space="preserve">advocates but would have confined </w:t>
      </w:r>
      <w:r w:rsidR="00BE33F8" w:rsidRPr="00BE33F8">
        <w:rPr>
          <w:i/>
          <w:iCs/>
        </w:rPr>
        <w:t>Giannarelli</w:t>
      </w:r>
      <w:r w:rsidR="00BE33F8" w:rsidRPr="00BE33F8">
        <w:t xml:space="preserve"> on the basis that it concerned criminal proceedings and the alleged negligent conduct was in the course of conducting a case in court.</w:t>
      </w:r>
    </w:p>
    <w:p w14:paraId="025CEBCE" w14:textId="735B7E89" w:rsidR="00BE33F8" w:rsidRPr="00BE33F8" w:rsidRDefault="00025F96" w:rsidP="00B21502">
      <w:pPr>
        <w:pStyle w:val="NoSpacing"/>
        <w:numPr>
          <w:ilvl w:val="2"/>
          <w:numId w:val="42"/>
        </w:numPr>
      </w:pPr>
      <w:r>
        <w:rPr>
          <w:i/>
        </w:rPr>
        <w:t xml:space="preserve">Only Immunity in Court &amp; </w:t>
      </w:r>
      <w:r w:rsidR="006B30AA">
        <w:rPr>
          <w:i/>
        </w:rPr>
        <w:t>N</w:t>
      </w:r>
      <w:r>
        <w:rPr>
          <w:i/>
        </w:rPr>
        <w:t xml:space="preserve">owhere Else – </w:t>
      </w:r>
      <w:r w:rsidR="00BE33F8" w:rsidRPr="00BE33F8">
        <w:t>Immunity should be limited to court room and not to other activities.</w:t>
      </w:r>
    </w:p>
    <w:p w14:paraId="15E3D686" w14:textId="77777777" w:rsidR="005A4EB7" w:rsidRPr="00BE33F8" w:rsidRDefault="005A4EB7" w:rsidP="00BE33F8">
      <w:pPr>
        <w:pStyle w:val="NoSpacing"/>
        <w:rPr>
          <w:rFonts w:cs="Times New Roman"/>
          <w:szCs w:val="24"/>
        </w:rPr>
      </w:pPr>
    </w:p>
    <w:p w14:paraId="41CEEA1E" w14:textId="77777777" w:rsidR="00BE33F8" w:rsidRPr="00BE33F8" w:rsidRDefault="00BE33F8" w:rsidP="00BE33F8">
      <w:pPr>
        <w:pStyle w:val="NoSpacing"/>
        <w:rPr>
          <w:rFonts w:cs="Times New Roman"/>
          <w:szCs w:val="24"/>
        </w:rPr>
      </w:pPr>
    </w:p>
    <w:p w14:paraId="39F86827" w14:textId="77777777" w:rsidR="00BE33F8" w:rsidRPr="00BE33F8" w:rsidRDefault="00BE33F8" w:rsidP="00BE33F8">
      <w:pPr>
        <w:pStyle w:val="NoSpacing"/>
        <w:rPr>
          <w:rFonts w:cs="Times New Roman"/>
          <w:szCs w:val="24"/>
        </w:rPr>
      </w:pPr>
    </w:p>
    <w:p w14:paraId="09C07630" w14:textId="77777777" w:rsidR="00BE33F8" w:rsidRPr="00BE33F8" w:rsidRDefault="00BE33F8" w:rsidP="00BE33F8">
      <w:pPr>
        <w:pStyle w:val="NoSpacing"/>
        <w:rPr>
          <w:rFonts w:cs="Times New Roman"/>
          <w:szCs w:val="24"/>
        </w:rPr>
      </w:pPr>
    </w:p>
    <w:p w14:paraId="3782D6FF" w14:textId="77777777" w:rsidR="00BE33F8" w:rsidRDefault="00BE33F8" w:rsidP="00BE33F8">
      <w:pPr>
        <w:pStyle w:val="NoSpacing"/>
        <w:rPr>
          <w:rFonts w:cs="Times New Roman"/>
          <w:szCs w:val="24"/>
        </w:rPr>
      </w:pPr>
    </w:p>
    <w:p w14:paraId="317EBA06" w14:textId="77777777" w:rsidR="00BE33F8" w:rsidRDefault="00BE33F8" w:rsidP="00BE33F8">
      <w:pPr>
        <w:pStyle w:val="NoSpacing"/>
        <w:rPr>
          <w:rFonts w:cs="Times New Roman"/>
          <w:szCs w:val="24"/>
        </w:rPr>
      </w:pPr>
    </w:p>
    <w:p w14:paraId="2E1F89FB" w14:textId="2B2490E0" w:rsidR="003A076A" w:rsidRDefault="00C05A4A" w:rsidP="003A076A">
      <w:pPr>
        <w:pStyle w:val="NoSpacing"/>
        <w:rPr>
          <w:rFonts w:cs="Times New Roman"/>
          <w:b/>
          <w:sz w:val="36"/>
          <w:szCs w:val="36"/>
          <w:u w:val="single"/>
        </w:rPr>
      </w:pPr>
      <w:r>
        <w:rPr>
          <w:rFonts w:cs="Times New Roman"/>
          <w:b/>
          <w:sz w:val="36"/>
          <w:szCs w:val="36"/>
          <w:u w:val="single"/>
        </w:rPr>
        <w:lastRenderedPageBreak/>
        <w:t>Special Duties in Criminal | Civil Context</w:t>
      </w:r>
    </w:p>
    <w:p w14:paraId="2D762003" w14:textId="77777777" w:rsidR="003A076A" w:rsidRDefault="003A076A" w:rsidP="007E141A">
      <w:pPr>
        <w:pStyle w:val="NoSpacing"/>
        <w:rPr>
          <w:rFonts w:cs="Times New Roman"/>
          <w:szCs w:val="24"/>
        </w:rPr>
      </w:pPr>
    </w:p>
    <w:p w14:paraId="513DC4CB" w14:textId="14F844ED" w:rsidR="00056395" w:rsidRPr="003034E9" w:rsidRDefault="00056395" w:rsidP="007E141A">
      <w:pPr>
        <w:pStyle w:val="NoSpacing"/>
        <w:rPr>
          <w:rFonts w:cs="Times New Roman"/>
          <w:b/>
          <w:szCs w:val="24"/>
          <w:u w:val="single"/>
        </w:rPr>
      </w:pPr>
      <w:r w:rsidRPr="003034E9">
        <w:rPr>
          <w:rFonts w:cs="Times New Roman"/>
          <w:b/>
          <w:szCs w:val="24"/>
          <w:u w:val="single"/>
        </w:rPr>
        <w:t xml:space="preserve">Duties of Prosecution Counsel </w:t>
      </w:r>
    </w:p>
    <w:p w14:paraId="1CCCF915" w14:textId="77777777" w:rsidR="00056395" w:rsidRPr="00056395" w:rsidRDefault="00056395" w:rsidP="00056395">
      <w:pPr>
        <w:pStyle w:val="NoSpacing"/>
        <w:ind w:left="720"/>
      </w:pPr>
    </w:p>
    <w:p w14:paraId="297ABC1B" w14:textId="1FB48284" w:rsidR="00DA54E5" w:rsidRPr="002F1C51" w:rsidRDefault="00DA54E5" w:rsidP="0069421D">
      <w:pPr>
        <w:pStyle w:val="NoSpacing"/>
        <w:numPr>
          <w:ilvl w:val="0"/>
          <w:numId w:val="96"/>
        </w:numPr>
      </w:pPr>
      <w:r w:rsidRPr="00DA54E5">
        <w:rPr>
          <w:b/>
          <w:i/>
        </w:rPr>
        <w:t>Duties of prosecution counsel</w:t>
      </w:r>
      <w:r w:rsidR="003034E9">
        <w:rPr>
          <w:b/>
          <w:i/>
        </w:rPr>
        <w:t xml:space="preserve"> </w:t>
      </w:r>
      <w:r w:rsidR="003034E9" w:rsidRPr="005C22FD">
        <w:rPr>
          <w:rFonts w:cs="Times New Roman"/>
          <w:szCs w:val="24"/>
          <w:u w:val="single"/>
        </w:rPr>
        <w:t xml:space="preserve">– </w:t>
      </w:r>
      <w:r w:rsidR="003034E9" w:rsidRPr="005C22FD">
        <w:rPr>
          <w:i/>
          <w:u w:val="single"/>
        </w:rPr>
        <w:t>PCPR  20.1</w:t>
      </w:r>
      <w:r w:rsidR="00E42410">
        <w:rPr>
          <w:i/>
          <w:u w:val="single"/>
        </w:rPr>
        <w:t>–</w:t>
      </w:r>
      <w:r w:rsidR="003034E9" w:rsidRPr="005C22FD">
        <w:rPr>
          <w:i/>
          <w:u w:val="single"/>
        </w:rPr>
        <w:t>20.4, 20.10 and 20.12, Vic Bar R134</w:t>
      </w:r>
      <w:r w:rsidR="00E42410">
        <w:rPr>
          <w:i/>
          <w:u w:val="single"/>
        </w:rPr>
        <w:t>–</w:t>
      </w:r>
      <w:r w:rsidR="003034E9" w:rsidRPr="005C22FD">
        <w:rPr>
          <w:i/>
          <w:u w:val="single"/>
        </w:rPr>
        <w:t>164</w:t>
      </w:r>
    </w:p>
    <w:p w14:paraId="76DF61FD" w14:textId="77777777" w:rsidR="002F1C51" w:rsidRPr="00DA54E5" w:rsidRDefault="002F1C51" w:rsidP="002F1C51">
      <w:pPr>
        <w:pStyle w:val="NoSpacing"/>
        <w:ind w:left="720"/>
      </w:pPr>
    </w:p>
    <w:p w14:paraId="63A18849" w14:textId="77777777" w:rsidR="00DA54E5" w:rsidRDefault="00DA54E5" w:rsidP="0069421D">
      <w:pPr>
        <w:pStyle w:val="NoSpacing"/>
        <w:numPr>
          <w:ilvl w:val="0"/>
          <w:numId w:val="96"/>
        </w:numPr>
      </w:pPr>
      <w:r w:rsidRPr="00630C91">
        <w:rPr>
          <w:b/>
          <w:i/>
        </w:rPr>
        <w:t>Duty of fairness and impartiality</w:t>
      </w:r>
      <w:r w:rsidR="006A5E6F">
        <w:rPr>
          <w:b/>
        </w:rPr>
        <w:t xml:space="preserve"> </w:t>
      </w:r>
      <w:r w:rsidR="00850005">
        <w:rPr>
          <w:b/>
        </w:rPr>
        <w:t>–</w:t>
      </w:r>
      <w:r w:rsidR="00850005" w:rsidRPr="00850005">
        <w:t xml:space="preserve"> </w:t>
      </w:r>
      <w:r w:rsidR="002F1C51">
        <w:t xml:space="preserve">PCPR 20.1; </w:t>
      </w:r>
      <w:r w:rsidR="00850005" w:rsidRPr="00DA54E5">
        <w:t>BR 134</w:t>
      </w:r>
      <w:r w:rsidR="00850005">
        <w:t xml:space="preserve"> –</w:t>
      </w:r>
      <w:r w:rsidRPr="00DA54E5">
        <w:t>Prosecutors are representing the State and must act with fairness and detachment / impartiality and with the objective of establishing the truth in accordance with the procedures and standards required by law</w:t>
      </w:r>
      <w:r w:rsidR="00CF0D54">
        <w:t xml:space="preserve">. </w:t>
      </w:r>
      <w:r w:rsidRPr="00DA54E5">
        <w:t xml:space="preserve"> </w:t>
      </w:r>
    </w:p>
    <w:p w14:paraId="6F5A4144" w14:textId="77777777" w:rsidR="00C40DDE" w:rsidRDefault="00C40DDE" w:rsidP="00C40DDE">
      <w:pPr>
        <w:pStyle w:val="ListParagraph"/>
      </w:pPr>
    </w:p>
    <w:p w14:paraId="2761D5F8" w14:textId="685BB520" w:rsidR="00C40DDE" w:rsidRDefault="00C40DDE" w:rsidP="0069421D">
      <w:pPr>
        <w:pStyle w:val="NoSpacing"/>
        <w:numPr>
          <w:ilvl w:val="1"/>
          <w:numId w:val="96"/>
        </w:numPr>
      </w:pPr>
      <w:r>
        <w:rPr>
          <w:i/>
        </w:rPr>
        <w:t xml:space="preserve">Sex Offences </w:t>
      </w:r>
      <w:r>
        <w:t xml:space="preserve">– </w:t>
      </w:r>
      <w:r w:rsidR="00DC7A99">
        <w:t>Particularly</w:t>
      </w:r>
      <w:r>
        <w:t xml:space="preserve"> in sex offence cases where the jury may already be prejudiced against the defendant.</w:t>
      </w:r>
    </w:p>
    <w:p w14:paraId="50FF8411" w14:textId="77777777" w:rsidR="00714E17" w:rsidRPr="00714E17" w:rsidRDefault="00714E17" w:rsidP="00714E17">
      <w:pPr>
        <w:pStyle w:val="NoSpacing"/>
        <w:ind w:left="720"/>
      </w:pPr>
    </w:p>
    <w:p w14:paraId="16A633D7" w14:textId="522C6122" w:rsidR="00C4441C" w:rsidRDefault="00714E17" w:rsidP="0069421D">
      <w:pPr>
        <w:pStyle w:val="NoSpacing"/>
        <w:numPr>
          <w:ilvl w:val="0"/>
          <w:numId w:val="96"/>
        </w:numPr>
      </w:pPr>
      <w:r w:rsidRPr="00630C91">
        <w:rPr>
          <w:b/>
          <w:i/>
        </w:rPr>
        <w:t>Avoidance of Bias against the Accused</w:t>
      </w:r>
      <w:r w:rsidR="003005FF">
        <w:rPr>
          <w:i/>
        </w:rPr>
        <w:t xml:space="preserve"> – </w:t>
      </w:r>
      <w:r w:rsidR="00D830E0">
        <w:rPr>
          <w:i/>
        </w:rPr>
        <w:t xml:space="preserve">BR18; </w:t>
      </w:r>
      <w:r w:rsidR="007C4624">
        <w:rPr>
          <w:i/>
        </w:rPr>
        <w:t xml:space="preserve">PCPR 20.3 </w:t>
      </w:r>
      <w:r>
        <w:rPr>
          <w:i/>
        </w:rPr>
        <w:t xml:space="preserve">– </w:t>
      </w:r>
      <w:r w:rsidR="00CF0D54" w:rsidRPr="00DA54E5">
        <w:t>Prosecutors must avoid giving their own reaction to the evidence led on behalf of the accused</w:t>
      </w:r>
      <w:r w:rsidR="00180C6A">
        <w:t xml:space="preserve"> as these are irrelevant. Such as</w:t>
      </w:r>
      <w:r w:rsidR="00CF0D54" w:rsidRPr="00DA54E5">
        <w:t xml:space="preserve"> </w:t>
      </w:r>
    </w:p>
    <w:p w14:paraId="4DC545BF" w14:textId="258A4897" w:rsidR="00180C6A" w:rsidRDefault="00C4441C" w:rsidP="0069421D">
      <w:pPr>
        <w:pStyle w:val="NoSpacing"/>
        <w:numPr>
          <w:ilvl w:val="1"/>
          <w:numId w:val="96"/>
        </w:numPr>
      </w:pPr>
      <w:r>
        <w:t>On p</w:t>
      </w:r>
      <w:r w:rsidR="00CF0D54" w:rsidRPr="00DA54E5">
        <w:t xml:space="preserve">ersonal opinions or convictions on issues of fact; </w:t>
      </w:r>
    </w:p>
    <w:p w14:paraId="24117ED7" w14:textId="1762156A" w:rsidR="00180C6A" w:rsidRDefault="00F36AEB" w:rsidP="0069421D">
      <w:pPr>
        <w:pStyle w:val="NoSpacing"/>
        <w:numPr>
          <w:ilvl w:val="1"/>
          <w:numId w:val="96"/>
        </w:numPr>
      </w:pPr>
      <w:r>
        <w:t xml:space="preserve">On </w:t>
      </w:r>
      <w:r w:rsidR="00CF0D54" w:rsidRPr="00DA54E5">
        <w:t xml:space="preserve">the credibility of witnesses and </w:t>
      </w:r>
    </w:p>
    <w:p w14:paraId="6581D8D3" w14:textId="23FF6A2B" w:rsidR="00CF0D54" w:rsidRDefault="00F36AEB" w:rsidP="0069421D">
      <w:pPr>
        <w:pStyle w:val="NoSpacing"/>
        <w:numPr>
          <w:ilvl w:val="1"/>
          <w:numId w:val="96"/>
        </w:numPr>
      </w:pPr>
      <w:r>
        <w:t xml:space="preserve">On </w:t>
      </w:r>
      <w:r w:rsidR="00CF0D54" w:rsidRPr="00DA54E5">
        <w:t>the guil</w:t>
      </w:r>
      <w:r w:rsidR="00180C6A">
        <w:t>t and character of the accused</w:t>
      </w:r>
    </w:p>
    <w:p w14:paraId="06039DF7" w14:textId="77777777" w:rsidR="00180C6A" w:rsidRDefault="00180C6A" w:rsidP="00180C6A">
      <w:pPr>
        <w:pStyle w:val="NoSpacing"/>
        <w:ind w:left="1440"/>
      </w:pPr>
    </w:p>
    <w:p w14:paraId="3D82DBF6" w14:textId="3667F7D7" w:rsidR="005902F4" w:rsidRDefault="00285F11" w:rsidP="0069421D">
      <w:pPr>
        <w:pStyle w:val="NoSpacing"/>
        <w:numPr>
          <w:ilvl w:val="0"/>
          <w:numId w:val="96"/>
        </w:numPr>
      </w:pPr>
      <w:r>
        <w:rPr>
          <w:b/>
          <w:i/>
        </w:rPr>
        <w:t xml:space="preserve">Cannot press </w:t>
      </w:r>
      <w:r w:rsidR="008014C0">
        <w:rPr>
          <w:b/>
          <w:i/>
        </w:rPr>
        <w:t xml:space="preserve">‘hard’ </w:t>
      </w:r>
      <w:r>
        <w:rPr>
          <w:b/>
          <w:i/>
        </w:rPr>
        <w:t xml:space="preserve">for </w:t>
      </w:r>
      <w:r w:rsidR="008014C0">
        <w:rPr>
          <w:b/>
          <w:i/>
        </w:rPr>
        <w:t xml:space="preserve">a </w:t>
      </w:r>
      <w:r>
        <w:rPr>
          <w:b/>
          <w:i/>
        </w:rPr>
        <w:t>conviction –</w:t>
      </w:r>
      <w:r w:rsidR="008014C0">
        <w:rPr>
          <w:b/>
          <w:i/>
        </w:rPr>
        <w:t xml:space="preserve"> </w:t>
      </w:r>
      <w:r w:rsidR="00096645" w:rsidRPr="00894B97">
        <w:rPr>
          <w:i/>
        </w:rPr>
        <w:t>PCPR 20.2;</w:t>
      </w:r>
      <w:r w:rsidR="00096645">
        <w:rPr>
          <w:b/>
        </w:rPr>
        <w:t xml:space="preserve"> </w:t>
      </w:r>
      <w:r w:rsidR="008014C0" w:rsidRPr="008014C0">
        <w:rPr>
          <w:i/>
        </w:rPr>
        <w:t>BR135</w:t>
      </w:r>
      <w:r w:rsidR="008014C0">
        <w:rPr>
          <w:b/>
          <w:i/>
        </w:rPr>
        <w:t xml:space="preserve"> –</w:t>
      </w:r>
      <w:r>
        <w:rPr>
          <w:b/>
          <w:i/>
        </w:rPr>
        <w:t xml:space="preserve"> </w:t>
      </w:r>
      <w:r w:rsidR="00DA54E5" w:rsidRPr="00DA54E5">
        <w:t>The prosecutor must not p</w:t>
      </w:r>
      <w:r w:rsidR="005902F4">
        <w:t>ress too hard for a conviction</w:t>
      </w:r>
    </w:p>
    <w:p w14:paraId="3334F3A5" w14:textId="77777777" w:rsidR="008014C0" w:rsidRDefault="008014C0" w:rsidP="008014C0">
      <w:pPr>
        <w:pStyle w:val="NoSpacing"/>
        <w:ind w:left="1440"/>
      </w:pPr>
    </w:p>
    <w:p w14:paraId="57A2BBCF" w14:textId="77777777" w:rsidR="0017547C" w:rsidRDefault="00964541" w:rsidP="0069421D">
      <w:pPr>
        <w:pStyle w:val="NoSpacing"/>
        <w:numPr>
          <w:ilvl w:val="0"/>
          <w:numId w:val="96"/>
        </w:numPr>
      </w:pPr>
      <w:r>
        <w:rPr>
          <w:b/>
          <w:i/>
        </w:rPr>
        <w:t xml:space="preserve">Must believe on reasonable grounds  </w:t>
      </w:r>
      <w:r>
        <w:rPr>
          <w:i/>
        </w:rPr>
        <w:t>–</w:t>
      </w:r>
      <w:r w:rsidR="00B865BD" w:rsidRPr="00B865BD">
        <w:t xml:space="preserve"> </w:t>
      </w:r>
      <w:r w:rsidR="00B865BD" w:rsidRPr="00DA54E5">
        <w:t>PCPR r 20.4</w:t>
      </w:r>
      <w:r w:rsidR="00B865BD" w:rsidRPr="00B865BD">
        <w:t>;</w:t>
      </w:r>
      <w:r w:rsidR="00B865BD">
        <w:rPr>
          <w:i/>
        </w:rPr>
        <w:t xml:space="preserve"> </w:t>
      </w:r>
      <w:r w:rsidR="00B865BD" w:rsidRPr="00DA54E5">
        <w:t>BR 137</w:t>
      </w:r>
      <w:r w:rsidR="00F87A5C">
        <w:t xml:space="preserve"> </w:t>
      </w:r>
      <w:r w:rsidR="00F87A5C">
        <w:rPr>
          <w:b/>
          <w:i/>
        </w:rPr>
        <w:t>–</w:t>
      </w:r>
      <w:r w:rsidR="00B865BD" w:rsidRPr="00DA54E5">
        <w:t xml:space="preserve"> </w:t>
      </w:r>
      <w:r w:rsidR="00DA54E5" w:rsidRPr="00DA54E5">
        <w:t xml:space="preserve">The rules preclude prosecutors from arguing any proposition of fact or law that they do not believe on reasonable grounds is capable of contributing to a finding of guilt and of carrying weight </w:t>
      </w:r>
    </w:p>
    <w:p w14:paraId="190BD7EE" w14:textId="77777777" w:rsidR="0017547C" w:rsidRDefault="0017547C" w:rsidP="0017547C">
      <w:pPr>
        <w:pStyle w:val="ListParagraph"/>
      </w:pPr>
    </w:p>
    <w:p w14:paraId="3E81E0E8" w14:textId="70F0F6D6" w:rsidR="005E29B1" w:rsidRDefault="0017547C" w:rsidP="0069421D">
      <w:pPr>
        <w:pStyle w:val="NoSpacing"/>
        <w:numPr>
          <w:ilvl w:val="0"/>
          <w:numId w:val="96"/>
        </w:numPr>
      </w:pPr>
      <w:r>
        <w:rPr>
          <w:b/>
          <w:i/>
        </w:rPr>
        <w:t xml:space="preserve">Must not ignore credible evidence </w:t>
      </w:r>
      <w:r>
        <w:t xml:space="preserve">– </w:t>
      </w:r>
      <w:r w:rsidR="00D22C4F" w:rsidRPr="005E29B1">
        <w:rPr>
          <w:i/>
        </w:rPr>
        <w:t>PCPR 20.1</w:t>
      </w:r>
      <w:r w:rsidR="00E42410">
        <w:rPr>
          <w:i/>
        </w:rPr>
        <w:t>–</w:t>
      </w:r>
      <w:r w:rsidR="00D22C4F" w:rsidRPr="005E29B1">
        <w:rPr>
          <w:i/>
        </w:rPr>
        <w:t>20.7; BR141</w:t>
      </w:r>
      <w:r w:rsidR="00D22C4F">
        <w:t xml:space="preserve"> – </w:t>
      </w:r>
      <w:r w:rsidR="00DA54E5" w:rsidRPr="00DA54E5">
        <w:t xml:space="preserve">Prosecutors must not ignore credible evidence which could be of importance to the accused’s case </w:t>
      </w:r>
    </w:p>
    <w:p w14:paraId="179DF1E9" w14:textId="77777777" w:rsidR="005E29B1" w:rsidRDefault="005E29B1" w:rsidP="005E29B1">
      <w:pPr>
        <w:pStyle w:val="ListParagraph"/>
      </w:pPr>
    </w:p>
    <w:p w14:paraId="6EA5EAA2" w14:textId="436D5C22" w:rsidR="00C56EB6" w:rsidRDefault="00535D4E" w:rsidP="0069421D">
      <w:pPr>
        <w:pStyle w:val="NoSpacing"/>
        <w:numPr>
          <w:ilvl w:val="0"/>
          <w:numId w:val="96"/>
        </w:numPr>
      </w:pPr>
      <w:r>
        <w:rPr>
          <w:b/>
          <w:i/>
        </w:rPr>
        <w:t xml:space="preserve">Sole discretion to call prosecution witness – </w:t>
      </w:r>
      <w:r w:rsidR="00465F52" w:rsidRPr="00E13000">
        <w:rPr>
          <w:i/>
        </w:rPr>
        <w:t xml:space="preserve">PCPR 20.7 </w:t>
      </w:r>
      <w:r w:rsidR="00D24A5A" w:rsidRPr="00E13000">
        <w:rPr>
          <w:i/>
        </w:rPr>
        <w:t>–</w:t>
      </w:r>
      <w:r w:rsidR="00D24A5A">
        <w:rPr>
          <w:b/>
          <w:i/>
        </w:rPr>
        <w:t xml:space="preserve"> </w:t>
      </w:r>
      <w:r w:rsidR="00DA54E5" w:rsidRPr="00DA54E5">
        <w:t xml:space="preserve">A prosecutor has sole discretion about who to call as prosecution witnesses.  Only in exceptional circumstances may a trial judge call a person to give evidence and a judge cannot direct the prosecutor to call a witness </w:t>
      </w:r>
      <w:r w:rsidR="00E42410">
        <w:t>–</w:t>
      </w:r>
      <w:r w:rsidR="00DA54E5" w:rsidRPr="00DA54E5">
        <w:t xml:space="preserve"> </w:t>
      </w:r>
      <w:r w:rsidR="00DA54E5" w:rsidRPr="00D756B5">
        <w:rPr>
          <w:i/>
        </w:rPr>
        <w:t>R v Apostilides</w:t>
      </w:r>
    </w:p>
    <w:p w14:paraId="6E273139" w14:textId="77777777" w:rsidR="00C56EB6" w:rsidRDefault="00C56EB6" w:rsidP="00C56EB6">
      <w:pPr>
        <w:pStyle w:val="ListParagraph"/>
      </w:pPr>
    </w:p>
    <w:p w14:paraId="69DEB20E" w14:textId="77777777" w:rsidR="00057E25" w:rsidRDefault="00C56EB6" w:rsidP="0069421D">
      <w:pPr>
        <w:pStyle w:val="NoSpacing"/>
        <w:numPr>
          <w:ilvl w:val="0"/>
          <w:numId w:val="96"/>
        </w:numPr>
      </w:pPr>
      <w:r>
        <w:rPr>
          <w:b/>
          <w:i/>
        </w:rPr>
        <w:t xml:space="preserve">Relevant Witness Testimony </w:t>
      </w:r>
      <w:r w:rsidR="00886A71">
        <w:rPr>
          <w:b/>
          <w:i/>
        </w:rPr>
        <w:t xml:space="preserve">– </w:t>
      </w:r>
      <w:r w:rsidR="00886A71" w:rsidRPr="00E13000">
        <w:rPr>
          <w:i/>
        </w:rPr>
        <w:t>PCPR 20.7</w:t>
      </w:r>
      <w:r w:rsidR="00B269F4">
        <w:rPr>
          <w:i/>
        </w:rPr>
        <w:t>;</w:t>
      </w:r>
      <w:r w:rsidR="00B269F4" w:rsidRPr="00B269F4">
        <w:t xml:space="preserve"> </w:t>
      </w:r>
      <w:r w:rsidR="00B269F4" w:rsidRPr="00DA54E5">
        <w:t xml:space="preserve">Bar Rule 139 </w:t>
      </w:r>
      <w:r w:rsidR="00886A71" w:rsidRPr="00E13000">
        <w:rPr>
          <w:i/>
        </w:rPr>
        <w:t>–</w:t>
      </w:r>
      <w:r w:rsidR="00886A71">
        <w:rPr>
          <w:b/>
          <w:i/>
        </w:rPr>
        <w:t xml:space="preserve"> </w:t>
      </w:r>
      <w:r w:rsidR="00DA54E5" w:rsidRPr="00DA54E5">
        <w:t xml:space="preserve">Consistent </w:t>
      </w:r>
      <w:r w:rsidR="00B269F4">
        <w:t>with 7 above,</w:t>
      </w:r>
      <w:r w:rsidR="00DA54E5" w:rsidRPr="00DA54E5">
        <w:t xml:space="preserve"> requires a prosecutor to call all witnesses whose testimony is admissible and necessary for the presentation of the full picture</w:t>
      </w:r>
    </w:p>
    <w:p w14:paraId="1F61B547" w14:textId="77777777" w:rsidR="00057E25" w:rsidRDefault="00057E25" w:rsidP="00057E25">
      <w:pPr>
        <w:pStyle w:val="ListParagraph"/>
      </w:pPr>
    </w:p>
    <w:p w14:paraId="3B5680DC" w14:textId="419ACAD3" w:rsidR="006100D3" w:rsidRDefault="00DA54E5" w:rsidP="0069421D">
      <w:pPr>
        <w:pStyle w:val="NoSpacing"/>
        <w:numPr>
          <w:ilvl w:val="0"/>
          <w:numId w:val="96"/>
        </w:numPr>
      </w:pPr>
      <w:r w:rsidRPr="00057E25">
        <w:rPr>
          <w:b/>
          <w:i/>
        </w:rPr>
        <w:t>Duty of disclosure</w:t>
      </w:r>
      <w:r w:rsidR="00057E25" w:rsidRPr="00057E25">
        <w:rPr>
          <w:b/>
          <w:i/>
        </w:rPr>
        <w:t xml:space="preserve"> –</w:t>
      </w:r>
      <w:r w:rsidR="00057E25">
        <w:rPr>
          <w:b/>
          <w:i/>
        </w:rPr>
        <w:t xml:space="preserve"> </w:t>
      </w:r>
      <w:r w:rsidR="000337AA" w:rsidRPr="000337AA">
        <w:rPr>
          <w:i/>
        </w:rPr>
        <w:t>PCPR 20.5</w:t>
      </w:r>
      <w:r w:rsidR="008B59DA">
        <w:rPr>
          <w:i/>
        </w:rPr>
        <w:t xml:space="preserve"> &amp; 20.6</w:t>
      </w:r>
      <w:r w:rsidR="000337AA" w:rsidRPr="000337AA">
        <w:rPr>
          <w:i/>
        </w:rPr>
        <w:t xml:space="preserve">; </w:t>
      </w:r>
      <w:r w:rsidR="00671715" w:rsidRPr="000337AA">
        <w:rPr>
          <w:i/>
        </w:rPr>
        <w:t>BR 141</w:t>
      </w:r>
      <w:r w:rsidR="00671715">
        <w:t xml:space="preserve"> – </w:t>
      </w:r>
      <w:r w:rsidRPr="00DA54E5">
        <w:t>Prosecutors must disclose any relevant and credible evidence that the jury could reasonably regard as credible and that could be of importance to the accused’s case, such that could constitute relevance to the guilt or innocence of the accused</w:t>
      </w:r>
      <w:r w:rsidR="00172496">
        <w:t>.</w:t>
      </w:r>
    </w:p>
    <w:p w14:paraId="009A4734" w14:textId="77777777" w:rsidR="006100D3" w:rsidRDefault="006100D3" w:rsidP="006100D3">
      <w:pPr>
        <w:pStyle w:val="ListParagraph"/>
      </w:pPr>
    </w:p>
    <w:p w14:paraId="475197D7" w14:textId="3CCDE8C3" w:rsidR="00DA54E5" w:rsidRPr="00DA54E5" w:rsidRDefault="006100D3" w:rsidP="0069421D">
      <w:pPr>
        <w:pStyle w:val="NoSpacing"/>
        <w:numPr>
          <w:ilvl w:val="1"/>
          <w:numId w:val="96"/>
        </w:numPr>
        <w:ind w:left="1800"/>
      </w:pPr>
      <w:r>
        <w:rPr>
          <w:i/>
        </w:rPr>
        <w:t xml:space="preserve">Miscarriage of Justice – </w:t>
      </w:r>
      <w:r w:rsidR="00DA54E5" w:rsidRPr="00DA54E5">
        <w:t xml:space="preserve">if not disclose it can result in miscarriage of justice </w:t>
      </w:r>
    </w:p>
    <w:p w14:paraId="0C490D5A" w14:textId="77777777" w:rsidR="00DA54E5" w:rsidRDefault="00DA54E5" w:rsidP="00DA54E5">
      <w:pPr>
        <w:tabs>
          <w:tab w:val="left" w:pos="1350"/>
        </w:tabs>
        <w:rPr>
          <w:b/>
          <w:sz w:val="20"/>
          <w:szCs w:val="20"/>
          <w:lang w:val="en-AU"/>
        </w:rPr>
      </w:pPr>
    </w:p>
    <w:p w14:paraId="6991FA8D" w14:textId="77777777" w:rsidR="00DA54E5" w:rsidRDefault="00DA54E5" w:rsidP="00DA54E5">
      <w:pPr>
        <w:tabs>
          <w:tab w:val="left" w:pos="1350"/>
        </w:tabs>
        <w:rPr>
          <w:b/>
          <w:sz w:val="20"/>
          <w:szCs w:val="20"/>
          <w:lang w:val="en-AU"/>
        </w:rPr>
      </w:pPr>
    </w:p>
    <w:p w14:paraId="2045F0A8" w14:textId="77777777" w:rsidR="00DA54E5" w:rsidRDefault="00DA54E5" w:rsidP="00DA54E5">
      <w:pPr>
        <w:tabs>
          <w:tab w:val="left" w:pos="1350"/>
        </w:tabs>
        <w:rPr>
          <w:b/>
          <w:sz w:val="20"/>
          <w:szCs w:val="20"/>
          <w:lang w:val="en-AU"/>
        </w:rPr>
      </w:pPr>
    </w:p>
    <w:p w14:paraId="6280DD19" w14:textId="1B8B1509" w:rsidR="0064345F" w:rsidRPr="003034E9" w:rsidRDefault="0064345F" w:rsidP="0064345F">
      <w:pPr>
        <w:pStyle w:val="NoSpacing"/>
        <w:rPr>
          <w:rFonts w:cs="Times New Roman"/>
          <w:b/>
          <w:szCs w:val="24"/>
          <w:u w:val="single"/>
        </w:rPr>
      </w:pPr>
      <w:r w:rsidRPr="003034E9">
        <w:rPr>
          <w:rFonts w:cs="Times New Roman"/>
          <w:b/>
          <w:szCs w:val="24"/>
          <w:u w:val="single"/>
        </w:rPr>
        <w:lastRenderedPageBreak/>
        <w:t xml:space="preserve">Duties of </w:t>
      </w:r>
      <w:r>
        <w:rPr>
          <w:rFonts w:cs="Times New Roman"/>
          <w:b/>
          <w:szCs w:val="24"/>
          <w:u w:val="single"/>
        </w:rPr>
        <w:t>Defence</w:t>
      </w:r>
      <w:r w:rsidRPr="003034E9">
        <w:rPr>
          <w:rFonts w:cs="Times New Roman"/>
          <w:b/>
          <w:szCs w:val="24"/>
          <w:u w:val="single"/>
        </w:rPr>
        <w:t xml:space="preserve"> Counsel </w:t>
      </w:r>
    </w:p>
    <w:p w14:paraId="03E4258A" w14:textId="77777777" w:rsidR="0064345F" w:rsidRDefault="0064345F" w:rsidP="00DA54E5">
      <w:pPr>
        <w:tabs>
          <w:tab w:val="left" w:pos="1350"/>
        </w:tabs>
        <w:rPr>
          <w:b/>
          <w:sz w:val="20"/>
          <w:szCs w:val="20"/>
          <w:lang w:val="en-AU"/>
        </w:rPr>
      </w:pPr>
    </w:p>
    <w:p w14:paraId="2A6F62B6" w14:textId="58AE8D95" w:rsidR="000713B8" w:rsidRDefault="00C422A2" w:rsidP="0069421D">
      <w:pPr>
        <w:pStyle w:val="NoSpacing"/>
        <w:numPr>
          <w:ilvl w:val="0"/>
          <w:numId w:val="97"/>
        </w:numPr>
      </w:pPr>
      <w:r>
        <w:rPr>
          <w:b/>
          <w:i/>
        </w:rPr>
        <w:t xml:space="preserve">Protect Client from Conviction </w:t>
      </w:r>
      <w:r>
        <w:t xml:space="preserve">– </w:t>
      </w:r>
      <w:r w:rsidR="00072451" w:rsidRPr="00764DDB">
        <w:t>Bar Rule 149</w:t>
      </w:r>
      <w:r w:rsidR="00072451">
        <w:t xml:space="preserve"> – </w:t>
      </w:r>
      <w:r w:rsidR="00DA54E5" w:rsidRPr="00F45372">
        <w:t xml:space="preserve">The duty of the defence is to protect the client from conviction except by a </w:t>
      </w:r>
      <w:r w:rsidR="00DA54E5" w:rsidRPr="00F45372">
        <w:rPr>
          <w:i/>
          <w:iCs/>
        </w:rPr>
        <w:t>competent tribunal</w:t>
      </w:r>
      <w:r w:rsidR="00DA54E5" w:rsidRPr="00F45372">
        <w:t xml:space="preserve"> and upon </w:t>
      </w:r>
      <w:r w:rsidR="00DA54E5" w:rsidRPr="00F45372">
        <w:rPr>
          <w:i/>
          <w:iCs/>
        </w:rPr>
        <w:t>admissible evidence</w:t>
      </w:r>
      <w:r w:rsidR="00DA54E5" w:rsidRPr="00F45372">
        <w:t xml:space="preserve"> </w:t>
      </w:r>
      <w:r w:rsidR="00DA54E5" w:rsidRPr="00F45372">
        <w:rPr>
          <w:i/>
          <w:iCs/>
        </w:rPr>
        <w:t>sufficient to support a conviction</w:t>
      </w:r>
    </w:p>
    <w:p w14:paraId="1CB0C5B0" w14:textId="3603CC13" w:rsidR="00A15B11" w:rsidRDefault="00DA54E5" w:rsidP="0069421D">
      <w:pPr>
        <w:pStyle w:val="NoSpacing"/>
        <w:numPr>
          <w:ilvl w:val="1"/>
          <w:numId w:val="97"/>
        </w:numPr>
      </w:pPr>
      <w:r w:rsidRPr="000713B8">
        <w:rPr>
          <w:i/>
          <w:iCs/>
        </w:rPr>
        <w:t>Tuckiar v the King</w:t>
      </w:r>
      <w:r w:rsidRPr="00F45372">
        <w:t xml:space="preserve"> </w:t>
      </w:r>
    </w:p>
    <w:p w14:paraId="4AA6ADCC" w14:textId="24C8CE84" w:rsidR="00A15B11" w:rsidRDefault="00A15B11" w:rsidP="00A15B11">
      <w:pPr>
        <w:pStyle w:val="NoSpacing"/>
        <w:ind w:left="720"/>
      </w:pPr>
    </w:p>
    <w:p w14:paraId="34804E23" w14:textId="77777777" w:rsidR="000A4D90" w:rsidRPr="0058095A" w:rsidRDefault="000A4D90" w:rsidP="000A4D90">
      <w:pPr>
        <w:pStyle w:val="NoSpacing"/>
        <w:rPr>
          <w:iCs/>
          <w:szCs w:val="24"/>
        </w:rPr>
      </w:pPr>
      <w:r w:rsidRPr="0058095A">
        <w:rPr>
          <w:i/>
          <w:iCs/>
          <w:szCs w:val="24"/>
        </w:rPr>
        <w:t>Tuckiar v the King</w:t>
      </w:r>
      <w:r w:rsidRPr="0058095A">
        <w:rPr>
          <w:iCs/>
          <w:szCs w:val="24"/>
        </w:rPr>
        <w:t xml:space="preserve"> </w:t>
      </w:r>
    </w:p>
    <w:p w14:paraId="3942651D" w14:textId="77777777" w:rsidR="000A4D90" w:rsidRPr="0058095A" w:rsidRDefault="000A4D90" w:rsidP="000A4D90">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iCs/>
          <w:szCs w:val="24"/>
        </w:rPr>
      </w:pPr>
      <w:r>
        <w:rPr>
          <w:iCs/>
          <w:szCs w:val="24"/>
        </w:rPr>
        <w:t>D</w:t>
      </w:r>
      <w:r w:rsidRPr="0058095A">
        <w:rPr>
          <w:iCs/>
          <w:szCs w:val="24"/>
        </w:rPr>
        <w:t>uring the trial of a person, the accused admitted to his lawyer that he had committed the murder.</w:t>
      </w:r>
      <w:r>
        <w:rPr>
          <w:iCs/>
          <w:szCs w:val="24"/>
        </w:rPr>
        <w:t xml:space="preserve"> </w:t>
      </w:r>
      <w:r w:rsidRPr="0058095A">
        <w:rPr>
          <w:iCs/>
          <w:szCs w:val="24"/>
        </w:rPr>
        <w:t xml:space="preserve">In open court counsel said he wanted to discuss with the judge </w:t>
      </w:r>
      <w:r>
        <w:rPr>
          <w:iCs/>
          <w:szCs w:val="24"/>
        </w:rPr>
        <w:t>‘</w:t>
      </w:r>
      <w:r w:rsidRPr="0058095A">
        <w:rPr>
          <w:iCs/>
          <w:szCs w:val="24"/>
        </w:rPr>
        <w:t>the worst predicament that he had encountered in his legal career</w:t>
      </w:r>
      <w:r>
        <w:rPr>
          <w:iCs/>
          <w:szCs w:val="24"/>
        </w:rPr>
        <w:t>’</w:t>
      </w:r>
      <w:r w:rsidRPr="0058095A">
        <w:rPr>
          <w:iCs/>
          <w:szCs w:val="24"/>
        </w:rPr>
        <w:t xml:space="preserve">. </w:t>
      </w:r>
      <w:r>
        <w:rPr>
          <w:iCs/>
          <w:szCs w:val="24"/>
        </w:rPr>
        <w:t>Sentenced to death.</w:t>
      </w:r>
    </w:p>
    <w:p w14:paraId="432DDF8E" w14:textId="77777777" w:rsidR="000A4D90" w:rsidRPr="0058095A" w:rsidRDefault="000A4D90" w:rsidP="000A4D90">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szCs w:val="24"/>
        </w:rPr>
      </w:pPr>
      <w:r w:rsidRPr="0058095A">
        <w:rPr>
          <w:iCs/>
          <w:szCs w:val="24"/>
          <w:u w:val="single"/>
        </w:rPr>
        <w:t>Held</w:t>
      </w:r>
      <w:r w:rsidRPr="0058095A">
        <w:rPr>
          <w:iCs/>
          <w:szCs w:val="24"/>
        </w:rPr>
        <w:t>: HC quashed the verdict. The court did not understand why counsel found himself in so great a predicament. He had a duty to press the arguments for acquittal from any charge which evidence fails to establish that he committed.</w:t>
      </w:r>
    </w:p>
    <w:p w14:paraId="51E61224" w14:textId="77777777" w:rsidR="000A4D90" w:rsidRDefault="000A4D90" w:rsidP="000A4D90">
      <w:pPr>
        <w:pStyle w:val="NoSpacing"/>
        <w:rPr>
          <w:rFonts w:cs="Times New Roman"/>
          <w:szCs w:val="24"/>
        </w:rPr>
      </w:pPr>
    </w:p>
    <w:p w14:paraId="2DA0A446" w14:textId="6BDE3484" w:rsidR="00DA54E5" w:rsidRPr="00D067A3" w:rsidRDefault="00DA54E5" w:rsidP="0069421D">
      <w:pPr>
        <w:pStyle w:val="NoSpacing"/>
        <w:numPr>
          <w:ilvl w:val="0"/>
          <w:numId w:val="97"/>
        </w:numPr>
      </w:pPr>
      <w:r w:rsidRPr="00EA4416">
        <w:rPr>
          <w:b/>
          <w:i/>
        </w:rPr>
        <w:t>Guilt and innocence</w:t>
      </w:r>
      <w:r w:rsidRPr="00A15B11">
        <w:rPr>
          <w:b/>
        </w:rPr>
        <w:t xml:space="preserve"> </w:t>
      </w:r>
      <w:r w:rsidR="00A15B11">
        <w:t xml:space="preserve">– </w:t>
      </w:r>
      <w:r w:rsidR="000713B8" w:rsidRPr="008755C1">
        <w:rPr>
          <w:i/>
        </w:rPr>
        <w:t>PCPR 15</w:t>
      </w:r>
      <w:r w:rsidR="002A41F5">
        <w:rPr>
          <w:i/>
        </w:rPr>
        <w:t>.1, 15.</w:t>
      </w:r>
      <w:r w:rsidR="00EE0E97">
        <w:rPr>
          <w:i/>
        </w:rPr>
        <w:t xml:space="preserve">2 </w:t>
      </w:r>
      <w:r w:rsidR="000713B8">
        <w:t xml:space="preserve">– </w:t>
      </w:r>
      <w:r>
        <w:t xml:space="preserve">Whether guilty or not, an accused is at law entitled to an acquittal from any charge which the evidence fails to establish the accused committed </w:t>
      </w:r>
      <w:r w:rsidR="00E42410">
        <w:t>–</w:t>
      </w:r>
      <w:r>
        <w:t xml:space="preserve"> </w:t>
      </w:r>
      <w:r w:rsidRPr="00841F4F">
        <w:rPr>
          <w:i/>
          <w:iCs/>
        </w:rPr>
        <w:t>Tuckiar v the King</w:t>
      </w:r>
    </w:p>
    <w:p w14:paraId="24A559D2" w14:textId="668191B6" w:rsidR="00D067A3" w:rsidRPr="00D067A3" w:rsidRDefault="00D067A3" w:rsidP="00D067A3">
      <w:pPr>
        <w:pStyle w:val="NoSpacing"/>
        <w:ind w:left="1440"/>
      </w:pPr>
    </w:p>
    <w:p w14:paraId="76739358" w14:textId="065430E2" w:rsidR="00D067A3" w:rsidRDefault="00D067A3" w:rsidP="0069421D">
      <w:pPr>
        <w:pStyle w:val="NoSpacing"/>
        <w:numPr>
          <w:ilvl w:val="1"/>
          <w:numId w:val="97"/>
        </w:numPr>
      </w:pPr>
      <w:r w:rsidRPr="003C6B3C">
        <w:rPr>
          <w:i/>
        </w:rPr>
        <w:t>Client Admission of Guilt</w:t>
      </w:r>
      <w:r>
        <w:rPr>
          <w:b/>
          <w:i/>
        </w:rPr>
        <w:t xml:space="preserve"> </w:t>
      </w:r>
      <w:r>
        <w:t xml:space="preserve">– </w:t>
      </w:r>
      <w:r w:rsidR="00EE0E97">
        <w:rPr>
          <w:i/>
        </w:rPr>
        <w:t xml:space="preserve">PCPR </w:t>
      </w:r>
      <w:r w:rsidR="0045590B">
        <w:rPr>
          <w:i/>
        </w:rPr>
        <w:t xml:space="preserve">1; </w:t>
      </w:r>
      <w:r w:rsidR="00EE0E97">
        <w:rPr>
          <w:i/>
        </w:rPr>
        <w:t>13.3; 15.</w:t>
      </w:r>
      <w:r w:rsidR="00841F4F">
        <w:rPr>
          <w:i/>
        </w:rPr>
        <w:t>2</w:t>
      </w:r>
      <w:r w:rsidR="00841F4F">
        <w:t xml:space="preserve"> – If the client confesses guilt of a</w:t>
      </w:r>
      <w:r w:rsidR="00F3483D">
        <w:t xml:space="preserve"> </w:t>
      </w:r>
      <w:r w:rsidR="00841F4F">
        <w:t>crime to the defence during the proceedings, then barrister must continue to act and do all they can ‘honourably’ do in the clients defence.</w:t>
      </w:r>
    </w:p>
    <w:p w14:paraId="763D9C65" w14:textId="61E04103" w:rsidR="00841F4F" w:rsidRPr="00841F4F" w:rsidRDefault="00841F4F" w:rsidP="0069421D">
      <w:pPr>
        <w:pStyle w:val="NoSpacing"/>
        <w:numPr>
          <w:ilvl w:val="2"/>
          <w:numId w:val="97"/>
        </w:numPr>
      </w:pPr>
      <w:r w:rsidRPr="00841F4F">
        <w:rPr>
          <w:i/>
          <w:iCs/>
        </w:rPr>
        <w:t>Tuckiar v the King</w:t>
      </w:r>
    </w:p>
    <w:p w14:paraId="47E7CB31" w14:textId="77777777" w:rsidR="00841F4F" w:rsidRPr="00841F4F" w:rsidRDefault="00841F4F" w:rsidP="00841F4F">
      <w:pPr>
        <w:pStyle w:val="NoSpacing"/>
        <w:ind w:left="2160"/>
      </w:pPr>
    </w:p>
    <w:p w14:paraId="4C998E18" w14:textId="77777777" w:rsidR="00C66494" w:rsidRDefault="003C6B3C" w:rsidP="0069421D">
      <w:pPr>
        <w:pStyle w:val="NoSpacing"/>
        <w:numPr>
          <w:ilvl w:val="2"/>
          <w:numId w:val="97"/>
        </w:numPr>
      </w:pPr>
      <w:r w:rsidRPr="003C6B3C">
        <w:rPr>
          <w:i/>
        </w:rPr>
        <w:t>Cannot falsely suggest any person</w:t>
      </w:r>
      <w:r>
        <w:rPr>
          <w:b/>
          <w:i/>
        </w:rPr>
        <w:t xml:space="preserve"> </w:t>
      </w:r>
      <w:r>
        <w:t xml:space="preserve">– </w:t>
      </w:r>
      <w:r w:rsidR="00E25155">
        <w:t xml:space="preserve">PCPR 15.2 – </w:t>
      </w:r>
      <w:r>
        <w:t>I</w:t>
      </w:r>
      <w:r w:rsidR="00E25155">
        <w:t>f</w:t>
      </w:r>
      <w:r>
        <w:t xml:space="preserve"> a client has confessed to a crime then if the lawyer continues to act then they must</w:t>
      </w:r>
    </w:p>
    <w:p w14:paraId="5E8BAE46" w14:textId="03182E72" w:rsidR="00C66494" w:rsidRDefault="00C66494" w:rsidP="0069421D">
      <w:pPr>
        <w:pStyle w:val="NoSpacing"/>
        <w:numPr>
          <w:ilvl w:val="3"/>
          <w:numId w:val="97"/>
        </w:numPr>
      </w:pPr>
      <w:r>
        <w:t xml:space="preserve">15.2.1 – </w:t>
      </w:r>
      <w:r w:rsidR="003C6B3C">
        <w:t xml:space="preserve">not suggest that some other person did it or </w:t>
      </w:r>
    </w:p>
    <w:p w14:paraId="732AEDD3" w14:textId="0A0DC469" w:rsidR="00841F4F" w:rsidRDefault="00C66494" w:rsidP="0069421D">
      <w:pPr>
        <w:pStyle w:val="NoSpacing"/>
        <w:numPr>
          <w:ilvl w:val="3"/>
          <w:numId w:val="97"/>
        </w:numPr>
      </w:pPr>
      <w:r>
        <w:t xml:space="preserve">15.2.2 – </w:t>
      </w:r>
      <w:r w:rsidR="003C6B3C">
        <w:t>structure a case which is inconsistent with the confession.</w:t>
      </w:r>
    </w:p>
    <w:p w14:paraId="6BC13CF8" w14:textId="77777777" w:rsidR="00101067" w:rsidRDefault="00101067" w:rsidP="00101067">
      <w:pPr>
        <w:pStyle w:val="NoSpacing"/>
        <w:ind w:left="2880"/>
      </w:pPr>
    </w:p>
    <w:p w14:paraId="7960DBAB" w14:textId="2C67844A" w:rsidR="00101067" w:rsidRDefault="00101067" w:rsidP="0069421D">
      <w:pPr>
        <w:pStyle w:val="NoSpacing"/>
        <w:numPr>
          <w:ilvl w:val="2"/>
          <w:numId w:val="97"/>
        </w:numPr>
      </w:pPr>
      <w:r>
        <w:rPr>
          <w:i/>
          <w:u w:val="single"/>
        </w:rPr>
        <w:t xml:space="preserve">Must argue on evidence alone </w:t>
      </w:r>
      <w:r>
        <w:t>– Defence counsel cannot falsely attribute guilt per – PCPR 15.2.2(a) – but rather:</w:t>
      </w:r>
    </w:p>
    <w:p w14:paraId="1A4AE5B3" w14:textId="222E534F" w:rsidR="00101067" w:rsidRPr="001B761B" w:rsidRDefault="001B761B" w:rsidP="0069421D">
      <w:pPr>
        <w:pStyle w:val="NoSpacing"/>
        <w:numPr>
          <w:ilvl w:val="3"/>
          <w:numId w:val="97"/>
        </w:numPr>
      </w:pPr>
      <w:r w:rsidRPr="001B761B">
        <w:rPr>
          <w:i/>
        </w:rPr>
        <w:t>Put</w:t>
      </w:r>
      <w:r>
        <w:rPr>
          <w:b/>
          <w:i/>
        </w:rPr>
        <w:t xml:space="preserve"> </w:t>
      </w:r>
      <w:r w:rsidRPr="001B761B">
        <w:rPr>
          <w:i/>
        </w:rPr>
        <w:t>prosecution to proof – 15.2.2(d)</w:t>
      </w:r>
    </w:p>
    <w:p w14:paraId="663ED36A" w14:textId="0681FA8C" w:rsidR="001B761B" w:rsidRPr="00436E40" w:rsidRDefault="00436E40" w:rsidP="0069421D">
      <w:pPr>
        <w:pStyle w:val="NoSpacing"/>
        <w:numPr>
          <w:ilvl w:val="3"/>
          <w:numId w:val="97"/>
        </w:numPr>
      </w:pPr>
      <w:r>
        <w:t xml:space="preserve">Argue some reason of law why client is not guilty [insanity] – </w:t>
      </w:r>
      <w:r w:rsidRPr="001B761B">
        <w:rPr>
          <w:i/>
        </w:rPr>
        <w:t>15.2.2(d)</w:t>
      </w:r>
    </w:p>
    <w:p w14:paraId="43758E1F" w14:textId="58CC22A6" w:rsidR="00436E40" w:rsidRDefault="001A6CC3" w:rsidP="0069421D">
      <w:pPr>
        <w:pStyle w:val="NoSpacing"/>
        <w:numPr>
          <w:ilvl w:val="3"/>
          <w:numId w:val="97"/>
        </w:numPr>
      </w:pPr>
      <w:r>
        <w:t xml:space="preserve">Argue any other reason why no conviction </w:t>
      </w:r>
      <w:r w:rsidR="00E42410">
        <w:t>–</w:t>
      </w:r>
      <w:r>
        <w:t xml:space="preserve"> </w:t>
      </w:r>
      <w:r>
        <w:rPr>
          <w:i/>
        </w:rPr>
        <w:t>15.2.2</w:t>
      </w:r>
      <w:r w:rsidR="009E338A">
        <w:rPr>
          <w:i/>
        </w:rPr>
        <w:t>(e)</w:t>
      </w:r>
    </w:p>
    <w:p w14:paraId="51231CED" w14:textId="77777777" w:rsidR="00C66494" w:rsidRDefault="00C66494" w:rsidP="00C66494">
      <w:pPr>
        <w:pStyle w:val="ListParagraph"/>
      </w:pPr>
    </w:p>
    <w:p w14:paraId="3FC71AF2" w14:textId="760C5302" w:rsidR="00C66494" w:rsidRDefault="00291F6D" w:rsidP="0069421D">
      <w:pPr>
        <w:pStyle w:val="NoSpacing"/>
        <w:numPr>
          <w:ilvl w:val="0"/>
          <w:numId w:val="97"/>
        </w:numPr>
      </w:pPr>
      <w:r w:rsidRPr="000A4D90">
        <w:rPr>
          <w:b/>
          <w:i/>
        </w:rPr>
        <w:t>Exception</w:t>
      </w:r>
      <w:r>
        <w:rPr>
          <w:b/>
          <w:i/>
        </w:rPr>
        <w:t xml:space="preserve"> </w:t>
      </w:r>
      <w:r w:rsidRPr="00E4474A">
        <w:rPr>
          <w:i/>
        </w:rPr>
        <w:t>– PCPR 15.3</w:t>
      </w:r>
      <w:r>
        <w:rPr>
          <w:b/>
          <w:i/>
        </w:rPr>
        <w:t xml:space="preserve"> – </w:t>
      </w:r>
      <w:r w:rsidR="00C66494">
        <w:t xml:space="preserve"> If the client </w:t>
      </w:r>
      <w:r w:rsidR="006B04AF">
        <w:t xml:space="preserve">intends to disobey the Courts orders then the lawyer must advise the client against such actions and inform the Court </w:t>
      </w:r>
      <w:r w:rsidR="006B04AF">
        <w:rPr>
          <w:u w:val="single"/>
        </w:rPr>
        <w:t>only if</w:t>
      </w:r>
      <w:r w:rsidR="006B04AF">
        <w:t xml:space="preserve"> the:</w:t>
      </w:r>
    </w:p>
    <w:p w14:paraId="51D95E20" w14:textId="30445FC6" w:rsidR="006B04AF" w:rsidRDefault="000A4D90" w:rsidP="0069421D">
      <w:pPr>
        <w:pStyle w:val="NoSpacing"/>
        <w:numPr>
          <w:ilvl w:val="1"/>
          <w:numId w:val="97"/>
        </w:numPr>
      </w:pPr>
      <w:r>
        <w:rPr>
          <w:i/>
        </w:rPr>
        <w:t>15</w:t>
      </w:r>
      <w:r w:rsidR="006B04AF" w:rsidRPr="00E05FFF">
        <w:rPr>
          <w:i/>
        </w:rPr>
        <w:t>.3.3(a)</w:t>
      </w:r>
      <w:r w:rsidR="006B04AF">
        <w:t xml:space="preserve"> – client authorises it</w:t>
      </w:r>
    </w:p>
    <w:p w14:paraId="3AE834B1" w14:textId="58F2D0EA" w:rsidR="006B04AF" w:rsidRPr="00EA4416" w:rsidRDefault="006B04AF" w:rsidP="0069421D">
      <w:pPr>
        <w:pStyle w:val="NoSpacing"/>
        <w:numPr>
          <w:ilvl w:val="1"/>
          <w:numId w:val="97"/>
        </w:numPr>
      </w:pPr>
      <w:r w:rsidRPr="004C4421">
        <w:rPr>
          <w:i/>
        </w:rPr>
        <w:t>15.3.3(b)</w:t>
      </w:r>
      <w:r>
        <w:t xml:space="preserve"> – reasonably threat to a </w:t>
      </w:r>
      <w:r w:rsidR="00614768">
        <w:t>person’s</w:t>
      </w:r>
      <w:r>
        <w:t xml:space="preserve"> safety.</w:t>
      </w:r>
    </w:p>
    <w:p w14:paraId="700C8873" w14:textId="77777777" w:rsidR="00DA54E5" w:rsidRDefault="00DA54E5" w:rsidP="00F45372">
      <w:pPr>
        <w:pStyle w:val="NoSpacing"/>
      </w:pPr>
    </w:p>
    <w:p w14:paraId="2BE78984" w14:textId="77777777" w:rsidR="00C05A4A" w:rsidRDefault="00C05A4A" w:rsidP="00F45372">
      <w:pPr>
        <w:pStyle w:val="NoSpacing"/>
        <w:rPr>
          <w:rFonts w:cs="Times New Roman"/>
          <w:szCs w:val="24"/>
        </w:rPr>
      </w:pPr>
    </w:p>
    <w:p w14:paraId="6C93673D" w14:textId="77777777" w:rsidR="00C05A4A" w:rsidRDefault="00C05A4A" w:rsidP="00F45372">
      <w:pPr>
        <w:pStyle w:val="NoSpacing"/>
        <w:rPr>
          <w:rFonts w:cs="Times New Roman"/>
          <w:szCs w:val="24"/>
        </w:rPr>
      </w:pPr>
    </w:p>
    <w:p w14:paraId="6DEC8AA4" w14:textId="77777777" w:rsidR="00C05A4A" w:rsidRDefault="00C05A4A" w:rsidP="00F45372">
      <w:pPr>
        <w:pStyle w:val="NoSpacing"/>
        <w:rPr>
          <w:rFonts w:cs="Times New Roman"/>
          <w:szCs w:val="24"/>
        </w:rPr>
      </w:pPr>
    </w:p>
    <w:p w14:paraId="268F9C9B" w14:textId="77777777" w:rsidR="00C05A4A" w:rsidRDefault="00C05A4A" w:rsidP="00F45372">
      <w:pPr>
        <w:pStyle w:val="NoSpacing"/>
        <w:rPr>
          <w:rFonts w:cs="Times New Roman"/>
          <w:szCs w:val="24"/>
        </w:rPr>
      </w:pPr>
    </w:p>
    <w:p w14:paraId="6E77B6DB" w14:textId="77777777" w:rsidR="00C05A4A" w:rsidRDefault="00C05A4A" w:rsidP="007E141A">
      <w:pPr>
        <w:pStyle w:val="NoSpacing"/>
        <w:rPr>
          <w:rFonts w:cs="Times New Roman"/>
          <w:szCs w:val="24"/>
        </w:rPr>
      </w:pPr>
    </w:p>
    <w:p w14:paraId="01AED384" w14:textId="77777777" w:rsidR="00C05A4A" w:rsidRDefault="00C05A4A" w:rsidP="007E141A">
      <w:pPr>
        <w:pStyle w:val="NoSpacing"/>
        <w:rPr>
          <w:rFonts w:cs="Times New Roman"/>
          <w:szCs w:val="24"/>
        </w:rPr>
      </w:pPr>
    </w:p>
    <w:p w14:paraId="2AF52E45" w14:textId="77777777" w:rsidR="00C05A4A" w:rsidRDefault="00C05A4A" w:rsidP="007E141A">
      <w:pPr>
        <w:pStyle w:val="NoSpacing"/>
        <w:rPr>
          <w:rFonts w:cs="Times New Roman"/>
          <w:szCs w:val="24"/>
        </w:rPr>
      </w:pPr>
    </w:p>
    <w:p w14:paraId="1AFCD334" w14:textId="77777777" w:rsidR="00C05A4A" w:rsidRDefault="00C05A4A" w:rsidP="007E141A">
      <w:pPr>
        <w:pStyle w:val="NoSpacing"/>
        <w:rPr>
          <w:rFonts w:cs="Times New Roman"/>
          <w:szCs w:val="24"/>
        </w:rPr>
      </w:pPr>
    </w:p>
    <w:p w14:paraId="703F3CF7" w14:textId="77777777" w:rsidR="00C05A4A" w:rsidRDefault="00C05A4A" w:rsidP="007E141A">
      <w:pPr>
        <w:pStyle w:val="NoSpacing"/>
        <w:rPr>
          <w:rFonts w:cs="Times New Roman"/>
          <w:szCs w:val="24"/>
        </w:rPr>
      </w:pPr>
    </w:p>
    <w:p w14:paraId="4512D015" w14:textId="77777777" w:rsidR="00C05A4A" w:rsidRDefault="00C05A4A" w:rsidP="007E141A">
      <w:pPr>
        <w:pStyle w:val="NoSpacing"/>
        <w:rPr>
          <w:rFonts w:cs="Times New Roman"/>
          <w:szCs w:val="24"/>
        </w:rPr>
      </w:pPr>
    </w:p>
    <w:p w14:paraId="72A11088" w14:textId="323B88B6" w:rsidR="007E141A" w:rsidRDefault="007E141A" w:rsidP="007E141A">
      <w:pPr>
        <w:pStyle w:val="NoSpacing"/>
        <w:rPr>
          <w:rFonts w:cs="Times New Roman"/>
          <w:b/>
          <w:sz w:val="36"/>
          <w:szCs w:val="36"/>
          <w:u w:val="single"/>
        </w:rPr>
      </w:pPr>
      <w:r>
        <w:rPr>
          <w:rFonts w:cs="Times New Roman"/>
          <w:b/>
          <w:sz w:val="36"/>
          <w:szCs w:val="36"/>
          <w:u w:val="single"/>
        </w:rPr>
        <w:lastRenderedPageBreak/>
        <w:t>Lawyer</w:t>
      </w:r>
      <w:r w:rsidR="009A5B45">
        <w:rPr>
          <w:rFonts w:cs="Times New Roman"/>
          <w:b/>
          <w:sz w:val="36"/>
          <w:szCs w:val="36"/>
          <w:u w:val="single"/>
        </w:rPr>
        <w:t>–</w:t>
      </w:r>
      <w:r>
        <w:rPr>
          <w:rFonts w:cs="Times New Roman"/>
          <w:b/>
          <w:sz w:val="36"/>
          <w:szCs w:val="36"/>
          <w:u w:val="single"/>
        </w:rPr>
        <w:t>Client Conflicts</w:t>
      </w:r>
    </w:p>
    <w:p w14:paraId="62D55E61" w14:textId="49E1912F" w:rsidR="001D5EE6" w:rsidRPr="001D5EE6" w:rsidRDefault="00B565DE" w:rsidP="00BE33F8">
      <w:pPr>
        <w:pStyle w:val="NoSpacing"/>
        <w:rPr>
          <w:rFonts w:cs="Times New Roman"/>
          <w:b/>
          <w:i/>
          <w:szCs w:val="24"/>
          <w:u w:val="single"/>
        </w:rPr>
      </w:pPr>
      <w:r w:rsidRPr="0003164D">
        <w:rPr>
          <w:rFonts w:cs="Times New Roman"/>
          <w:b/>
          <w:szCs w:val="24"/>
          <w:u w:val="single"/>
        </w:rPr>
        <w:t>General</w:t>
      </w:r>
      <w:r w:rsidR="00A4335F">
        <w:rPr>
          <w:rFonts w:cs="Times New Roman"/>
          <w:b/>
          <w:szCs w:val="24"/>
          <w:u w:val="single"/>
        </w:rPr>
        <w:t xml:space="preserve"> </w:t>
      </w:r>
      <w:r w:rsidR="00A4335F" w:rsidRPr="00AB3353">
        <w:rPr>
          <w:rFonts w:cs="Times New Roman"/>
          <w:b/>
          <w:i/>
          <w:szCs w:val="24"/>
        </w:rPr>
        <w:t>– PCPR 9.1</w:t>
      </w:r>
      <w:r w:rsidR="001D5EE6" w:rsidRPr="00AB3353">
        <w:rPr>
          <w:rFonts w:cs="Times New Roman"/>
          <w:b/>
          <w:i/>
          <w:szCs w:val="24"/>
        </w:rPr>
        <w:t xml:space="preserve"> ‘Avoiding Conflicts’</w:t>
      </w:r>
    </w:p>
    <w:p w14:paraId="09E8A32A" w14:textId="7264628D" w:rsidR="00586F39" w:rsidRDefault="00930F88" w:rsidP="00392BC9">
      <w:pPr>
        <w:pStyle w:val="NoSpacing"/>
        <w:numPr>
          <w:ilvl w:val="0"/>
          <w:numId w:val="62"/>
        </w:numPr>
        <w:rPr>
          <w:rFonts w:cs="Times New Roman"/>
          <w:szCs w:val="24"/>
        </w:rPr>
      </w:pPr>
      <w:r w:rsidRPr="00026191">
        <w:rPr>
          <w:rFonts w:cs="Times New Roman"/>
          <w:b/>
          <w:i/>
          <w:szCs w:val="24"/>
        </w:rPr>
        <w:t>Purpose</w:t>
      </w:r>
      <w:r>
        <w:rPr>
          <w:rFonts w:cs="Times New Roman"/>
          <w:i/>
          <w:szCs w:val="24"/>
        </w:rPr>
        <w:t xml:space="preserve"> </w:t>
      </w:r>
      <w:r>
        <w:rPr>
          <w:rFonts w:cs="Times New Roman"/>
          <w:szCs w:val="24"/>
        </w:rPr>
        <w:t xml:space="preserve">– A basic fiduciary duty which applies to the lawyer client relationship is such that lawyers must provide their ‘undivided loyalty’ </w:t>
      </w:r>
      <w:r w:rsidR="00586F39">
        <w:rPr>
          <w:rFonts w:cs="Times New Roman"/>
          <w:szCs w:val="24"/>
        </w:rPr>
        <w:t xml:space="preserve">to their clients “without being distracted by other </w:t>
      </w:r>
      <w:r w:rsidR="00193FEA">
        <w:rPr>
          <w:rFonts w:cs="Times New Roman"/>
          <w:szCs w:val="24"/>
        </w:rPr>
        <w:t>interests</w:t>
      </w:r>
      <w:r w:rsidR="00586F39">
        <w:rPr>
          <w:rFonts w:cs="Times New Roman"/>
          <w:szCs w:val="24"/>
        </w:rPr>
        <w:t xml:space="preserve"> including personal interest”</w:t>
      </w:r>
    </w:p>
    <w:p w14:paraId="6B30654D" w14:textId="3AAB37F4" w:rsidR="00586F39" w:rsidRPr="00D70A7E" w:rsidRDefault="00586F39" w:rsidP="00392BC9">
      <w:pPr>
        <w:pStyle w:val="NoSpacing"/>
        <w:numPr>
          <w:ilvl w:val="1"/>
          <w:numId w:val="62"/>
        </w:numPr>
        <w:rPr>
          <w:rFonts w:cs="Times New Roman"/>
          <w:szCs w:val="24"/>
        </w:rPr>
      </w:pPr>
      <w:r w:rsidRPr="00455E67">
        <w:rPr>
          <w:rFonts w:cs="Times New Roman"/>
          <w:i/>
          <w:szCs w:val="24"/>
        </w:rPr>
        <w:t xml:space="preserve">R v Neil </w:t>
      </w:r>
    </w:p>
    <w:p w14:paraId="2DFF7171" w14:textId="53F9F811" w:rsidR="00D70A7E" w:rsidRPr="00D07C3A" w:rsidRDefault="00BC22F0" w:rsidP="00392BC9">
      <w:pPr>
        <w:pStyle w:val="NoSpacing"/>
        <w:numPr>
          <w:ilvl w:val="1"/>
          <w:numId w:val="62"/>
        </w:numPr>
        <w:rPr>
          <w:rFonts w:cs="Times New Roman"/>
          <w:szCs w:val="24"/>
        </w:rPr>
      </w:pPr>
      <w:r>
        <w:rPr>
          <w:rFonts w:cs="Times New Roman"/>
          <w:i/>
          <w:szCs w:val="24"/>
        </w:rPr>
        <w:t>PCPR 9.1</w:t>
      </w:r>
      <w:r w:rsidR="00917194">
        <w:rPr>
          <w:rFonts w:cs="Times New Roman"/>
          <w:szCs w:val="24"/>
        </w:rPr>
        <w:t xml:space="preserve"> –</w:t>
      </w:r>
      <w:r w:rsidR="00D649BF">
        <w:rPr>
          <w:rFonts w:cs="Times New Roman"/>
          <w:szCs w:val="24"/>
        </w:rPr>
        <w:t xml:space="preserve"> </w:t>
      </w:r>
      <w:r w:rsidR="00D649BF" w:rsidRPr="00D649BF">
        <w:rPr>
          <w:bCs/>
          <w:i/>
          <w:sz w:val="23"/>
          <w:szCs w:val="23"/>
        </w:rPr>
        <w:t>Avoiding Conflict of Interest (where practitioner's own interest involved)</w:t>
      </w:r>
    </w:p>
    <w:p w14:paraId="47320274" w14:textId="77777777" w:rsidR="00923EBE" w:rsidRPr="00C70778" w:rsidRDefault="00923EBE" w:rsidP="00C70778">
      <w:pPr>
        <w:pStyle w:val="NoSpacing"/>
      </w:pPr>
    </w:p>
    <w:p w14:paraId="126D181B" w14:textId="77777777" w:rsidR="00232B64" w:rsidRDefault="00AB2C85" w:rsidP="00392BC9">
      <w:pPr>
        <w:numPr>
          <w:ilvl w:val="0"/>
          <w:numId w:val="62"/>
        </w:numPr>
        <w:rPr>
          <w:lang w:val="en-AU"/>
        </w:rPr>
      </w:pPr>
      <w:r w:rsidRPr="00026191">
        <w:rPr>
          <w:b/>
          <w:i/>
          <w:lang w:val="en-AU"/>
        </w:rPr>
        <w:t>Not to deal or transact with client</w:t>
      </w:r>
      <w:r>
        <w:rPr>
          <w:i/>
          <w:lang w:val="en-AU"/>
        </w:rPr>
        <w:t xml:space="preserve"> – </w:t>
      </w:r>
      <w:r w:rsidR="007B6139" w:rsidRPr="007B6139">
        <w:rPr>
          <w:lang w:val="en-AU"/>
        </w:rPr>
        <w:t>A lawyer who deals or transacts with a client, other than solely within the scope of the retainer, may prima facie place him/hers</w:t>
      </w:r>
      <w:r w:rsidR="007B6139">
        <w:rPr>
          <w:lang w:val="en-AU"/>
        </w:rPr>
        <w:t>elf in a position of conflict between</w:t>
      </w:r>
      <w:r w:rsidR="001916C5">
        <w:rPr>
          <w:lang w:val="en-AU"/>
        </w:rPr>
        <w:t xml:space="preserve"> interest and duty</w:t>
      </w:r>
    </w:p>
    <w:p w14:paraId="04FC3B77" w14:textId="4D856B2A" w:rsidR="007B6139" w:rsidRPr="00811A5A" w:rsidRDefault="007B6139" w:rsidP="00392BC9">
      <w:pPr>
        <w:numPr>
          <w:ilvl w:val="1"/>
          <w:numId w:val="62"/>
        </w:numPr>
        <w:rPr>
          <w:lang w:val="en-AU"/>
        </w:rPr>
      </w:pPr>
      <w:r w:rsidRPr="00C77006">
        <w:rPr>
          <w:i/>
          <w:iCs/>
          <w:lang w:val="en-AU"/>
        </w:rPr>
        <w:t>Law Society of NSW v Harvey</w:t>
      </w:r>
    </w:p>
    <w:p w14:paraId="360E43AE" w14:textId="77777777" w:rsidR="00811A5A" w:rsidRPr="00811A5A" w:rsidRDefault="00811A5A" w:rsidP="00811A5A">
      <w:pPr>
        <w:ind w:left="1440"/>
        <w:rPr>
          <w:lang w:val="en-AU"/>
        </w:rPr>
      </w:pPr>
    </w:p>
    <w:p w14:paraId="31DC3A3C" w14:textId="77777777" w:rsidR="00AD03CE" w:rsidRPr="00AD03CE" w:rsidRDefault="00811A5A" w:rsidP="00392BC9">
      <w:pPr>
        <w:numPr>
          <w:ilvl w:val="0"/>
          <w:numId w:val="62"/>
        </w:numPr>
        <w:rPr>
          <w:lang w:val="en-AU"/>
        </w:rPr>
      </w:pPr>
      <w:r w:rsidRPr="00026191">
        <w:rPr>
          <w:b/>
          <w:i/>
          <w:lang w:val="en-AU"/>
        </w:rPr>
        <w:t>Public Confidence</w:t>
      </w:r>
      <w:r>
        <w:rPr>
          <w:i/>
          <w:lang w:val="en-AU"/>
        </w:rPr>
        <w:t xml:space="preserve"> – </w:t>
      </w:r>
      <w:r w:rsidR="00D51C99">
        <w:t xml:space="preserve">The public perception that lawyers can use their privileged position to their own advantage lowers not only </w:t>
      </w:r>
    </w:p>
    <w:p w14:paraId="4E9FEE0F" w14:textId="35C4D992" w:rsidR="00AD03CE" w:rsidRPr="00AD03CE" w:rsidRDefault="005A3EDB" w:rsidP="00392BC9">
      <w:pPr>
        <w:numPr>
          <w:ilvl w:val="1"/>
          <w:numId w:val="62"/>
        </w:numPr>
        <w:rPr>
          <w:lang w:val="en-AU"/>
        </w:rPr>
      </w:pPr>
      <w:r>
        <w:rPr>
          <w:i/>
        </w:rPr>
        <w:t>Public Respect –</w:t>
      </w:r>
      <w:r w:rsidR="00D51C99">
        <w:t xml:space="preserve"> for the profession – per </w:t>
      </w:r>
      <w:r w:rsidR="00D51C99" w:rsidRPr="00A34ED1">
        <w:rPr>
          <w:i/>
        </w:rPr>
        <w:t>O’Reilly v Law Society of NSW</w:t>
      </w:r>
      <w:r w:rsidR="00D51C99">
        <w:t xml:space="preserve"> </w:t>
      </w:r>
    </w:p>
    <w:p w14:paraId="5B6B14EA" w14:textId="2E169752" w:rsidR="00811A5A" w:rsidRPr="00E5425E" w:rsidRDefault="00D51C99" w:rsidP="00392BC9">
      <w:pPr>
        <w:numPr>
          <w:ilvl w:val="1"/>
          <w:numId w:val="62"/>
        </w:numPr>
        <w:rPr>
          <w:lang w:val="en-AU"/>
        </w:rPr>
      </w:pPr>
      <w:r>
        <w:t xml:space="preserve">also public confidence in the legal system </w:t>
      </w:r>
      <w:r w:rsidRPr="00A34ED1">
        <w:rPr>
          <w:i/>
        </w:rPr>
        <w:t>Australian Securities Commission v Bell</w:t>
      </w:r>
      <w:r w:rsidR="008869FC">
        <w:t>.</w:t>
      </w:r>
    </w:p>
    <w:p w14:paraId="243EDCC6" w14:textId="77777777" w:rsidR="007B6139" w:rsidRPr="007B6139" w:rsidRDefault="007B6139" w:rsidP="007B6139">
      <w:pPr>
        <w:ind w:left="720"/>
      </w:pPr>
    </w:p>
    <w:p w14:paraId="5B820185" w14:textId="3EA59C63" w:rsidR="007B6139" w:rsidRPr="007B6139" w:rsidRDefault="000A2107" w:rsidP="00392BC9">
      <w:pPr>
        <w:numPr>
          <w:ilvl w:val="0"/>
          <w:numId w:val="62"/>
        </w:numPr>
      </w:pPr>
      <w:r w:rsidRPr="00026191">
        <w:rPr>
          <w:b/>
          <w:i/>
          <w:lang w:val="en-AU"/>
        </w:rPr>
        <w:t>Duty of Loyalty</w:t>
      </w:r>
      <w:r>
        <w:rPr>
          <w:i/>
          <w:lang w:val="en-AU"/>
        </w:rPr>
        <w:t xml:space="preserve"> – </w:t>
      </w:r>
      <w:r w:rsidR="007B6139" w:rsidRPr="007B6139">
        <w:rPr>
          <w:lang w:val="en-AU"/>
        </w:rPr>
        <w:t xml:space="preserve">Fiduciary principle dictates that lawyers must give undivided loyalty to their clients, </w:t>
      </w:r>
      <w:r w:rsidR="007705F7">
        <w:rPr>
          <w:lang w:val="en-AU"/>
        </w:rPr>
        <w:t>without</w:t>
      </w:r>
      <w:r w:rsidR="007B6139" w:rsidRPr="007B6139">
        <w:rPr>
          <w:lang w:val="en-AU"/>
        </w:rPr>
        <w:t xml:space="preserve"> being distracted by other interest including personal interest. This requires practitioners to avoid conflict between the </w:t>
      </w:r>
      <w:r w:rsidR="007B6139" w:rsidRPr="007B6139">
        <w:rPr>
          <w:u w:val="single"/>
          <w:lang w:val="en-AU"/>
        </w:rPr>
        <w:t>interests of a client and</w:t>
      </w:r>
      <w:r w:rsidR="007B6139" w:rsidRPr="007B6139">
        <w:rPr>
          <w:lang w:val="en-AU"/>
        </w:rPr>
        <w:t>:</w:t>
      </w:r>
    </w:p>
    <w:p w14:paraId="25813B7C" w14:textId="7E83AC26" w:rsidR="007B6139" w:rsidRPr="000F44B8" w:rsidRDefault="007B6139" w:rsidP="00392BC9">
      <w:pPr>
        <w:pStyle w:val="ListParagraph"/>
        <w:numPr>
          <w:ilvl w:val="1"/>
          <w:numId w:val="62"/>
        </w:numPr>
        <w:rPr>
          <w:lang w:val="en-AU"/>
        </w:rPr>
      </w:pPr>
      <w:r w:rsidRPr="000F44B8">
        <w:rPr>
          <w:lang w:val="en-AU"/>
        </w:rPr>
        <w:t xml:space="preserve">The personal interests of the </w:t>
      </w:r>
      <w:r w:rsidRPr="000F44B8">
        <w:rPr>
          <w:u w:val="single"/>
          <w:lang w:val="en-AU"/>
        </w:rPr>
        <w:t>lawyer</w:t>
      </w:r>
      <w:r w:rsidRPr="000F44B8">
        <w:rPr>
          <w:lang w:val="en-AU"/>
        </w:rPr>
        <w:t>;</w:t>
      </w:r>
    </w:p>
    <w:p w14:paraId="6BDE28A9" w14:textId="77777777" w:rsidR="000F44B8" w:rsidRDefault="007B6139" w:rsidP="00392BC9">
      <w:pPr>
        <w:pStyle w:val="ListParagraph"/>
        <w:numPr>
          <w:ilvl w:val="1"/>
          <w:numId w:val="62"/>
        </w:numPr>
        <w:rPr>
          <w:lang w:val="en-AU"/>
        </w:rPr>
      </w:pPr>
      <w:r w:rsidRPr="000F44B8">
        <w:rPr>
          <w:lang w:val="en-AU"/>
        </w:rPr>
        <w:t xml:space="preserve">The interests of </w:t>
      </w:r>
      <w:r w:rsidRPr="000F44B8">
        <w:rPr>
          <w:u w:val="single"/>
          <w:lang w:val="en-AU"/>
        </w:rPr>
        <w:t>another client</w:t>
      </w:r>
      <w:r w:rsidRPr="000F44B8">
        <w:rPr>
          <w:lang w:val="en-AU"/>
        </w:rPr>
        <w:t xml:space="preserve"> </w:t>
      </w:r>
      <w:r w:rsidR="000F44B8" w:rsidRPr="000F44B8">
        <w:rPr>
          <w:lang w:val="en-AU"/>
        </w:rPr>
        <w:t>both in the:</w:t>
      </w:r>
    </w:p>
    <w:p w14:paraId="2CC54BEA" w14:textId="6DBC39A7" w:rsidR="000F44B8" w:rsidRPr="00970B2C" w:rsidRDefault="000F44B8" w:rsidP="00392BC9">
      <w:pPr>
        <w:pStyle w:val="ListParagraph"/>
        <w:numPr>
          <w:ilvl w:val="2"/>
          <w:numId w:val="62"/>
        </w:numPr>
        <w:rPr>
          <w:b/>
          <w:lang w:val="en-AU"/>
        </w:rPr>
      </w:pPr>
      <w:r w:rsidRPr="00970B2C">
        <w:rPr>
          <w:b/>
          <w:lang w:val="en-AU"/>
        </w:rPr>
        <w:t>Current Client</w:t>
      </w:r>
      <w:r w:rsidR="007B6139" w:rsidRPr="00970B2C">
        <w:rPr>
          <w:b/>
          <w:lang w:val="en-AU"/>
        </w:rPr>
        <w:t xml:space="preserve"> (concurrent)</w:t>
      </w:r>
      <w:r w:rsidR="00970B2C">
        <w:rPr>
          <w:b/>
          <w:lang w:val="en-AU"/>
        </w:rPr>
        <w:t>;</w:t>
      </w:r>
      <w:r w:rsidR="007B6139" w:rsidRPr="00970B2C">
        <w:rPr>
          <w:b/>
          <w:lang w:val="en-AU"/>
        </w:rPr>
        <w:t xml:space="preserve"> and </w:t>
      </w:r>
    </w:p>
    <w:p w14:paraId="3FF6A0B2" w14:textId="61113F74" w:rsidR="00342575" w:rsidRPr="00970B2C" w:rsidRDefault="004738BC" w:rsidP="00392BC9">
      <w:pPr>
        <w:pStyle w:val="ListParagraph"/>
        <w:numPr>
          <w:ilvl w:val="2"/>
          <w:numId w:val="62"/>
        </w:numPr>
        <w:rPr>
          <w:b/>
          <w:lang w:val="en-AU"/>
        </w:rPr>
      </w:pPr>
      <w:r w:rsidRPr="00970B2C">
        <w:rPr>
          <w:b/>
          <w:lang w:val="en-AU"/>
        </w:rPr>
        <w:t>Former Client</w:t>
      </w:r>
      <w:r w:rsidR="007B6139" w:rsidRPr="00970B2C">
        <w:rPr>
          <w:b/>
          <w:lang w:val="en-AU"/>
        </w:rPr>
        <w:t xml:space="preserve"> (successive</w:t>
      </w:r>
      <w:r w:rsidR="00970B2C" w:rsidRPr="00970B2C">
        <w:rPr>
          <w:b/>
          <w:lang w:val="en-AU"/>
        </w:rPr>
        <w:t>)</w:t>
      </w:r>
      <w:r w:rsidR="007B6139" w:rsidRPr="00970B2C">
        <w:rPr>
          <w:b/>
          <w:lang w:val="en-AU"/>
        </w:rPr>
        <w:t xml:space="preserve"> </w:t>
      </w:r>
    </w:p>
    <w:p w14:paraId="317F77AE" w14:textId="77777777" w:rsidR="00C75FCE" w:rsidRDefault="00C75FCE" w:rsidP="00C75FCE">
      <w:pPr>
        <w:pStyle w:val="ListParagraph"/>
        <w:ind w:left="1440"/>
        <w:rPr>
          <w:lang w:val="en-AU"/>
        </w:rPr>
      </w:pPr>
    </w:p>
    <w:p w14:paraId="69D3DAA9" w14:textId="021F19E5" w:rsidR="007B6139" w:rsidRPr="00C75FCE" w:rsidRDefault="00342575" w:rsidP="00C75FCE">
      <w:pPr>
        <w:pStyle w:val="ListParagraph"/>
        <w:ind w:left="1440"/>
        <w:rPr>
          <w:lang w:val="en-AU"/>
        </w:rPr>
      </w:pPr>
      <w:r w:rsidRPr="00C75FCE">
        <w:rPr>
          <w:lang w:val="en-AU"/>
        </w:rPr>
        <w:t>Because of the</w:t>
      </w:r>
      <w:r w:rsidR="007B6139" w:rsidRPr="00C75FCE">
        <w:rPr>
          <w:lang w:val="en-AU"/>
        </w:rPr>
        <w:t xml:space="preserve"> duties of loyalty and confidentiality</w:t>
      </w:r>
      <w:r w:rsidR="00C75FCE">
        <w:rPr>
          <w:lang w:val="en-AU"/>
        </w:rPr>
        <w:t>.</w:t>
      </w:r>
    </w:p>
    <w:p w14:paraId="1AA86256" w14:textId="77777777" w:rsidR="007B6139" w:rsidRDefault="007B6139" w:rsidP="007B6139">
      <w:pPr>
        <w:ind w:left="720"/>
        <w:rPr>
          <w:lang w:val="en-AU"/>
        </w:rPr>
      </w:pPr>
    </w:p>
    <w:p w14:paraId="1ED49D3A" w14:textId="44FF750C" w:rsidR="009D394B" w:rsidRPr="009D394B" w:rsidRDefault="00C75FCE" w:rsidP="00392BC9">
      <w:pPr>
        <w:numPr>
          <w:ilvl w:val="0"/>
          <w:numId w:val="62"/>
        </w:numPr>
        <w:rPr>
          <w:lang w:val="en-AU"/>
        </w:rPr>
      </w:pPr>
      <w:r w:rsidRPr="00026191">
        <w:rPr>
          <w:b/>
          <w:i/>
          <w:lang w:val="en-AU"/>
        </w:rPr>
        <w:t>Extends beyond individual Lawyer</w:t>
      </w:r>
      <w:r>
        <w:rPr>
          <w:i/>
          <w:lang w:val="en-AU"/>
        </w:rPr>
        <w:t xml:space="preserve"> – </w:t>
      </w:r>
      <w:r w:rsidR="009D394B">
        <w:rPr>
          <w:i/>
          <w:lang w:val="en-AU"/>
        </w:rPr>
        <w:t>PCPR 9.2 ‘or the interest of an associate’</w:t>
      </w:r>
    </w:p>
    <w:p w14:paraId="461C34CF" w14:textId="77777777" w:rsidR="00BA1DAE" w:rsidRDefault="007B6139" w:rsidP="00392BC9">
      <w:pPr>
        <w:numPr>
          <w:ilvl w:val="1"/>
          <w:numId w:val="62"/>
        </w:numPr>
        <w:rPr>
          <w:lang w:val="en-AU"/>
        </w:rPr>
      </w:pPr>
      <w:r w:rsidRPr="007B6139">
        <w:rPr>
          <w:lang w:val="en-AU"/>
        </w:rPr>
        <w:t>Duty extends beyond the individual lawyer to</w:t>
      </w:r>
      <w:r w:rsidR="00BA1DAE">
        <w:rPr>
          <w:lang w:val="en-AU"/>
        </w:rPr>
        <w:t>:</w:t>
      </w:r>
    </w:p>
    <w:p w14:paraId="223C6D46" w14:textId="5B9EC5DE" w:rsidR="00BA1DAE" w:rsidRDefault="00BA1DAE" w:rsidP="00392BC9">
      <w:pPr>
        <w:numPr>
          <w:ilvl w:val="2"/>
          <w:numId w:val="62"/>
        </w:numPr>
        <w:rPr>
          <w:lang w:val="en-AU"/>
        </w:rPr>
      </w:pPr>
      <w:r>
        <w:rPr>
          <w:lang w:val="en-AU"/>
        </w:rPr>
        <w:t>a partner; or</w:t>
      </w:r>
    </w:p>
    <w:p w14:paraId="0338DDB1" w14:textId="67C3F9CC" w:rsidR="00BA1DAE" w:rsidRDefault="00BA1DAE" w:rsidP="00392BC9">
      <w:pPr>
        <w:numPr>
          <w:ilvl w:val="2"/>
          <w:numId w:val="62"/>
        </w:numPr>
        <w:rPr>
          <w:lang w:val="en-AU"/>
        </w:rPr>
      </w:pPr>
      <w:r>
        <w:rPr>
          <w:lang w:val="en-AU"/>
        </w:rPr>
        <w:t>employee;</w:t>
      </w:r>
      <w:r w:rsidR="007B6139" w:rsidRPr="007B6139">
        <w:rPr>
          <w:lang w:val="en-AU"/>
        </w:rPr>
        <w:t xml:space="preserve"> or </w:t>
      </w:r>
    </w:p>
    <w:p w14:paraId="379D78D0" w14:textId="7E881BCB" w:rsidR="00BA1DAE" w:rsidRDefault="007B6139" w:rsidP="00392BC9">
      <w:pPr>
        <w:numPr>
          <w:ilvl w:val="2"/>
          <w:numId w:val="62"/>
        </w:numPr>
        <w:rPr>
          <w:lang w:val="en-AU"/>
        </w:rPr>
      </w:pPr>
      <w:r w:rsidRPr="007B6139">
        <w:rPr>
          <w:lang w:val="en-AU"/>
        </w:rPr>
        <w:t xml:space="preserve">agent of the </w:t>
      </w:r>
      <w:r w:rsidR="00BA1DAE">
        <w:rPr>
          <w:lang w:val="en-AU"/>
        </w:rPr>
        <w:t>lawyer or of the lawyer’s firm; or</w:t>
      </w:r>
    </w:p>
    <w:p w14:paraId="74F139A9" w14:textId="40F5C9B6" w:rsidR="00BA1DAE" w:rsidRDefault="007B6139" w:rsidP="00392BC9">
      <w:pPr>
        <w:numPr>
          <w:ilvl w:val="2"/>
          <w:numId w:val="62"/>
        </w:numPr>
        <w:rPr>
          <w:lang w:val="en-AU"/>
        </w:rPr>
      </w:pPr>
      <w:r w:rsidRPr="007B6139">
        <w:rPr>
          <w:lang w:val="en-AU"/>
        </w:rPr>
        <w:t xml:space="preserve">partnership in which the lawyer has a material interest; </w:t>
      </w:r>
      <w:r w:rsidR="00BA1DAE">
        <w:rPr>
          <w:lang w:val="en-AU"/>
        </w:rPr>
        <w:t>or</w:t>
      </w:r>
    </w:p>
    <w:p w14:paraId="18CB3C86" w14:textId="35B0212F" w:rsidR="00BA1DAE" w:rsidRDefault="007B6139" w:rsidP="00392BC9">
      <w:pPr>
        <w:numPr>
          <w:ilvl w:val="2"/>
          <w:numId w:val="62"/>
        </w:numPr>
        <w:rPr>
          <w:lang w:val="en-AU"/>
        </w:rPr>
      </w:pPr>
      <w:r w:rsidRPr="007B6139">
        <w:rPr>
          <w:lang w:val="en-AU"/>
        </w:rPr>
        <w:t xml:space="preserve">director of an incorporated practice; and </w:t>
      </w:r>
    </w:p>
    <w:p w14:paraId="7F7884B2" w14:textId="47DD96ED" w:rsidR="007B6139" w:rsidRDefault="007B6139" w:rsidP="00392BC9">
      <w:pPr>
        <w:numPr>
          <w:ilvl w:val="2"/>
          <w:numId w:val="62"/>
        </w:numPr>
        <w:rPr>
          <w:lang w:val="en-AU"/>
        </w:rPr>
      </w:pPr>
      <w:r w:rsidRPr="007B6139">
        <w:rPr>
          <w:lang w:val="en-AU"/>
        </w:rPr>
        <w:t>member of a lawyer’s immediate family</w:t>
      </w:r>
      <w:r w:rsidR="00BA1DAE">
        <w:rPr>
          <w:lang w:val="en-AU"/>
        </w:rPr>
        <w:t>.</w:t>
      </w:r>
    </w:p>
    <w:p w14:paraId="30482974" w14:textId="77777777" w:rsidR="00811A5A" w:rsidRPr="007B6139" w:rsidRDefault="00811A5A" w:rsidP="00811A5A">
      <w:pPr>
        <w:ind w:left="1440"/>
        <w:rPr>
          <w:lang w:val="en-AU"/>
        </w:rPr>
      </w:pPr>
    </w:p>
    <w:p w14:paraId="64328A11" w14:textId="7A81E7F3" w:rsidR="00240868" w:rsidRPr="00240868" w:rsidRDefault="00240868" w:rsidP="00392BC9">
      <w:pPr>
        <w:pStyle w:val="NoSpacing"/>
        <w:numPr>
          <w:ilvl w:val="0"/>
          <w:numId w:val="62"/>
        </w:numPr>
        <w:rPr>
          <w:szCs w:val="24"/>
        </w:rPr>
      </w:pPr>
      <w:r w:rsidRPr="00240868">
        <w:rPr>
          <w:b/>
          <w:i/>
          <w:szCs w:val="24"/>
        </w:rPr>
        <w:t xml:space="preserve">Seek independent advice </w:t>
      </w:r>
      <w:r>
        <w:rPr>
          <w:b/>
          <w:szCs w:val="24"/>
        </w:rPr>
        <w:t xml:space="preserve">– </w:t>
      </w:r>
      <w:r w:rsidRPr="000515B9">
        <w:rPr>
          <w:szCs w:val="24"/>
        </w:rPr>
        <w:t>Where the possibility of conflict is evident, the lawyer should encourage their clients to seek i</w:t>
      </w:r>
      <w:r w:rsidR="00D02E6E">
        <w:rPr>
          <w:szCs w:val="24"/>
        </w:rPr>
        <w:t xml:space="preserve">ndependent and impartial advice – </w:t>
      </w:r>
      <w:r w:rsidR="00D02E6E">
        <w:rPr>
          <w:i/>
          <w:szCs w:val="24"/>
        </w:rPr>
        <w:t>Wolley v Ritchie</w:t>
      </w:r>
      <w:r w:rsidR="00126045">
        <w:rPr>
          <w:i/>
          <w:szCs w:val="24"/>
        </w:rPr>
        <w:t xml:space="preserve"> &amp; Maher v Millennium Markets</w:t>
      </w:r>
    </w:p>
    <w:p w14:paraId="5392C8A1" w14:textId="77777777" w:rsidR="00240868" w:rsidRDefault="00240868" w:rsidP="00392BC9">
      <w:pPr>
        <w:pStyle w:val="NoSpacing"/>
        <w:numPr>
          <w:ilvl w:val="1"/>
          <w:numId w:val="62"/>
        </w:numPr>
        <w:rPr>
          <w:szCs w:val="24"/>
        </w:rPr>
      </w:pPr>
      <w:r>
        <w:rPr>
          <w:szCs w:val="24"/>
        </w:rPr>
        <w:t>‘Merely advising the clients of the opportunity to seek independent advise does not protect the lawyer from a fiduciary breach’</w:t>
      </w:r>
    </w:p>
    <w:p w14:paraId="2BA98505" w14:textId="19C4527F" w:rsidR="00BB19EC" w:rsidRDefault="00BB19EC" w:rsidP="00392BC9">
      <w:pPr>
        <w:pStyle w:val="NoSpacing"/>
        <w:numPr>
          <w:ilvl w:val="2"/>
          <w:numId w:val="62"/>
        </w:numPr>
        <w:rPr>
          <w:szCs w:val="24"/>
        </w:rPr>
      </w:pPr>
      <w:r>
        <w:rPr>
          <w:i/>
          <w:szCs w:val="24"/>
        </w:rPr>
        <w:t>Brott v Maher</w:t>
      </w:r>
    </w:p>
    <w:p w14:paraId="56F01642" w14:textId="77777777" w:rsidR="00240868" w:rsidRDefault="00240868" w:rsidP="00240868">
      <w:pPr>
        <w:pStyle w:val="NoSpacing"/>
        <w:ind w:left="720"/>
        <w:rPr>
          <w:rFonts w:cs="Times New Roman"/>
          <w:szCs w:val="24"/>
        </w:rPr>
      </w:pPr>
    </w:p>
    <w:p w14:paraId="1293B276" w14:textId="38F93156" w:rsidR="00923EBE" w:rsidRPr="00420AD4" w:rsidRDefault="00241AEE" w:rsidP="00392BC9">
      <w:pPr>
        <w:pStyle w:val="NoSpacing"/>
        <w:numPr>
          <w:ilvl w:val="0"/>
          <w:numId w:val="62"/>
        </w:numPr>
        <w:rPr>
          <w:rFonts w:cs="Times New Roman"/>
          <w:szCs w:val="24"/>
        </w:rPr>
      </w:pPr>
      <w:r>
        <w:rPr>
          <w:rFonts w:cs="Times New Roman"/>
          <w:b/>
          <w:i/>
          <w:szCs w:val="24"/>
        </w:rPr>
        <w:t xml:space="preserve">Barrister’s duty to inform client of conflict </w:t>
      </w:r>
      <w:r w:rsidRPr="00420AD4">
        <w:rPr>
          <w:rFonts w:cs="Times New Roman"/>
          <w:szCs w:val="24"/>
        </w:rPr>
        <w:t xml:space="preserve">– </w:t>
      </w:r>
      <w:r w:rsidR="00AC3440" w:rsidRPr="00420AD4">
        <w:rPr>
          <w:rFonts w:cs="Times New Roman"/>
          <w:szCs w:val="24"/>
        </w:rPr>
        <w:t>A barrister, who believes on reasonable grounds that the interests of the client may conflict with the interests of the instructing solicitor, or that the client may have against the solicitor must advise  the solicitor and client.</w:t>
      </w:r>
    </w:p>
    <w:p w14:paraId="4AE67134" w14:textId="0591C43E" w:rsidR="00AC3440" w:rsidRPr="00420AD4" w:rsidRDefault="00AC3440" w:rsidP="00392BC9">
      <w:pPr>
        <w:pStyle w:val="NoSpacing"/>
        <w:numPr>
          <w:ilvl w:val="1"/>
          <w:numId w:val="62"/>
        </w:numPr>
        <w:rPr>
          <w:rFonts w:cs="Times New Roman"/>
          <w:szCs w:val="24"/>
        </w:rPr>
      </w:pPr>
      <w:r w:rsidRPr="00420AD4">
        <w:rPr>
          <w:rFonts w:cs="Times New Roman"/>
          <w:i/>
          <w:szCs w:val="24"/>
        </w:rPr>
        <w:t>Vic Bar Rules 73</w:t>
      </w:r>
    </w:p>
    <w:p w14:paraId="37B5FD3D" w14:textId="77777777" w:rsidR="0040570B" w:rsidRDefault="0040570B" w:rsidP="0040570B">
      <w:pPr>
        <w:pStyle w:val="NoSpacing"/>
        <w:rPr>
          <w:rFonts w:cs="Times New Roman"/>
          <w:b/>
          <w:szCs w:val="24"/>
          <w:u w:val="single"/>
        </w:rPr>
      </w:pPr>
      <w:r>
        <w:rPr>
          <w:rFonts w:cs="Times New Roman"/>
          <w:b/>
          <w:szCs w:val="24"/>
          <w:u w:val="single"/>
        </w:rPr>
        <w:lastRenderedPageBreak/>
        <w:t>Informed Client Consent</w:t>
      </w:r>
    </w:p>
    <w:p w14:paraId="103D15C4" w14:textId="20FC7867" w:rsidR="0040570B" w:rsidRPr="00461D4B" w:rsidRDefault="0040570B" w:rsidP="00392BC9">
      <w:pPr>
        <w:pStyle w:val="NoSpacing"/>
        <w:numPr>
          <w:ilvl w:val="0"/>
          <w:numId w:val="64"/>
        </w:numPr>
      </w:pPr>
      <w:r w:rsidRPr="004B34E2">
        <w:rPr>
          <w:b/>
          <w:i/>
        </w:rPr>
        <w:t>The role of consent</w:t>
      </w:r>
      <w:r w:rsidRPr="00D4244E">
        <w:rPr>
          <w:i/>
        </w:rPr>
        <w:t xml:space="preserve"> </w:t>
      </w:r>
      <w:r w:rsidR="004002E7">
        <w:rPr>
          <w:i/>
        </w:rPr>
        <w:t>–</w:t>
      </w:r>
      <w:r w:rsidRPr="00D4244E">
        <w:rPr>
          <w:i/>
        </w:rPr>
        <w:t xml:space="preserve"> </w:t>
      </w:r>
      <w:r w:rsidRPr="00D4244E">
        <w:rPr>
          <w:rFonts w:cs="Times New Roman"/>
          <w:szCs w:val="24"/>
        </w:rPr>
        <w:t xml:space="preserve">Essential to inform client consent or authority is “full candour and appropriately complete disclosure to the client by the lawyer </w:t>
      </w:r>
      <w:r>
        <w:rPr>
          <w:rFonts w:cs="Times New Roman"/>
          <w:szCs w:val="24"/>
        </w:rPr>
        <w:t xml:space="preserve">per </w:t>
      </w:r>
      <w:r w:rsidRPr="007951E8">
        <w:rPr>
          <w:rFonts w:cs="Times New Roman"/>
          <w:b/>
          <w:szCs w:val="24"/>
        </w:rPr>
        <w:t>O’Reilly v Law Society of NSW</w:t>
      </w:r>
      <w:r>
        <w:rPr>
          <w:rFonts w:cs="Times New Roman"/>
          <w:szCs w:val="24"/>
        </w:rPr>
        <w:t>.</w:t>
      </w:r>
    </w:p>
    <w:p w14:paraId="1278AD17" w14:textId="77777777" w:rsidR="0040570B" w:rsidRPr="00FF1A90" w:rsidRDefault="0040570B" w:rsidP="00392BC9">
      <w:pPr>
        <w:pStyle w:val="NoSpacing"/>
        <w:numPr>
          <w:ilvl w:val="1"/>
          <w:numId w:val="64"/>
        </w:numPr>
      </w:pPr>
      <w:r>
        <w:t>PCPR</w:t>
      </w:r>
      <w:r w:rsidRPr="00FF1A90">
        <w:t xml:space="preserve"> 8.3</w:t>
      </w:r>
      <w:r>
        <w:t xml:space="preserve"> – </w:t>
      </w:r>
      <w:r w:rsidRPr="00D4244E">
        <w:rPr>
          <w:i/>
        </w:rPr>
        <w:t>Acting for more than one party</w:t>
      </w:r>
    </w:p>
    <w:p w14:paraId="3A94F744" w14:textId="77777777" w:rsidR="0040570B" w:rsidRDefault="0040570B" w:rsidP="00392BC9">
      <w:pPr>
        <w:pStyle w:val="NoSpacing"/>
        <w:numPr>
          <w:ilvl w:val="1"/>
          <w:numId w:val="64"/>
        </w:numPr>
      </w:pPr>
      <w:r>
        <w:t xml:space="preserve">PCPR 9.2 – </w:t>
      </w:r>
      <w:r w:rsidRPr="00504273">
        <w:rPr>
          <w:i/>
        </w:rPr>
        <w:t>Avoiding conflict of interest</w:t>
      </w:r>
    </w:p>
    <w:p w14:paraId="7FDEB01C" w14:textId="77777777" w:rsidR="0040570B" w:rsidRDefault="0040570B" w:rsidP="00392BC9">
      <w:pPr>
        <w:pStyle w:val="NoSpacing"/>
        <w:numPr>
          <w:ilvl w:val="1"/>
          <w:numId w:val="64"/>
        </w:numPr>
      </w:pPr>
      <w:r>
        <w:t xml:space="preserve">PCPR 12.1 – </w:t>
      </w:r>
      <w:r w:rsidRPr="00504273">
        <w:rPr>
          <w:i/>
        </w:rPr>
        <w:t>Duty to the client</w:t>
      </w:r>
    </w:p>
    <w:p w14:paraId="1D171C28" w14:textId="77777777" w:rsidR="0040570B" w:rsidRPr="00BD4722" w:rsidRDefault="0040570B" w:rsidP="0040570B">
      <w:pPr>
        <w:pStyle w:val="NoSpacing"/>
        <w:ind w:left="1440"/>
      </w:pPr>
    </w:p>
    <w:p w14:paraId="1A9FF949" w14:textId="77777777" w:rsidR="0040570B" w:rsidRDefault="0040570B" w:rsidP="00392BC9">
      <w:pPr>
        <w:pStyle w:val="NoSpacing"/>
        <w:numPr>
          <w:ilvl w:val="0"/>
          <w:numId w:val="64"/>
        </w:numPr>
      </w:pPr>
      <w:r w:rsidRPr="004B34E2">
        <w:rPr>
          <w:b/>
          <w:i/>
        </w:rPr>
        <w:t>Must not yet be in a position of conflict</w:t>
      </w:r>
      <w:r>
        <w:rPr>
          <w:i/>
        </w:rPr>
        <w:t xml:space="preserve"> – </w:t>
      </w:r>
      <w:r w:rsidRPr="00FF1A90">
        <w:t>This provision is applicable only when the solicitor is not yet in a position where they are obliged to act against the interests of one of the parties – they are already at that stage then it won’t help.</w:t>
      </w:r>
    </w:p>
    <w:p w14:paraId="062B1554" w14:textId="77777777" w:rsidR="0040570B" w:rsidRPr="00DB7F2D" w:rsidRDefault="0040570B" w:rsidP="0040570B">
      <w:pPr>
        <w:pStyle w:val="NoSpacing"/>
        <w:ind w:left="1440"/>
      </w:pPr>
    </w:p>
    <w:p w14:paraId="3DDDE6A5" w14:textId="77777777" w:rsidR="0040570B" w:rsidRDefault="0040570B" w:rsidP="00392BC9">
      <w:pPr>
        <w:pStyle w:val="ListParagraph"/>
        <w:numPr>
          <w:ilvl w:val="0"/>
          <w:numId w:val="64"/>
        </w:numPr>
      </w:pPr>
      <w:r w:rsidRPr="004B34E2">
        <w:rPr>
          <w:b/>
          <w:i/>
        </w:rPr>
        <w:t>‘Arm the Client with Knowledge’</w:t>
      </w:r>
      <w:r w:rsidRPr="008E0825">
        <w:rPr>
          <w:i/>
        </w:rPr>
        <w:t xml:space="preserve"> </w:t>
      </w:r>
      <w:r>
        <w:t xml:space="preserve">– Disclosure is directed at placing the client in a position to determine whether or not (continue to) to retain the lawyer in the matter. </w:t>
      </w:r>
    </w:p>
    <w:p w14:paraId="04E62B73" w14:textId="77777777" w:rsidR="0040570B" w:rsidRDefault="0040570B" w:rsidP="0040570B">
      <w:pPr>
        <w:pStyle w:val="ListParagraph"/>
      </w:pPr>
    </w:p>
    <w:p w14:paraId="0D1D96A6" w14:textId="77777777" w:rsidR="0040570B" w:rsidRDefault="0040570B" w:rsidP="00392BC9">
      <w:pPr>
        <w:pStyle w:val="ListParagraph"/>
        <w:numPr>
          <w:ilvl w:val="1"/>
          <w:numId w:val="64"/>
        </w:numPr>
      </w:pPr>
      <w:r>
        <w:rPr>
          <w:i/>
        </w:rPr>
        <w:t xml:space="preserve">Lack of Client Knowledge implies Lack of Authority – </w:t>
      </w:r>
      <w:r>
        <w:t xml:space="preserve">Where the client lacks the knowledge of the existence or the scope or the implication of the conflict a client cannot be said to give informed consent or authority to the (continuing) representation. </w:t>
      </w:r>
    </w:p>
    <w:p w14:paraId="432916CD" w14:textId="77777777" w:rsidR="0040570B" w:rsidRPr="004B34E2" w:rsidRDefault="0040570B" w:rsidP="00392BC9">
      <w:pPr>
        <w:pStyle w:val="ListParagraph"/>
        <w:numPr>
          <w:ilvl w:val="2"/>
          <w:numId w:val="64"/>
        </w:numPr>
        <w:rPr>
          <w:i/>
        </w:rPr>
      </w:pPr>
      <w:r w:rsidRPr="004B34E2">
        <w:rPr>
          <w:i/>
        </w:rPr>
        <w:t>Castlereagh Motels v Davies Roe</w:t>
      </w:r>
    </w:p>
    <w:p w14:paraId="1A5C8EAA" w14:textId="77777777" w:rsidR="0040570B" w:rsidRPr="00DB7F2D" w:rsidRDefault="0040570B" w:rsidP="0040570B">
      <w:pPr>
        <w:pStyle w:val="NoSpacing"/>
        <w:ind w:left="1440"/>
      </w:pPr>
    </w:p>
    <w:p w14:paraId="6BD9E194" w14:textId="77777777" w:rsidR="0040570B" w:rsidRPr="00703212" w:rsidRDefault="0040570B" w:rsidP="00392BC9">
      <w:pPr>
        <w:pStyle w:val="NoSpacing"/>
        <w:numPr>
          <w:ilvl w:val="1"/>
          <w:numId w:val="64"/>
        </w:numPr>
      </w:pPr>
      <w:r>
        <w:rPr>
          <w:rFonts w:cs="Times New Roman"/>
          <w:i/>
          <w:szCs w:val="24"/>
        </w:rPr>
        <w:t xml:space="preserve">Onus rests on Lawyer to Inform – </w:t>
      </w:r>
      <w:r>
        <w:rPr>
          <w:rFonts w:cs="Times New Roman"/>
          <w:szCs w:val="24"/>
        </w:rPr>
        <w:t xml:space="preserve">The lawyer carries this onus because he or she is better positioned than the client to appreciate both the existence of a conflict and its likely scope and implications. </w:t>
      </w:r>
    </w:p>
    <w:p w14:paraId="20AFD218" w14:textId="77777777" w:rsidR="0040570B" w:rsidRPr="000D61DA" w:rsidRDefault="0040570B" w:rsidP="00392BC9">
      <w:pPr>
        <w:pStyle w:val="NoSpacing"/>
        <w:numPr>
          <w:ilvl w:val="2"/>
          <w:numId w:val="64"/>
        </w:numPr>
      </w:pPr>
      <w:r>
        <w:rPr>
          <w:rFonts w:cs="Times New Roman"/>
          <w:i/>
          <w:szCs w:val="24"/>
        </w:rPr>
        <w:t xml:space="preserve">Sims v Craig Bell &amp; Bond </w:t>
      </w:r>
    </w:p>
    <w:p w14:paraId="141BA8C8" w14:textId="77777777" w:rsidR="0040570B" w:rsidRDefault="0040570B" w:rsidP="0040570B">
      <w:pPr>
        <w:pStyle w:val="ListParagraph"/>
        <w:ind w:left="1440"/>
      </w:pPr>
    </w:p>
    <w:p w14:paraId="0426ADC4" w14:textId="77777777" w:rsidR="0040570B" w:rsidRDefault="0040570B" w:rsidP="00392BC9">
      <w:pPr>
        <w:pStyle w:val="ListParagraph"/>
        <w:numPr>
          <w:ilvl w:val="1"/>
          <w:numId w:val="64"/>
        </w:numPr>
      </w:pPr>
      <w:r>
        <w:t xml:space="preserve">Further Street CJ in </w:t>
      </w:r>
      <w:r w:rsidRPr="00AB5542">
        <w:rPr>
          <w:i/>
        </w:rPr>
        <w:t>Law Society of NSW v Harvey</w:t>
      </w:r>
      <w:r>
        <w:t xml:space="preserve"> said</w:t>
      </w:r>
    </w:p>
    <w:p w14:paraId="5AE4F904" w14:textId="77777777" w:rsidR="0040570B" w:rsidRDefault="0040570B" w:rsidP="0040570B">
      <w:pPr>
        <w:pStyle w:val="ListParagraph"/>
        <w:ind w:left="1440"/>
      </w:pPr>
    </w:p>
    <w:p w14:paraId="1D31ECDD" w14:textId="77777777" w:rsidR="0040570B" w:rsidRDefault="0040570B" w:rsidP="0040570B">
      <w:pPr>
        <w:pStyle w:val="ListParagraph"/>
        <w:ind w:left="2160"/>
        <w:rPr>
          <w:i/>
        </w:rPr>
      </w:pPr>
      <w:r w:rsidRPr="00AB5542">
        <w:rPr>
          <w:i/>
        </w:rPr>
        <w:t xml:space="preserve">‘the disclosure must be conscientious </w:t>
      </w:r>
      <w:r w:rsidRPr="006E0A99">
        <w:rPr>
          <w:i/>
          <w:u w:val="single"/>
        </w:rPr>
        <w:t>disclosure of all material circumstances and everything known to the practitioner</w:t>
      </w:r>
      <w:r w:rsidRPr="00AB5542">
        <w:rPr>
          <w:i/>
        </w:rPr>
        <w:t xml:space="preserve"> relating to the proposed transaction which might influence the conduct of the client or anybody from whom he might seek advise.’</w:t>
      </w:r>
    </w:p>
    <w:p w14:paraId="1F58AF08" w14:textId="77777777" w:rsidR="0040570B" w:rsidRPr="006C6F56" w:rsidRDefault="0040570B" w:rsidP="0040570B">
      <w:pPr>
        <w:pStyle w:val="ListParagraph"/>
        <w:ind w:left="2160"/>
      </w:pPr>
    </w:p>
    <w:p w14:paraId="283F8A18" w14:textId="77777777" w:rsidR="0040570B" w:rsidRPr="00604EE7" w:rsidRDefault="0040570B" w:rsidP="00392BC9">
      <w:pPr>
        <w:pStyle w:val="NoSpacing"/>
        <w:numPr>
          <w:ilvl w:val="0"/>
          <w:numId w:val="64"/>
        </w:numPr>
      </w:pPr>
      <w:r>
        <w:rPr>
          <w:b/>
          <w:i/>
        </w:rPr>
        <w:t xml:space="preserve">Recommend Independent Advice </w:t>
      </w:r>
      <w:r w:rsidRPr="00D92725">
        <w:t xml:space="preserve">– </w:t>
      </w:r>
      <w:r>
        <w:rPr>
          <w:rFonts w:cs="Times New Roman"/>
          <w:szCs w:val="24"/>
        </w:rPr>
        <w:t xml:space="preserve">A prudent lawyer will therefore insist that the client receive independent legal advice on the matter if there is any inclination to continue the representation. </w:t>
      </w:r>
    </w:p>
    <w:p w14:paraId="28A1796F" w14:textId="77777777" w:rsidR="0040570B" w:rsidRPr="000D61DA" w:rsidRDefault="0040570B" w:rsidP="0040570B">
      <w:pPr>
        <w:pStyle w:val="NoSpacing"/>
        <w:ind w:left="1440"/>
      </w:pPr>
    </w:p>
    <w:p w14:paraId="55BC7270" w14:textId="77777777" w:rsidR="0040570B" w:rsidRPr="00207F27" w:rsidRDefault="0040570B" w:rsidP="00392BC9">
      <w:pPr>
        <w:pStyle w:val="NoSpacing"/>
        <w:numPr>
          <w:ilvl w:val="1"/>
          <w:numId w:val="64"/>
        </w:numPr>
      </w:pPr>
      <w:r w:rsidRPr="00F863C0">
        <w:rPr>
          <w:i/>
        </w:rPr>
        <w:t>Mitigate</w:t>
      </w:r>
      <w:r>
        <w:rPr>
          <w:b/>
          <w:i/>
        </w:rPr>
        <w:t xml:space="preserve"> </w:t>
      </w:r>
      <w:r w:rsidRPr="00F863C0">
        <w:rPr>
          <w:i/>
        </w:rPr>
        <w:t xml:space="preserve">Liability </w:t>
      </w:r>
      <w:r>
        <w:rPr>
          <w:i/>
        </w:rPr>
        <w:t xml:space="preserve">&amp; Reduce Conflict </w:t>
      </w:r>
      <w:r w:rsidRPr="00F863C0">
        <w:rPr>
          <w:i/>
        </w:rPr>
        <w:t>–</w:t>
      </w:r>
      <w:r>
        <w:rPr>
          <w:b/>
          <w:i/>
        </w:rPr>
        <w:t xml:space="preserve"> </w:t>
      </w:r>
      <w:r>
        <w:rPr>
          <w:rFonts w:cs="Times New Roman"/>
          <w:szCs w:val="24"/>
        </w:rPr>
        <w:t xml:space="preserve">Such advice serves to reduce the scope for the lawyer’s own influence in a client’s decision to continue conflicted representation and has the benefit of being supplied by a person with no conflicting interest in the matter </w:t>
      </w:r>
    </w:p>
    <w:p w14:paraId="397F07BB" w14:textId="77777777" w:rsidR="0040570B" w:rsidRPr="00DB7F2D" w:rsidRDefault="0040570B" w:rsidP="00392BC9">
      <w:pPr>
        <w:pStyle w:val="NoSpacing"/>
        <w:numPr>
          <w:ilvl w:val="2"/>
          <w:numId w:val="64"/>
        </w:numPr>
      </w:pPr>
      <w:r w:rsidRPr="00027A95">
        <w:rPr>
          <w:rFonts w:cs="Times New Roman"/>
          <w:i/>
          <w:szCs w:val="24"/>
        </w:rPr>
        <w:t>Law Society of NSW v Harvey</w:t>
      </w:r>
      <w:r>
        <w:rPr>
          <w:rFonts w:cs="Times New Roman"/>
          <w:i/>
          <w:szCs w:val="24"/>
        </w:rPr>
        <w:t>; Maher v Millennium Markets Pty Ltd</w:t>
      </w:r>
    </w:p>
    <w:p w14:paraId="595870FE" w14:textId="77777777" w:rsidR="0040570B" w:rsidRPr="00DB7F2D" w:rsidRDefault="0040570B" w:rsidP="0040570B">
      <w:pPr>
        <w:pStyle w:val="NoSpacing"/>
        <w:ind w:left="2160"/>
      </w:pPr>
    </w:p>
    <w:p w14:paraId="30F394DE" w14:textId="77777777" w:rsidR="0040570B" w:rsidRDefault="0040570B" w:rsidP="00392BC9">
      <w:pPr>
        <w:pStyle w:val="NoSpacing"/>
        <w:numPr>
          <w:ilvl w:val="1"/>
          <w:numId w:val="64"/>
        </w:numPr>
      </w:pPr>
      <w:r>
        <w:rPr>
          <w:i/>
        </w:rPr>
        <w:t xml:space="preserve">Standard is Heightened – </w:t>
      </w:r>
      <w:r>
        <w:t>The standard is heightened for transactions in which lawyers are personally interested such as spouses, family members, business partners unless the other party is relevant separately represented or advised.</w:t>
      </w:r>
    </w:p>
    <w:p w14:paraId="0BA2E543" w14:textId="77777777" w:rsidR="0040570B" w:rsidRDefault="0040570B" w:rsidP="0040570B">
      <w:pPr>
        <w:pStyle w:val="NoSpacing"/>
        <w:ind w:left="1440"/>
      </w:pPr>
    </w:p>
    <w:p w14:paraId="0342024D" w14:textId="77777777" w:rsidR="0040570B" w:rsidRPr="00ED7149" w:rsidRDefault="0040570B" w:rsidP="0040570B">
      <w:pPr>
        <w:pStyle w:val="NoSpacing"/>
        <w:rPr>
          <w:rFonts w:cs="Times New Roman"/>
          <w:i/>
          <w:szCs w:val="24"/>
        </w:rPr>
      </w:pPr>
      <w:r w:rsidRPr="00ED7149">
        <w:rPr>
          <w:rFonts w:cs="Times New Roman"/>
          <w:b/>
          <w:i/>
          <w:szCs w:val="24"/>
        </w:rPr>
        <w:t>Woolley v Ritchie</w:t>
      </w:r>
      <w:r w:rsidRPr="00ED7149">
        <w:rPr>
          <w:rFonts w:cs="Times New Roman"/>
          <w:i/>
          <w:szCs w:val="24"/>
        </w:rPr>
        <w:t xml:space="preserve"> </w:t>
      </w:r>
    </w:p>
    <w:p w14:paraId="165EF7FA" w14:textId="735CF15B" w:rsidR="0040570B" w:rsidRDefault="0040570B" w:rsidP="0040570B">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rPr>
          <w:rFonts w:cs="Times New Roman"/>
          <w:szCs w:val="24"/>
        </w:rPr>
        <w:t xml:space="preserve">Held that a solicitor was under a duty to ensure that his de facto spouse </w:t>
      </w:r>
      <w:r w:rsidRPr="0040570B">
        <w:rPr>
          <w:rFonts w:cs="Times New Roman"/>
          <w:b/>
          <w:szCs w:val="24"/>
        </w:rPr>
        <w:t xml:space="preserve">was fully informed and freely consented </w:t>
      </w:r>
      <w:r>
        <w:rPr>
          <w:rFonts w:cs="Times New Roman"/>
          <w:szCs w:val="24"/>
        </w:rPr>
        <w:t xml:space="preserve">and the solicitor’s conflict steaming from his interest in the transaction required securing for the spouse independent legal advise. </w:t>
      </w:r>
      <w:r w:rsidR="00FF5BA8">
        <w:rPr>
          <w:rFonts w:cs="Times New Roman"/>
          <w:szCs w:val="24"/>
        </w:rPr>
        <w:t>S</w:t>
      </w:r>
      <w:r>
        <w:rPr>
          <w:rFonts w:cs="Times New Roman"/>
          <w:szCs w:val="24"/>
        </w:rPr>
        <w:t xml:space="preserve">olicitor </w:t>
      </w:r>
      <w:r w:rsidR="00FF5BA8" w:rsidRPr="00FF5BA8">
        <w:rPr>
          <w:rFonts w:cs="Times New Roman"/>
          <w:szCs w:val="24"/>
          <w:u w:val="single"/>
        </w:rPr>
        <w:t xml:space="preserve">should not have </w:t>
      </w:r>
      <w:r w:rsidRPr="00FF5BA8">
        <w:rPr>
          <w:rFonts w:cs="Times New Roman"/>
          <w:szCs w:val="24"/>
          <w:u w:val="single"/>
        </w:rPr>
        <w:t>acted</w:t>
      </w:r>
      <w:r>
        <w:rPr>
          <w:rFonts w:cs="Times New Roman"/>
          <w:szCs w:val="24"/>
        </w:rPr>
        <w:t xml:space="preserve"> on his o</w:t>
      </w:r>
      <w:r w:rsidR="00FF5BA8">
        <w:rPr>
          <w:rFonts w:cs="Times New Roman"/>
          <w:szCs w:val="24"/>
        </w:rPr>
        <w:t>w</w:t>
      </w:r>
      <w:r>
        <w:rPr>
          <w:rFonts w:cs="Times New Roman"/>
          <w:szCs w:val="24"/>
        </w:rPr>
        <w:t xml:space="preserve">n behalf and for his de facto spouse in real estate transaction.          </w:t>
      </w:r>
    </w:p>
    <w:p w14:paraId="0DBBD6E5" w14:textId="7E9A9E5E" w:rsidR="00637B91" w:rsidRPr="001E60E6" w:rsidRDefault="00637B91" w:rsidP="00637B91">
      <w:pPr>
        <w:pStyle w:val="NoSpacing"/>
        <w:rPr>
          <w:rFonts w:cs="Times New Roman"/>
          <w:b/>
          <w:szCs w:val="24"/>
          <w:u w:val="single"/>
        </w:rPr>
      </w:pPr>
      <w:r>
        <w:rPr>
          <w:rFonts w:cs="Times New Roman"/>
          <w:b/>
          <w:szCs w:val="24"/>
          <w:u w:val="single"/>
        </w:rPr>
        <w:lastRenderedPageBreak/>
        <w:t>Types of Con</w:t>
      </w:r>
      <w:r w:rsidR="00A211BA">
        <w:rPr>
          <w:rFonts w:cs="Times New Roman"/>
          <w:b/>
          <w:szCs w:val="24"/>
          <w:u w:val="single"/>
        </w:rPr>
        <w:t>flicts</w:t>
      </w:r>
    </w:p>
    <w:p w14:paraId="4161D992" w14:textId="77777777" w:rsidR="00BE33F8" w:rsidRDefault="00BE33F8" w:rsidP="0079364B">
      <w:pPr>
        <w:pStyle w:val="NoSpacing"/>
        <w:rPr>
          <w:rFonts w:cs="Times New Roman"/>
          <w:szCs w:val="24"/>
        </w:rPr>
      </w:pPr>
    </w:p>
    <w:p w14:paraId="2E4F193C" w14:textId="77777777" w:rsidR="009B1B79" w:rsidRPr="009B1B79" w:rsidRDefault="009B1B79" w:rsidP="009B1B79">
      <w:pPr>
        <w:pStyle w:val="NoSpacing"/>
        <w:rPr>
          <w:szCs w:val="24"/>
        </w:rPr>
      </w:pPr>
      <w:r w:rsidRPr="009B1B79">
        <w:rPr>
          <w:szCs w:val="24"/>
        </w:rPr>
        <w:t>Practitioner/client conflict can arise in the following ways:</w:t>
      </w:r>
    </w:p>
    <w:p w14:paraId="564AD40C" w14:textId="77777777" w:rsidR="009B1B79" w:rsidRDefault="009B1B79" w:rsidP="009B1B79">
      <w:pPr>
        <w:pStyle w:val="NoSpacing"/>
        <w:rPr>
          <w:szCs w:val="24"/>
        </w:rPr>
      </w:pPr>
    </w:p>
    <w:p w14:paraId="776B46E2" w14:textId="77777777" w:rsidR="00734B93" w:rsidRDefault="009B1B79" w:rsidP="00392BC9">
      <w:pPr>
        <w:pStyle w:val="NoSpacing"/>
        <w:numPr>
          <w:ilvl w:val="0"/>
          <w:numId w:val="63"/>
        </w:numPr>
        <w:rPr>
          <w:szCs w:val="24"/>
        </w:rPr>
      </w:pPr>
      <w:r w:rsidRPr="00C24F0E">
        <w:rPr>
          <w:b/>
          <w:i/>
          <w:szCs w:val="24"/>
        </w:rPr>
        <w:t>Transacting with a current client outside of the professional relationship</w:t>
      </w:r>
      <w:r w:rsidR="00C24F0E" w:rsidRPr="00C24F0E">
        <w:rPr>
          <w:szCs w:val="24"/>
        </w:rPr>
        <w:t xml:space="preserve"> – </w:t>
      </w:r>
      <w:r w:rsidRPr="009B1B79">
        <w:rPr>
          <w:szCs w:val="24"/>
          <w:u w:val="single"/>
        </w:rPr>
        <w:t xml:space="preserve"> </w:t>
      </w:r>
      <w:r w:rsidRPr="009B1B79">
        <w:rPr>
          <w:szCs w:val="24"/>
        </w:rPr>
        <w:t>Practitioners should avoid transactions which involve intermingling personal and client affairs, including the affairs of companies and ventures in which the practitioner has a personal connection</w:t>
      </w:r>
    </w:p>
    <w:p w14:paraId="21D7976F" w14:textId="139C8A1D" w:rsidR="009B1B79" w:rsidRPr="009B1B79" w:rsidRDefault="009B1B79" w:rsidP="00392BC9">
      <w:pPr>
        <w:pStyle w:val="NoSpacing"/>
        <w:numPr>
          <w:ilvl w:val="1"/>
          <w:numId w:val="63"/>
        </w:numPr>
        <w:rPr>
          <w:szCs w:val="24"/>
        </w:rPr>
      </w:pPr>
      <w:r w:rsidRPr="009B1B79">
        <w:rPr>
          <w:b/>
          <w:i/>
          <w:iCs/>
          <w:szCs w:val="24"/>
        </w:rPr>
        <w:t>Law Society of NSW v Harvey</w:t>
      </w:r>
    </w:p>
    <w:p w14:paraId="4A8B12F4" w14:textId="77777777" w:rsidR="009B1B79" w:rsidRDefault="009B1B79" w:rsidP="009B1B79">
      <w:pPr>
        <w:pStyle w:val="NoSpacing"/>
        <w:rPr>
          <w:szCs w:val="24"/>
        </w:rPr>
      </w:pPr>
    </w:p>
    <w:p w14:paraId="66D93871" w14:textId="74907CF3" w:rsidR="009B1B79" w:rsidRDefault="009B1B79" w:rsidP="00392BC9">
      <w:pPr>
        <w:pStyle w:val="NoSpacing"/>
        <w:numPr>
          <w:ilvl w:val="0"/>
          <w:numId w:val="63"/>
        </w:numPr>
        <w:rPr>
          <w:szCs w:val="24"/>
        </w:rPr>
      </w:pPr>
      <w:r w:rsidRPr="0061461F">
        <w:rPr>
          <w:b/>
          <w:i/>
          <w:szCs w:val="24"/>
        </w:rPr>
        <w:t>Transactions with former clients</w:t>
      </w:r>
      <w:r w:rsidR="000348AB">
        <w:rPr>
          <w:szCs w:val="24"/>
        </w:rPr>
        <w:t xml:space="preserve"> –</w:t>
      </w:r>
      <w:r w:rsidRPr="009B1B79">
        <w:rPr>
          <w:szCs w:val="24"/>
        </w:rPr>
        <w:t xml:space="preserve"> </w:t>
      </w:r>
      <w:r w:rsidR="009837CC">
        <w:rPr>
          <w:i/>
          <w:szCs w:val="24"/>
        </w:rPr>
        <w:t xml:space="preserve">Allowed – </w:t>
      </w:r>
      <w:r w:rsidRPr="009B1B79">
        <w:rPr>
          <w:szCs w:val="24"/>
        </w:rPr>
        <w:t xml:space="preserve">Generally, practitioners are free to transact with </w:t>
      </w:r>
      <w:r w:rsidRPr="009B1B79">
        <w:rPr>
          <w:szCs w:val="24"/>
          <w:u w:val="single"/>
        </w:rPr>
        <w:t>former</w:t>
      </w:r>
      <w:r w:rsidRPr="009B1B79">
        <w:rPr>
          <w:szCs w:val="24"/>
        </w:rPr>
        <w:t xml:space="preserve"> clients</w:t>
      </w:r>
      <w:r w:rsidR="00590B6E">
        <w:rPr>
          <w:szCs w:val="24"/>
        </w:rPr>
        <w:t>.</w:t>
      </w:r>
      <w:r w:rsidRPr="009B1B79">
        <w:rPr>
          <w:szCs w:val="24"/>
        </w:rPr>
        <w:t xml:space="preserve"> </w:t>
      </w:r>
    </w:p>
    <w:p w14:paraId="0DC0A3F1" w14:textId="54963385" w:rsidR="00EA18DA" w:rsidRDefault="00EA18DA" w:rsidP="00392BC9">
      <w:pPr>
        <w:pStyle w:val="NoSpacing"/>
        <w:numPr>
          <w:ilvl w:val="1"/>
          <w:numId w:val="63"/>
        </w:numPr>
        <w:rPr>
          <w:szCs w:val="24"/>
        </w:rPr>
      </w:pPr>
      <w:r>
        <w:rPr>
          <w:i/>
          <w:szCs w:val="24"/>
        </w:rPr>
        <w:t xml:space="preserve">No Fiduciary Prohibition </w:t>
      </w:r>
      <w:r>
        <w:rPr>
          <w:szCs w:val="24"/>
        </w:rPr>
        <w:t>– There is no fiduciary prohibition on lawyers dealing with former clients, as the fiduciary duties end with the termination of the retainer.</w:t>
      </w:r>
    </w:p>
    <w:p w14:paraId="21435035" w14:textId="77777777" w:rsidR="00EA18DA" w:rsidRPr="00F03D9B" w:rsidRDefault="00F03D9B" w:rsidP="00392BC9">
      <w:pPr>
        <w:pStyle w:val="NoSpacing"/>
        <w:numPr>
          <w:ilvl w:val="2"/>
          <w:numId w:val="63"/>
        </w:numPr>
        <w:rPr>
          <w:szCs w:val="24"/>
        </w:rPr>
      </w:pPr>
      <w:r>
        <w:rPr>
          <w:i/>
          <w:szCs w:val="24"/>
        </w:rPr>
        <w:t>Blythe v Northwood</w:t>
      </w:r>
    </w:p>
    <w:p w14:paraId="2187546E" w14:textId="76597CEF" w:rsidR="00F03D9B" w:rsidRPr="009B1B79" w:rsidRDefault="00004266" w:rsidP="00392BC9">
      <w:pPr>
        <w:pStyle w:val="NoSpacing"/>
        <w:numPr>
          <w:ilvl w:val="3"/>
          <w:numId w:val="63"/>
        </w:numPr>
        <w:rPr>
          <w:szCs w:val="24"/>
        </w:rPr>
      </w:pPr>
      <w:r>
        <w:rPr>
          <w:szCs w:val="24"/>
        </w:rPr>
        <w:t>Solicitor</w:t>
      </w:r>
      <w:r w:rsidR="005D73B5">
        <w:rPr>
          <w:szCs w:val="24"/>
        </w:rPr>
        <w:t xml:space="preserve"> explained a mortgage to a client but took no further part in transaction. Was not held liable for not disclosing </w:t>
      </w:r>
      <w:r w:rsidR="00680C2F">
        <w:rPr>
          <w:szCs w:val="24"/>
        </w:rPr>
        <w:t>his interest in the company to which client on</w:t>
      </w:r>
      <w:r w:rsidR="004002E7">
        <w:rPr>
          <w:szCs w:val="24"/>
        </w:rPr>
        <w:t>–</w:t>
      </w:r>
      <w:r w:rsidR="00680C2F">
        <w:rPr>
          <w:szCs w:val="24"/>
        </w:rPr>
        <w:t>lent money.</w:t>
      </w:r>
    </w:p>
    <w:p w14:paraId="5462F66D" w14:textId="77777777" w:rsidR="009B1B79" w:rsidRDefault="009B1B79" w:rsidP="009B1B79">
      <w:pPr>
        <w:pStyle w:val="NoSpacing"/>
        <w:rPr>
          <w:szCs w:val="24"/>
        </w:rPr>
      </w:pPr>
    </w:p>
    <w:p w14:paraId="37E9C4DB" w14:textId="3218CFA3" w:rsidR="00E84FEB" w:rsidRPr="00F657F8" w:rsidRDefault="009B1B79" w:rsidP="00392BC9">
      <w:pPr>
        <w:pStyle w:val="NoSpacing"/>
        <w:numPr>
          <w:ilvl w:val="0"/>
          <w:numId w:val="63"/>
        </w:numPr>
        <w:rPr>
          <w:szCs w:val="24"/>
        </w:rPr>
      </w:pPr>
      <w:r w:rsidRPr="0061461F">
        <w:rPr>
          <w:b/>
          <w:i/>
          <w:szCs w:val="24"/>
        </w:rPr>
        <w:t>Borrowing from clients</w:t>
      </w:r>
      <w:r w:rsidR="00975169">
        <w:rPr>
          <w:i/>
          <w:szCs w:val="24"/>
        </w:rPr>
        <w:t xml:space="preserve"> – </w:t>
      </w:r>
      <w:r w:rsidRPr="009B1B79">
        <w:rPr>
          <w:szCs w:val="24"/>
        </w:rPr>
        <w:t xml:space="preserve">It is prohibited (subject to some exceptions) for a practitioner to </w:t>
      </w:r>
      <w:r w:rsidRPr="000B0204">
        <w:rPr>
          <w:szCs w:val="24"/>
          <w:u w:val="single"/>
        </w:rPr>
        <w:t>directly or indirectly borrow</w:t>
      </w:r>
      <w:r w:rsidRPr="009B1B79">
        <w:rPr>
          <w:szCs w:val="24"/>
        </w:rPr>
        <w:t xml:space="preserve"> from a client of the lawyer’s firm, or a former client who has indicated continuing reliance on the advice of the lawyer; or knowingly permit or arrange a client loan to associated persons or entities.  </w:t>
      </w:r>
    </w:p>
    <w:p w14:paraId="34768150" w14:textId="77777777" w:rsidR="00E61DD6" w:rsidRPr="006C5A81" w:rsidRDefault="00E61DD6" w:rsidP="00392BC9">
      <w:pPr>
        <w:pStyle w:val="NoSpacing"/>
        <w:numPr>
          <w:ilvl w:val="1"/>
          <w:numId w:val="63"/>
        </w:numPr>
        <w:rPr>
          <w:szCs w:val="24"/>
        </w:rPr>
      </w:pPr>
      <w:r w:rsidRPr="009B1B79">
        <w:rPr>
          <w:b/>
          <w:iCs/>
          <w:szCs w:val="24"/>
        </w:rPr>
        <w:t>PCPR</w:t>
      </w:r>
      <w:r w:rsidRPr="009B1B79">
        <w:rPr>
          <w:b/>
          <w:szCs w:val="24"/>
        </w:rPr>
        <w:t>, R11.1;</w:t>
      </w:r>
      <w:r>
        <w:rPr>
          <w:b/>
          <w:szCs w:val="24"/>
        </w:rPr>
        <w:t xml:space="preserve"> 8.6</w:t>
      </w:r>
      <w:r w:rsidRPr="009B1B79">
        <w:rPr>
          <w:b/>
          <w:szCs w:val="24"/>
        </w:rPr>
        <w:t xml:space="preserve"> </w:t>
      </w:r>
      <w:r w:rsidRPr="009B1B79">
        <w:rPr>
          <w:b/>
          <w:i/>
          <w:iCs/>
          <w:szCs w:val="24"/>
        </w:rPr>
        <w:t>Law Society of NSW v Harvey</w:t>
      </w:r>
    </w:p>
    <w:p w14:paraId="1340FC63" w14:textId="77777777" w:rsidR="00E52470" w:rsidRDefault="00E52470" w:rsidP="00392BC9">
      <w:pPr>
        <w:pStyle w:val="NoSpacing"/>
        <w:numPr>
          <w:ilvl w:val="2"/>
          <w:numId w:val="63"/>
        </w:numPr>
        <w:rPr>
          <w:szCs w:val="24"/>
        </w:rPr>
      </w:pPr>
      <w:r>
        <w:rPr>
          <w:i/>
          <w:szCs w:val="24"/>
        </w:rPr>
        <w:t>Lawyers should</w:t>
      </w:r>
    </w:p>
    <w:p w14:paraId="3F1F1EA8" w14:textId="77777777" w:rsidR="00E52470" w:rsidRDefault="00E52470" w:rsidP="00392BC9">
      <w:pPr>
        <w:pStyle w:val="NoSpacing"/>
        <w:numPr>
          <w:ilvl w:val="3"/>
          <w:numId w:val="63"/>
        </w:numPr>
        <w:rPr>
          <w:szCs w:val="24"/>
        </w:rPr>
      </w:pPr>
      <w:r>
        <w:rPr>
          <w:szCs w:val="24"/>
        </w:rPr>
        <w:t>Disclosure the interest fully and candidly to the client in writing; and</w:t>
      </w:r>
    </w:p>
    <w:p w14:paraId="27E7F1D1" w14:textId="77777777" w:rsidR="00E52470" w:rsidRDefault="00E52470" w:rsidP="00392BC9">
      <w:pPr>
        <w:pStyle w:val="NoSpacing"/>
        <w:numPr>
          <w:ilvl w:val="3"/>
          <w:numId w:val="63"/>
        </w:numPr>
        <w:rPr>
          <w:szCs w:val="24"/>
        </w:rPr>
      </w:pPr>
      <w:r>
        <w:rPr>
          <w:szCs w:val="24"/>
        </w:rPr>
        <w:t>Advise and facilitate the provision of independent advice; and</w:t>
      </w:r>
    </w:p>
    <w:p w14:paraId="0834B027" w14:textId="77777777" w:rsidR="00E52470" w:rsidRDefault="00E52470" w:rsidP="00392BC9">
      <w:pPr>
        <w:pStyle w:val="NoSpacing"/>
        <w:numPr>
          <w:ilvl w:val="3"/>
          <w:numId w:val="63"/>
        </w:numPr>
        <w:rPr>
          <w:szCs w:val="24"/>
        </w:rPr>
      </w:pPr>
      <w:r>
        <w:rPr>
          <w:szCs w:val="24"/>
        </w:rPr>
        <w:t>Advise on, and facilitate access to, alternative sources of funds which may be to clients advanced.</w:t>
      </w:r>
    </w:p>
    <w:p w14:paraId="49F3CC68" w14:textId="4893558E" w:rsidR="006D12FB" w:rsidRPr="006D12FB" w:rsidRDefault="006D12FB" w:rsidP="006D12FB">
      <w:pPr>
        <w:pStyle w:val="NoSpacing"/>
        <w:ind w:left="1440"/>
        <w:rPr>
          <w:b/>
          <w:szCs w:val="24"/>
        </w:rPr>
      </w:pPr>
    </w:p>
    <w:p w14:paraId="72394CD9" w14:textId="7EE0AF83" w:rsidR="009C2A80" w:rsidRDefault="009B1B79" w:rsidP="00392BC9">
      <w:pPr>
        <w:pStyle w:val="NoSpacing"/>
        <w:numPr>
          <w:ilvl w:val="1"/>
          <w:numId w:val="63"/>
        </w:numPr>
        <w:rPr>
          <w:szCs w:val="24"/>
        </w:rPr>
      </w:pPr>
      <w:r w:rsidRPr="009B1B79">
        <w:rPr>
          <w:b/>
          <w:szCs w:val="24"/>
        </w:rPr>
        <w:t>Except</w:t>
      </w:r>
      <w:r w:rsidRPr="009B1B79">
        <w:rPr>
          <w:szCs w:val="24"/>
        </w:rPr>
        <w:t xml:space="preserve"> if the client is a financial institution: </w:t>
      </w:r>
      <w:r w:rsidRPr="009B1B79">
        <w:rPr>
          <w:b/>
          <w:iCs/>
          <w:szCs w:val="24"/>
        </w:rPr>
        <w:t>PCPR</w:t>
      </w:r>
      <w:r w:rsidRPr="009B1B79">
        <w:rPr>
          <w:b/>
          <w:szCs w:val="24"/>
        </w:rPr>
        <w:t xml:space="preserve"> R11.2</w:t>
      </w:r>
    </w:p>
    <w:p w14:paraId="0F13B35B" w14:textId="77777777" w:rsidR="00DA2773" w:rsidRDefault="006C5598" w:rsidP="00392BC9">
      <w:pPr>
        <w:pStyle w:val="NoSpacing"/>
        <w:numPr>
          <w:ilvl w:val="2"/>
          <w:numId w:val="63"/>
        </w:numPr>
        <w:rPr>
          <w:szCs w:val="24"/>
        </w:rPr>
      </w:pPr>
      <w:r w:rsidRPr="003F27B3">
        <w:rPr>
          <w:szCs w:val="24"/>
        </w:rPr>
        <w:t>11.2(i) – Bank</w:t>
      </w:r>
      <w:r w:rsidR="003F27B3">
        <w:rPr>
          <w:szCs w:val="24"/>
        </w:rPr>
        <w:t xml:space="preserve">, </w:t>
      </w:r>
    </w:p>
    <w:p w14:paraId="5FAD544D" w14:textId="01D466E8" w:rsidR="006C5598" w:rsidRDefault="008624F5" w:rsidP="00392BC9">
      <w:pPr>
        <w:pStyle w:val="NoSpacing"/>
        <w:numPr>
          <w:ilvl w:val="2"/>
          <w:numId w:val="63"/>
        </w:numPr>
        <w:rPr>
          <w:szCs w:val="24"/>
        </w:rPr>
      </w:pPr>
      <w:r w:rsidRPr="003F27B3">
        <w:rPr>
          <w:szCs w:val="24"/>
        </w:rPr>
        <w:t xml:space="preserve">11.2(ii) – </w:t>
      </w:r>
      <w:r w:rsidR="006C5598" w:rsidRPr="003F27B3">
        <w:rPr>
          <w:szCs w:val="24"/>
        </w:rPr>
        <w:t>Trust Company</w:t>
      </w:r>
      <w:r w:rsidR="00DA2773">
        <w:rPr>
          <w:szCs w:val="24"/>
        </w:rPr>
        <w:t xml:space="preserve"> etc</w:t>
      </w:r>
    </w:p>
    <w:p w14:paraId="34B5FFE6" w14:textId="77777777" w:rsidR="00110F44" w:rsidRDefault="00110F44" w:rsidP="00110F44">
      <w:pPr>
        <w:pStyle w:val="NoSpacing"/>
        <w:ind w:left="2160"/>
        <w:rPr>
          <w:szCs w:val="24"/>
        </w:rPr>
      </w:pPr>
    </w:p>
    <w:p w14:paraId="5BEB84E3" w14:textId="7AFB3C80" w:rsidR="00110F44" w:rsidRDefault="00110F44" w:rsidP="00392BC9">
      <w:pPr>
        <w:pStyle w:val="NoSpacing"/>
        <w:numPr>
          <w:ilvl w:val="1"/>
          <w:numId w:val="63"/>
        </w:numPr>
        <w:rPr>
          <w:szCs w:val="24"/>
        </w:rPr>
      </w:pPr>
      <w:r w:rsidRPr="00DE53B2">
        <w:rPr>
          <w:i/>
          <w:szCs w:val="24"/>
        </w:rPr>
        <w:t>Failure to Disclose Interests</w:t>
      </w:r>
      <w:r>
        <w:rPr>
          <w:szCs w:val="24"/>
        </w:rPr>
        <w:t xml:space="preserve"> –</w:t>
      </w:r>
    </w:p>
    <w:p w14:paraId="323B8365" w14:textId="77777777" w:rsidR="00FA29D9" w:rsidRPr="00FA29D9" w:rsidRDefault="00110F44" w:rsidP="00392BC9">
      <w:pPr>
        <w:pStyle w:val="NoSpacing"/>
        <w:numPr>
          <w:ilvl w:val="2"/>
          <w:numId w:val="63"/>
        </w:numPr>
        <w:rPr>
          <w:szCs w:val="24"/>
        </w:rPr>
      </w:pPr>
      <w:r>
        <w:rPr>
          <w:rFonts w:cs="Times New Roman"/>
          <w:szCs w:val="24"/>
        </w:rPr>
        <w:t xml:space="preserve">Failure to fulfill </w:t>
      </w:r>
      <w:r w:rsidR="00FA29D9">
        <w:rPr>
          <w:rFonts w:cs="Times New Roman"/>
          <w:szCs w:val="24"/>
        </w:rPr>
        <w:t>these</w:t>
      </w:r>
      <w:r>
        <w:rPr>
          <w:rFonts w:cs="Times New Roman"/>
          <w:szCs w:val="24"/>
        </w:rPr>
        <w:t xml:space="preserve"> disclosure requirements gives rise to a fiduciary breach, and scope for the court to set aside the transaction. </w:t>
      </w:r>
    </w:p>
    <w:p w14:paraId="4526F8F7" w14:textId="3D13F373" w:rsidR="00110F44" w:rsidRPr="00FA29D9" w:rsidRDefault="00110F44" w:rsidP="00392BC9">
      <w:pPr>
        <w:pStyle w:val="NoSpacing"/>
        <w:numPr>
          <w:ilvl w:val="3"/>
          <w:numId w:val="63"/>
        </w:numPr>
        <w:rPr>
          <w:i/>
          <w:szCs w:val="24"/>
        </w:rPr>
      </w:pPr>
      <w:r w:rsidRPr="00FA29D9">
        <w:rPr>
          <w:rFonts w:cs="Times New Roman"/>
          <w:i/>
          <w:szCs w:val="24"/>
        </w:rPr>
        <w:t>High Court’s in Maguire v Makaronis</w:t>
      </w:r>
    </w:p>
    <w:p w14:paraId="5BF690A1" w14:textId="77777777" w:rsidR="00E61DD6" w:rsidRDefault="00E61DD6" w:rsidP="00DA2773">
      <w:pPr>
        <w:pStyle w:val="NoSpacing"/>
      </w:pPr>
    </w:p>
    <w:p w14:paraId="23B294FA" w14:textId="77777777" w:rsidR="00605AB4" w:rsidRDefault="00605AB4" w:rsidP="00DA2773">
      <w:pPr>
        <w:pStyle w:val="NoSpacing"/>
      </w:pPr>
    </w:p>
    <w:p w14:paraId="1509F5DE" w14:textId="77777777" w:rsidR="00605AB4" w:rsidRDefault="00605AB4" w:rsidP="00DA2773">
      <w:pPr>
        <w:pStyle w:val="NoSpacing"/>
      </w:pPr>
    </w:p>
    <w:p w14:paraId="3A29FE38" w14:textId="77777777" w:rsidR="00605AB4" w:rsidRDefault="00605AB4" w:rsidP="00DA2773">
      <w:pPr>
        <w:pStyle w:val="NoSpacing"/>
      </w:pPr>
    </w:p>
    <w:p w14:paraId="780A8980" w14:textId="77777777" w:rsidR="00605AB4" w:rsidRDefault="00605AB4" w:rsidP="00DA2773">
      <w:pPr>
        <w:pStyle w:val="NoSpacing"/>
      </w:pPr>
    </w:p>
    <w:p w14:paraId="4749E790" w14:textId="77777777" w:rsidR="00605AB4" w:rsidRDefault="00605AB4" w:rsidP="00DA2773">
      <w:pPr>
        <w:pStyle w:val="NoSpacing"/>
      </w:pPr>
    </w:p>
    <w:p w14:paraId="79456716" w14:textId="77777777" w:rsidR="00605AB4" w:rsidRDefault="00605AB4" w:rsidP="00DA2773">
      <w:pPr>
        <w:pStyle w:val="NoSpacing"/>
      </w:pPr>
    </w:p>
    <w:p w14:paraId="7690A6C8" w14:textId="77777777" w:rsidR="00605AB4" w:rsidRDefault="00605AB4" w:rsidP="00DA2773">
      <w:pPr>
        <w:pStyle w:val="NoSpacing"/>
      </w:pPr>
    </w:p>
    <w:p w14:paraId="265B4729" w14:textId="77777777" w:rsidR="00605AB4" w:rsidRDefault="00605AB4" w:rsidP="00DA2773">
      <w:pPr>
        <w:pStyle w:val="NoSpacing"/>
      </w:pPr>
    </w:p>
    <w:p w14:paraId="16C5B727" w14:textId="77777777" w:rsidR="00605AB4" w:rsidRDefault="00605AB4" w:rsidP="00DA2773">
      <w:pPr>
        <w:pStyle w:val="NoSpacing"/>
      </w:pPr>
    </w:p>
    <w:p w14:paraId="3A10230B" w14:textId="77777777" w:rsidR="00605AB4" w:rsidRDefault="00605AB4" w:rsidP="00DA2773">
      <w:pPr>
        <w:pStyle w:val="NoSpacing"/>
      </w:pPr>
    </w:p>
    <w:p w14:paraId="181D289A" w14:textId="77777777" w:rsidR="00605AB4" w:rsidRDefault="00605AB4" w:rsidP="00DA2773">
      <w:pPr>
        <w:pStyle w:val="NoSpacing"/>
      </w:pPr>
    </w:p>
    <w:p w14:paraId="621FEF82" w14:textId="77777777" w:rsidR="003827BD" w:rsidRDefault="009B1B79" w:rsidP="00392BC9">
      <w:pPr>
        <w:pStyle w:val="NoSpacing"/>
        <w:numPr>
          <w:ilvl w:val="0"/>
          <w:numId w:val="63"/>
        </w:numPr>
        <w:rPr>
          <w:szCs w:val="24"/>
        </w:rPr>
      </w:pPr>
      <w:r w:rsidRPr="0061461F">
        <w:rPr>
          <w:b/>
          <w:i/>
          <w:szCs w:val="24"/>
        </w:rPr>
        <w:lastRenderedPageBreak/>
        <w:t>Lending to clients</w:t>
      </w:r>
      <w:r w:rsidR="00BB60AA">
        <w:rPr>
          <w:i/>
          <w:szCs w:val="24"/>
        </w:rPr>
        <w:t xml:space="preserve"> – </w:t>
      </w:r>
      <w:r w:rsidR="00F06DC7">
        <w:rPr>
          <w:i/>
          <w:szCs w:val="24"/>
        </w:rPr>
        <w:t>PCPR R11.3 –</w:t>
      </w:r>
      <w:r w:rsidRPr="009B1B79">
        <w:rPr>
          <w:szCs w:val="24"/>
        </w:rPr>
        <w:t xml:space="preserve"> Scrupulous care is required to avoid a conflict where a practitioner or associated person or entity lends money to a client</w:t>
      </w:r>
      <w:r w:rsidR="003827BD">
        <w:rPr>
          <w:szCs w:val="24"/>
        </w:rPr>
        <w:t xml:space="preserve"> – </w:t>
      </w:r>
    </w:p>
    <w:p w14:paraId="567D70B3" w14:textId="33370DFA" w:rsidR="009B1B79" w:rsidRDefault="009B1B79" w:rsidP="00392BC9">
      <w:pPr>
        <w:pStyle w:val="NoSpacing"/>
        <w:numPr>
          <w:ilvl w:val="1"/>
          <w:numId w:val="63"/>
        </w:numPr>
        <w:rPr>
          <w:szCs w:val="24"/>
        </w:rPr>
      </w:pPr>
      <w:r w:rsidRPr="009B1B79">
        <w:rPr>
          <w:szCs w:val="24"/>
        </w:rPr>
        <w:t xml:space="preserve"> </w:t>
      </w:r>
      <w:r w:rsidRPr="009B1B79">
        <w:rPr>
          <w:b/>
          <w:i/>
          <w:szCs w:val="24"/>
        </w:rPr>
        <w:t>O’Reilly</w:t>
      </w:r>
      <w:r w:rsidR="003827BD">
        <w:rPr>
          <w:b/>
          <w:i/>
          <w:szCs w:val="24"/>
        </w:rPr>
        <w:t xml:space="preserve"> v Law Society of NSW</w:t>
      </w:r>
      <w:r w:rsidRPr="009B1B79">
        <w:rPr>
          <w:szCs w:val="24"/>
        </w:rPr>
        <w:t xml:space="preserve"> </w:t>
      </w:r>
    </w:p>
    <w:p w14:paraId="3B760925" w14:textId="3A499D52" w:rsidR="00E46591" w:rsidRDefault="00E46591" w:rsidP="00392BC9">
      <w:pPr>
        <w:pStyle w:val="NoSpacing"/>
        <w:numPr>
          <w:ilvl w:val="2"/>
          <w:numId w:val="63"/>
        </w:numPr>
        <w:rPr>
          <w:szCs w:val="24"/>
        </w:rPr>
      </w:pPr>
      <w:r>
        <w:rPr>
          <w:i/>
          <w:szCs w:val="24"/>
        </w:rPr>
        <w:t>Lawyers should</w:t>
      </w:r>
    </w:p>
    <w:p w14:paraId="35251434" w14:textId="77777777" w:rsidR="00E46591" w:rsidRDefault="00E46591" w:rsidP="00392BC9">
      <w:pPr>
        <w:pStyle w:val="NoSpacing"/>
        <w:numPr>
          <w:ilvl w:val="3"/>
          <w:numId w:val="63"/>
        </w:numPr>
        <w:rPr>
          <w:szCs w:val="24"/>
        </w:rPr>
      </w:pPr>
      <w:r>
        <w:rPr>
          <w:szCs w:val="24"/>
        </w:rPr>
        <w:t>Disclosure the interest fully and candidly to the client in writing; and</w:t>
      </w:r>
    </w:p>
    <w:p w14:paraId="047042DA" w14:textId="77777777" w:rsidR="00E46591" w:rsidRDefault="00E46591" w:rsidP="00392BC9">
      <w:pPr>
        <w:pStyle w:val="NoSpacing"/>
        <w:numPr>
          <w:ilvl w:val="3"/>
          <w:numId w:val="63"/>
        </w:numPr>
        <w:rPr>
          <w:szCs w:val="24"/>
        </w:rPr>
      </w:pPr>
      <w:r>
        <w:rPr>
          <w:szCs w:val="24"/>
        </w:rPr>
        <w:t>Advise and facilitate the provision of independent advice; and</w:t>
      </w:r>
    </w:p>
    <w:p w14:paraId="61C14E8E" w14:textId="4FEF819D" w:rsidR="00E46591" w:rsidRDefault="00E46591" w:rsidP="00392BC9">
      <w:pPr>
        <w:pStyle w:val="NoSpacing"/>
        <w:numPr>
          <w:ilvl w:val="3"/>
          <w:numId w:val="63"/>
        </w:numPr>
        <w:rPr>
          <w:szCs w:val="24"/>
        </w:rPr>
      </w:pPr>
      <w:r>
        <w:rPr>
          <w:szCs w:val="24"/>
        </w:rPr>
        <w:t>Advise on, and facilitate access to, alternative sources of funds which may be to clients advanced.</w:t>
      </w:r>
    </w:p>
    <w:p w14:paraId="1FBA0EBE" w14:textId="77777777" w:rsidR="00051CC6" w:rsidRPr="00051CC6" w:rsidRDefault="00051CC6" w:rsidP="00051CC6">
      <w:pPr>
        <w:pStyle w:val="NoSpacing"/>
        <w:ind w:left="2160"/>
        <w:rPr>
          <w:szCs w:val="24"/>
        </w:rPr>
      </w:pPr>
    </w:p>
    <w:p w14:paraId="1B362AED" w14:textId="77777777" w:rsidR="00D945C8" w:rsidRPr="00D945C8" w:rsidRDefault="00D945C8" w:rsidP="00392BC9">
      <w:pPr>
        <w:pStyle w:val="NoSpacing"/>
        <w:numPr>
          <w:ilvl w:val="2"/>
          <w:numId w:val="63"/>
        </w:numPr>
        <w:rPr>
          <w:szCs w:val="24"/>
        </w:rPr>
      </w:pPr>
      <w:r>
        <w:rPr>
          <w:i/>
          <w:szCs w:val="24"/>
        </w:rPr>
        <w:t>Law Society of NSW v Moulton</w:t>
      </w:r>
    </w:p>
    <w:p w14:paraId="3536BE6C" w14:textId="75554746" w:rsidR="0061461F" w:rsidRPr="00D945C8" w:rsidRDefault="00D945C8" w:rsidP="00392BC9">
      <w:pPr>
        <w:pStyle w:val="NoSpacing"/>
        <w:numPr>
          <w:ilvl w:val="3"/>
          <w:numId w:val="63"/>
        </w:numPr>
        <w:rPr>
          <w:szCs w:val="24"/>
        </w:rPr>
      </w:pPr>
      <w:r w:rsidRPr="00D945C8">
        <w:rPr>
          <w:rFonts w:cs="Times New Roman"/>
          <w:szCs w:val="24"/>
        </w:rPr>
        <w:t>Where a lawyer intends to use a client’s money to finance a business the lawyer is carrying on, it is difficult to see how the client can be adequately protected and advised without independent advise</w:t>
      </w:r>
      <w:r w:rsidR="004E145E">
        <w:rPr>
          <w:rFonts w:cs="Times New Roman"/>
          <w:szCs w:val="24"/>
        </w:rPr>
        <w:t>d</w:t>
      </w:r>
    </w:p>
    <w:p w14:paraId="7FAB9A8E" w14:textId="77777777" w:rsidR="004E145E" w:rsidRPr="004E145E" w:rsidRDefault="004E145E" w:rsidP="004E145E">
      <w:pPr>
        <w:pStyle w:val="NoSpacing"/>
        <w:ind w:left="1440"/>
        <w:rPr>
          <w:szCs w:val="24"/>
        </w:rPr>
      </w:pPr>
    </w:p>
    <w:p w14:paraId="48F3E39B" w14:textId="04780BA9" w:rsidR="00256288" w:rsidRDefault="00EB67DC" w:rsidP="00392BC9">
      <w:pPr>
        <w:pStyle w:val="NoSpacing"/>
        <w:numPr>
          <w:ilvl w:val="1"/>
          <w:numId w:val="63"/>
        </w:numPr>
        <w:rPr>
          <w:szCs w:val="24"/>
        </w:rPr>
      </w:pPr>
      <w:r w:rsidRPr="00976CDB">
        <w:rPr>
          <w:b/>
          <w:i/>
          <w:szCs w:val="24"/>
        </w:rPr>
        <w:t>If lawyer does transact</w:t>
      </w:r>
      <w:r>
        <w:rPr>
          <w:i/>
          <w:szCs w:val="24"/>
        </w:rPr>
        <w:t xml:space="preserve"> – </w:t>
      </w:r>
      <w:r w:rsidR="009B1B79" w:rsidRPr="009B1B79">
        <w:rPr>
          <w:szCs w:val="24"/>
        </w:rPr>
        <w:t xml:space="preserve">The lawyer must – </w:t>
      </w:r>
      <w:r w:rsidR="0091085A" w:rsidRPr="00A70EB5">
        <w:rPr>
          <w:i/>
          <w:szCs w:val="24"/>
        </w:rPr>
        <w:t>PCPR 11.3(a)</w:t>
      </w:r>
    </w:p>
    <w:p w14:paraId="3E070C9D" w14:textId="2F7BB2FC" w:rsidR="00C32088" w:rsidRDefault="00C32088" w:rsidP="00392BC9">
      <w:pPr>
        <w:pStyle w:val="NoSpacing"/>
        <w:numPr>
          <w:ilvl w:val="2"/>
          <w:numId w:val="63"/>
        </w:numPr>
        <w:rPr>
          <w:szCs w:val="24"/>
        </w:rPr>
      </w:pPr>
      <w:r>
        <w:rPr>
          <w:szCs w:val="24"/>
        </w:rPr>
        <w:t xml:space="preserve">Complying member of </w:t>
      </w:r>
      <w:r w:rsidRPr="00C32088">
        <w:rPr>
          <w:i/>
          <w:szCs w:val="24"/>
        </w:rPr>
        <w:t>Managed Mortgages Section of RPA</w:t>
      </w:r>
    </w:p>
    <w:p w14:paraId="77C1719D" w14:textId="15EBE700" w:rsidR="00256288" w:rsidRDefault="00224D0F" w:rsidP="00392BC9">
      <w:pPr>
        <w:pStyle w:val="NoSpacing"/>
        <w:numPr>
          <w:ilvl w:val="2"/>
          <w:numId w:val="63"/>
        </w:numPr>
        <w:rPr>
          <w:szCs w:val="24"/>
        </w:rPr>
      </w:pPr>
      <w:r>
        <w:rPr>
          <w:szCs w:val="24"/>
        </w:rPr>
        <w:t>D</w:t>
      </w:r>
      <w:r w:rsidR="009B1B79" w:rsidRPr="009B1B79">
        <w:rPr>
          <w:szCs w:val="24"/>
        </w:rPr>
        <w:t>isclose</w:t>
      </w:r>
      <w:r>
        <w:rPr>
          <w:szCs w:val="24"/>
        </w:rPr>
        <w:t>s</w:t>
      </w:r>
      <w:r w:rsidR="009B1B79" w:rsidRPr="009B1B79">
        <w:rPr>
          <w:szCs w:val="24"/>
        </w:rPr>
        <w:t xml:space="preserve"> the interest fully to the client, in writing; </w:t>
      </w:r>
    </w:p>
    <w:p w14:paraId="25595740" w14:textId="0498C07A" w:rsidR="009B1B79" w:rsidRDefault="00224D0F" w:rsidP="00392BC9">
      <w:pPr>
        <w:pStyle w:val="NoSpacing"/>
        <w:numPr>
          <w:ilvl w:val="2"/>
          <w:numId w:val="63"/>
        </w:numPr>
        <w:rPr>
          <w:szCs w:val="24"/>
        </w:rPr>
      </w:pPr>
      <w:r>
        <w:rPr>
          <w:szCs w:val="24"/>
        </w:rPr>
        <w:t>A</w:t>
      </w:r>
      <w:r w:rsidR="009B1B79" w:rsidRPr="009B1B79">
        <w:rPr>
          <w:szCs w:val="24"/>
        </w:rPr>
        <w:t>dvise</w:t>
      </w:r>
      <w:r w:rsidR="00484984">
        <w:rPr>
          <w:szCs w:val="24"/>
        </w:rPr>
        <w:t xml:space="preserve"> client</w:t>
      </w:r>
      <w:r w:rsidR="009B1B79" w:rsidRPr="009B1B79">
        <w:rPr>
          <w:szCs w:val="24"/>
        </w:rPr>
        <w:t xml:space="preserve"> to seek independent advice. </w:t>
      </w:r>
    </w:p>
    <w:p w14:paraId="4D1C3A56" w14:textId="77777777" w:rsidR="0061461F" w:rsidRDefault="0061461F" w:rsidP="0061461F">
      <w:pPr>
        <w:pStyle w:val="NoSpacing"/>
        <w:ind w:left="2160"/>
        <w:rPr>
          <w:szCs w:val="24"/>
        </w:rPr>
      </w:pPr>
    </w:p>
    <w:p w14:paraId="10B0A8E3" w14:textId="708C36F9" w:rsidR="00BF6612" w:rsidRDefault="00FC1F68" w:rsidP="00392BC9">
      <w:pPr>
        <w:pStyle w:val="NoSpacing"/>
        <w:numPr>
          <w:ilvl w:val="0"/>
          <w:numId w:val="63"/>
        </w:numPr>
        <w:rPr>
          <w:szCs w:val="24"/>
        </w:rPr>
      </w:pPr>
      <w:r>
        <w:rPr>
          <w:b/>
          <w:i/>
          <w:szCs w:val="24"/>
        </w:rPr>
        <w:t xml:space="preserve">Buying or Selling </w:t>
      </w:r>
      <w:r w:rsidR="009B1B79" w:rsidRPr="002040CA">
        <w:rPr>
          <w:b/>
          <w:i/>
          <w:szCs w:val="24"/>
        </w:rPr>
        <w:t>to a client (eg property)</w:t>
      </w:r>
      <w:r w:rsidR="002040CA">
        <w:rPr>
          <w:b/>
          <w:i/>
          <w:szCs w:val="24"/>
        </w:rPr>
        <w:t xml:space="preserve"> </w:t>
      </w:r>
      <w:r w:rsidR="002040CA" w:rsidRPr="002040CA">
        <w:rPr>
          <w:i/>
          <w:szCs w:val="24"/>
        </w:rPr>
        <w:t>–</w:t>
      </w:r>
      <w:r w:rsidR="00F2690C">
        <w:rPr>
          <w:i/>
          <w:szCs w:val="24"/>
        </w:rPr>
        <w:t xml:space="preserve"> PCPR 9 – </w:t>
      </w:r>
      <w:r w:rsidR="009B1B79" w:rsidRPr="009B1B79">
        <w:rPr>
          <w:szCs w:val="24"/>
        </w:rPr>
        <w:t xml:space="preserve"> the lawyer’s fiduciary responsibility </w:t>
      </w:r>
      <w:r w:rsidR="009B1B79" w:rsidRPr="00CA0BF6">
        <w:rPr>
          <w:szCs w:val="24"/>
          <w:u w:val="single"/>
        </w:rPr>
        <w:t>prohibits her/him profiting</w:t>
      </w:r>
      <w:r w:rsidR="009B1B79" w:rsidRPr="009B1B79">
        <w:rPr>
          <w:szCs w:val="24"/>
        </w:rPr>
        <w:t xml:space="preserve"> from information or opportunity derived by r</w:t>
      </w:r>
      <w:r w:rsidR="00BF6612">
        <w:rPr>
          <w:szCs w:val="24"/>
        </w:rPr>
        <w:t>eason of the fiduciary position</w:t>
      </w:r>
    </w:p>
    <w:p w14:paraId="63CF84A0" w14:textId="00D93748" w:rsidR="00A25C59" w:rsidRDefault="00A25C59" w:rsidP="00392BC9">
      <w:pPr>
        <w:pStyle w:val="NoSpacing"/>
        <w:numPr>
          <w:ilvl w:val="1"/>
          <w:numId w:val="63"/>
        </w:numPr>
        <w:rPr>
          <w:szCs w:val="24"/>
        </w:rPr>
      </w:pPr>
      <w:r>
        <w:rPr>
          <w:i/>
          <w:szCs w:val="24"/>
        </w:rPr>
        <w:t>Longstaff v Birtles</w:t>
      </w:r>
    </w:p>
    <w:p w14:paraId="1A7696CC" w14:textId="77777777" w:rsidR="00D06067" w:rsidRPr="00D06067" w:rsidRDefault="00D06067" w:rsidP="00392BC9">
      <w:pPr>
        <w:pStyle w:val="NoSpacing"/>
        <w:numPr>
          <w:ilvl w:val="2"/>
          <w:numId w:val="63"/>
        </w:numPr>
        <w:rPr>
          <w:szCs w:val="24"/>
        </w:rPr>
      </w:pPr>
      <w:r>
        <w:rPr>
          <w:rFonts w:cs="Times New Roman"/>
          <w:szCs w:val="24"/>
        </w:rPr>
        <w:t xml:space="preserve">The duty to ensure that the client seek independent advise regarding the dealing is specifically important for two reasons  </w:t>
      </w:r>
    </w:p>
    <w:p w14:paraId="0EE63BF3" w14:textId="0242A9F6" w:rsidR="00D06067" w:rsidRPr="00D06067" w:rsidRDefault="00D11897" w:rsidP="00392BC9">
      <w:pPr>
        <w:pStyle w:val="NoSpacing"/>
        <w:numPr>
          <w:ilvl w:val="3"/>
          <w:numId w:val="63"/>
        </w:numPr>
        <w:rPr>
          <w:szCs w:val="24"/>
        </w:rPr>
      </w:pPr>
      <w:r>
        <w:rPr>
          <w:rFonts w:cs="Times New Roman"/>
          <w:i/>
          <w:szCs w:val="24"/>
        </w:rPr>
        <w:t>Fiduciary Responsibility –</w:t>
      </w:r>
      <w:r w:rsidR="00D06067">
        <w:rPr>
          <w:rFonts w:cs="Times New Roman"/>
          <w:szCs w:val="24"/>
        </w:rPr>
        <w:t xml:space="preserve"> lawyers fiduciary responsibility prohibits him or her profiting from information or opportunity derived by reason of fiduciary position </w:t>
      </w:r>
      <w:r w:rsidR="00BB7460">
        <w:rPr>
          <w:rFonts w:cs="Times New Roman"/>
          <w:szCs w:val="24"/>
        </w:rPr>
        <w:t xml:space="preserve">per </w:t>
      </w:r>
      <w:r w:rsidR="00D06067" w:rsidRPr="00BB7460">
        <w:rPr>
          <w:rFonts w:cs="Times New Roman"/>
          <w:i/>
          <w:szCs w:val="24"/>
        </w:rPr>
        <w:t>Boardman v Phipps</w:t>
      </w:r>
      <w:r w:rsidR="00BB7460">
        <w:rPr>
          <w:rFonts w:cs="Times New Roman"/>
          <w:szCs w:val="24"/>
        </w:rPr>
        <w:t>;</w:t>
      </w:r>
      <w:r w:rsidR="00D06067">
        <w:rPr>
          <w:rFonts w:cs="Times New Roman"/>
          <w:szCs w:val="24"/>
        </w:rPr>
        <w:t xml:space="preserve"> and </w:t>
      </w:r>
    </w:p>
    <w:p w14:paraId="282A720A" w14:textId="62A4CA3A" w:rsidR="00A25C59" w:rsidRDefault="001D6989" w:rsidP="00392BC9">
      <w:pPr>
        <w:pStyle w:val="NoSpacing"/>
        <w:numPr>
          <w:ilvl w:val="3"/>
          <w:numId w:val="63"/>
        </w:numPr>
        <w:rPr>
          <w:szCs w:val="24"/>
        </w:rPr>
      </w:pPr>
      <w:r>
        <w:rPr>
          <w:rFonts w:cs="Times New Roman"/>
          <w:szCs w:val="24"/>
        </w:rPr>
        <w:t>Position of Influence –</w:t>
      </w:r>
      <w:r w:rsidR="00D06067">
        <w:rPr>
          <w:rFonts w:cs="Times New Roman"/>
          <w:szCs w:val="24"/>
        </w:rPr>
        <w:t xml:space="preserve"> the lawyers position of influence may lead the client to accept the terms and conditions of the transaction as suggested by the lawyer</w:t>
      </w:r>
    </w:p>
    <w:p w14:paraId="2B1FDFCB" w14:textId="77777777" w:rsidR="00A25C59" w:rsidRDefault="00A25C59" w:rsidP="00A25C59">
      <w:pPr>
        <w:pStyle w:val="NoSpacing"/>
        <w:ind w:left="1440"/>
        <w:rPr>
          <w:szCs w:val="24"/>
        </w:rPr>
      </w:pPr>
    </w:p>
    <w:p w14:paraId="0E5296B6" w14:textId="77777777" w:rsidR="0057281C" w:rsidRPr="005F34BA" w:rsidRDefault="0057281C" w:rsidP="00392BC9">
      <w:pPr>
        <w:pStyle w:val="NoSpacing"/>
        <w:numPr>
          <w:ilvl w:val="1"/>
          <w:numId w:val="63"/>
        </w:numPr>
        <w:rPr>
          <w:szCs w:val="24"/>
        </w:rPr>
      </w:pPr>
      <w:r w:rsidRPr="005F34BA">
        <w:rPr>
          <w:i/>
          <w:szCs w:val="24"/>
        </w:rPr>
        <w:t>Permitted only if:</w:t>
      </w:r>
    </w:p>
    <w:p w14:paraId="6644867F" w14:textId="3953C4A9" w:rsidR="0057281C" w:rsidRDefault="0057281C" w:rsidP="00392BC9">
      <w:pPr>
        <w:pStyle w:val="NoSpacing"/>
        <w:numPr>
          <w:ilvl w:val="2"/>
          <w:numId w:val="63"/>
        </w:numPr>
        <w:rPr>
          <w:szCs w:val="24"/>
        </w:rPr>
      </w:pPr>
      <w:r>
        <w:rPr>
          <w:szCs w:val="24"/>
        </w:rPr>
        <w:t>M</w:t>
      </w:r>
      <w:r w:rsidR="009B1B79" w:rsidRPr="009B1B79">
        <w:rPr>
          <w:szCs w:val="24"/>
        </w:rPr>
        <w:t xml:space="preserve">ake full disclosure and </w:t>
      </w:r>
      <w:r w:rsidR="00583FF9">
        <w:rPr>
          <w:szCs w:val="24"/>
        </w:rPr>
        <w:t>encourage</w:t>
      </w:r>
      <w:r w:rsidR="009B1B79" w:rsidRPr="009B1B79">
        <w:rPr>
          <w:szCs w:val="24"/>
        </w:rPr>
        <w:t xml:space="preserve"> the client to seek independent advice</w:t>
      </w:r>
      <w:r w:rsidR="00473372">
        <w:rPr>
          <w:szCs w:val="24"/>
        </w:rPr>
        <w:t xml:space="preserve"> [PCPR 11]</w:t>
      </w:r>
    </w:p>
    <w:p w14:paraId="33A5DA4B" w14:textId="1FEFF195" w:rsidR="00D359FE" w:rsidRDefault="00B57F14" w:rsidP="00392BC9">
      <w:pPr>
        <w:pStyle w:val="NoSpacing"/>
        <w:numPr>
          <w:ilvl w:val="3"/>
          <w:numId w:val="63"/>
        </w:numPr>
        <w:rPr>
          <w:szCs w:val="24"/>
        </w:rPr>
      </w:pPr>
      <w:r>
        <w:rPr>
          <w:i/>
          <w:szCs w:val="24"/>
        </w:rPr>
        <w:t>Nenegoiate</w:t>
      </w:r>
      <w:r w:rsidR="00D359FE">
        <w:rPr>
          <w:i/>
          <w:szCs w:val="24"/>
        </w:rPr>
        <w:t xml:space="preserve"> Terms </w:t>
      </w:r>
      <w:r w:rsidR="00D359FE">
        <w:rPr>
          <w:szCs w:val="24"/>
        </w:rPr>
        <w:t xml:space="preserve">– the </w:t>
      </w:r>
      <w:r w:rsidR="00825E64">
        <w:rPr>
          <w:szCs w:val="24"/>
        </w:rPr>
        <w:t>lawyer’s</w:t>
      </w:r>
      <w:r w:rsidR="00D359FE">
        <w:rPr>
          <w:szCs w:val="24"/>
        </w:rPr>
        <w:t xml:space="preserve"> position of power is removed with independent advice and terms can be </w:t>
      </w:r>
      <w:r w:rsidR="00825E64">
        <w:rPr>
          <w:szCs w:val="24"/>
        </w:rPr>
        <w:t>renegotiated</w:t>
      </w:r>
      <w:r w:rsidR="00D359FE">
        <w:rPr>
          <w:szCs w:val="24"/>
        </w:rPr>
        <w:t>.</w:t>
      </w:r>
      <w:r w:rsidR="00825E64">
        <w:rPr>
          <w:szCs w:val="24"/>
        </w:rPr>
        <w:t xml:space="preserve"> </w:t>
      </w:r>
    </w:p>
    <w:p w14:paraId="1903C44B" w14:textId="77777777" w:rsidR="00C67C98" w:rsidRDefault="00C67C98" w:rsidP="00C67C98">
      <w:pPr>
        <w:pStyle w:val="NoSpacing"/>
        <w:rPr>
          <w:szCs w:val="24"/>
        </w:rPr>
      </w:pPr>
    </w:p>
    <w:p w14:paraId="4D4500D9" w14:textId="5554A34C" w:rsidR="005F34BA" w:rsidRPr="005F34BA" w:rsidRDefault="005F34BA" w:rsidP="00392BC9">
      <w:pPr>
        <w:pStyle w:val="NoSpacing"/>
        <w:numPr>
          <w:ilvl w:val="1"/>
          <w:numId w:val="63"/>
        </w:numPr>
        <w:rPr>
          <w:szCs w:val="24"/>
        </w:rPr>
      </w:pPr>
      <w:r>
        <w:rPr>
          <w:i/>
          <w:szCs w:val="24"/>
        </w:rPr>
        <w:t xml:space="preserve">Unconscientious Use of Position – </w:t>
      </w:r>
    </w:p>
    <w:p w14:paraId="2B096BC2" w14:textId="5C5246A6" w:rsidR="005F34BA" w:rsidRDefault="005F34BA" w:rsidP="00392BC9">
      <w:pPr>
        <w:pStyle w:val="NoSpacing"/>
        <w:numPr>
          <w:ilvl w:val="2"/>
          <w:numId w:val="63"/>
        </w:numPr>
        <w:rPr>
          <w:szCs w:val="24"/>
        </w:rPr>
      </w:pPr>
      <w:r>
        <w:rPr>
          <w:i/>
          <w:szCs w:val="24"/>
        </w:rPr>
        <w:t xml:space="preserve">Marcolongo v Mattiussi </w:t>
      </w:r>
      <w:r>
        <w:rPr>
          <w:szCs w:val="24"/>
        </w:rPr>
        <w:t xml:space="preserve">– </w:t>
      </w:r>
      <w:r w:rsidR="00531C8F">
        <w:rPr>
          <w:szCs w:val="24"/>
        </w:rPr>
        <w:t xml:space="preserve">Young J stated </w:t>
      </w:r>
    </w:p>
    <w:p w14:paraId="4F9A6122" w14:textId="77777777" w:rsidR="00531C8F" w:rsidRDefault="00531C8F" w:rsidP="00531C8F">
      <w:pPr>
        <w:pStyle w:val="NoSpacing"/>
        <w:ind w:left="2160"/>
        <w:rPr>
          <w:i/>
          <w:szCs w:val="24"/>
        </w:rPr>
      </w:pPr>
    </w:p>
    <w:p w14:paraId="731137ED" w14:textId="7CC9A5F9" w:rsidR="00531C8F" w:rsidRPr="005F34BA" w:rsidRDefault="00531C8F" w:rsidP="00E95730">
      <w:pPr>
        <w:pStyle w:val="NoSpacing"/>
        <w:ind w:left="2160"/>
        <w:rPr>
          <w:szCs w:val="24"/>
        </w:rPr>
      </w:pPr>
      <w:r>
        <w:rPr>
          <w:i/>
          <w:szCs w:val="24"/>
        </w:rPr>
        <w:t xml:space="preserve">‘whether there has been an unconscientious use by the </w:t>
      </w:r>
      <w:r w:rsidR="00E95730">
        <w:rPr>
          <w:i/>
          <w:szCs w:val="24"/>
        </w:rPr>
        <w:t>solicitor</w:t>
      </w:r>
      <w:r>
        <w:rPr>
          <w:i/>
          <w:szCs w:val="24"/>
        </w:rPr>
        <w:t xml:space="preserve"> of their position of advantage in circumstances where the person in the position of the client was reasonably expecting a person in the position of a </w:t>
      </w:r>
      <w:r w:rsidR="00E95730">
        <w:rPr>
          <w:i/>
          <w:szCs w:val="24"/>
        </w:rPr>
        <w:t>solicitor</w:t>
      </w:r>
      <w:r>
        <w:rPr>
          <w:i/>
          <w:szCs w:val="24"/>
        </w:rPr>
        <w:t xml:space="preserve"> to act </w:t>
      </w:r>
      <w:r w:rsidR="00E95730">
        <w:rPr>
          <w:i/>
          <w:szCs w:val="24"/>
        </w:rPr>
        <w:t>solely</w:t>
      </w:r>
      <w:r>
        <w:rPr>
          <w:i/>
          <w:szCs w:val="24"/>
        </w:rPr>
        <w:t xml:space="preserve"> on their behalf’</w:t>
      </w:r>
    </w:p>
    <w:p w14:paraId="6B3E559A" w14:textId="77777777" w:rsidR="005F34BA" w:rsidRPr="005F34BA" w:rsidRDefault="005F34BA" w:rsidP="005F34BA">
      <w:pPr>
        <w:pStyle w:val="NoSpacing"/>
        <w:ind w:left="1440"/>
        <w:rPr>
          <w:szCs w:val="24"/>
        </w:rPr>
      </w:pPr>
    </w:p>
    <w:p w14:paraId="5B3E6A58" w14:textId="77777777" w:rsidR="00702CA1" w:rsidRDefault="00702CA1" w:rsidP="00392BC9">
      <w:pPr>
        <w:pStyle w:val="NoSpacing"/>
        <w:numPr>
          <w:ilvl w:val="1"/>
          <w:numId w:val="63"/>
        </w:numPr>
        <w:rPr>
          <w:szCs w:val="24"/>
        </w:rPr>
      </w:pPr>
      <w:r w:rsidRPr="00DE53B2">
        <w:rPr>
          <w:i/>
          <w:szCs w:val="24"/>
        </w:rPr>
        <w:t>Failure to Disclose Interests</w:t>
      </w:r>
      <w:r>
        <w:rPr>
          <w:szCs w:val="24"/>
        </w:rPr>
        <w:t xml:space="preserve"> –</w:t>
      </w:r>
    </w:p>
    <w:p w14:paraId="737B2D4C" w14:textId="363F7B10" w:rsidR="00702CA1" w:rsidRDefault="00702CA1" w:rsidP="00392BC9">
      <w:pPr>
        <w:pStyle w:val="ListParagraph"/>
        <w:numPr>
          <w:ilvl w:val="2"/>
          <w:numId w:val="63"/>
        </w:numPr>
      </w:pPr>
      <w:r>
        <w:t xml:space="preserve">Failure to make full disclosure and to counsel the client to seek independent </w:t>
      </w:r>
      <w:r w:rsidR="00A9379A">
        <w:t>advice</w:t>
      </w:r>
      <w:r>
        <w:t xml:space="preserve"> may open the lawyer to a claim for fiduciary </w:t>
      </w:r>
      <w:r>
        <w:lastRenderedPageBreak/>
        <w:t>breach or undue influence and potentially threaten enforceability and validity of the transaction.</w:t>
      </w:r>
    </w:p>
    <w:p w14:paraId="3452932E" w14:textId="4CFE4BD2" w:rsidR="00702CA1" w:rsidRPr="005F34BA" w:rsidRDefault="00702CA1" w:rsidP="00392BC9">
      <w:pPr>
        <w:pStyle w:val="ListParagraph"/>
        <w:numPr>
          <w:ilvl w:val="3"/>
          <w:numId w:val="63"/>
        </w:numPr>
      </w:pPr>
      <w:r w:rsidRPr="00A9379A">
        <w:rPr>
          <w:i/>
        </w:rPr>
        <w:t>Ta</w:t>
      </w:r>
      <w:r w:rsidR="00A9379A" w:rsidRPr="00A9379A">
        <w:rPr>
          <w:i/>
        </w:rPr>
        <w:t>lbot &amp; Olivier v Shann (2005)</w:t>
      </w:r>
    </w:p>
    <w:p w14:paraId="1F02896D" w14:textId="77777777" w:rsidR="005F34BA" w:rsidRDefault="005F34BA" w:rsidP="005F34BA">
      <w:pPr>
        <w:pStyle w:val="ListParagraph"/>
        <w:ind w:left="2880"/>
      </w:pPr>
    </w:p>
    <w:p w14:paraId="28DF367F" w14:textId="77777777" w:rsidR="003D13DB" w:rsidRPr="005F34BA" w:rsidRDefault="003D13DB" w:rsidP="005F34BA">
      <w:pPr>
        <w:pStyle w:val="ListParagraph"/>
        <w:ind w:left="2880"/>
      </w:pPr>
    </w:p>
    <w:p w14:paraId="33D357D5" w14:textId="77777777" w:rsidR="00702CA1" w:rsidRDefault="00702CA1" w:rsidP="00C67C98">
      <w:pPr>
        <w:pStyle w:val="NoSpacing"/>
        <w:rPr>
          <w:szCs w:val="24"/>
        </w:rPr>
      </w:pPr>
    </w:p>
    <w:p w14:paraId="24AA1067" w14:textId="074C4271" w:rsidR="00C376F7" w:rsidRPr="00C376F7" w:rsidRDefault="00B82D40" w:rsidP="00392BC9">
      <w:pPr>
        <w:pStyle w:val="NoSpacing"/>
        <w:numPr>
          <w:ilvl w:val="0"/>
          <w:numId w:val="63"/>
        </w:numPr>
        <w:rPr>
          <w:szCs w:val="24"/>
        </w:rPr>
      </w:pPr>
      <w:r>
        <w:rPr>
          <w:b/>
          <w:i/>
          <w:szCs w:val="24"/>
        </w:rPr>
        <w:t>Receiving</w:t>
      </w:r>
      <w:r w:rsidR="00C376F7">
        <w:rPr>
          <w:b/>
          <w:i/>
          <w:szCs w:val="24"/>
        </w:rPr>
        <w:t xml:space="preserve"> a Higher Fee</w:t>
      </w:r>
      <w:r w:rsidR="000E7B32">
        <w:rPr>
          <w:b/>
          <w:i/>
          <w:szCs w:val="24"/>
        </w:rPr>
        <w:t>,</w:t>
      </w:r>
      <w:r w:rsidR="0059039D">
        <w:rPr>
          <w:b/>
          <w:i/>
          <w:szCs w:val="24"/>
        </w:rPr>
        <w:t xml:space="preserve"> Referrals</w:t>
      </w:r>
      <w:r w:rsidR="00D6767F">
        <w:rPr>
          <w:b/>
          <w:i/>
          <w:szCs w:val="24"/>
        </w:rPr>
        <w:t xml:space="preserve"> &amp; Commissions</w:t>
      </w:r>
      <w:r w:rsidR="0059039D">
        <w:rPr>
          <w:b/>
          <w:i/>
          <w:szCs w:val="24"/>
        </w:rPr>
        <w:t xml:space="preserve"> </w:t>
      </w:r>
      <w:r w:rsidR="001B7057" w:rsidRPr="00380BAC">
        <w:rPr>
          <w:szCs w:val="24"/>
        </w:rPr>
        <w:t>–</w:t>
      </w:r>
      <w:r w:rsidR="001B7057">
        <w:rPr>
          <w:b/>
          <w:szCs w:val="24"/>
        </w:rPr>
        <w:t xml:space="preserve"> </w:t>
      </w:r>
      <w:r w:rsidR="00957F65" w:rsidRPr="00EF085D">
        <w:rPr>
          <w:szCs w:val="24"/>
        </w:rPr>
        <w:t xml:space="preserve">A lawyer, per their fiduciary duties, must not profit from the fiduciary position with the relevant candid and informed consent of the person to whom the fiduciary </w:t>
      </w:r>
      <w:r w:rsidR="00240374">
        <w:rPr>
          <w:szCs w:val="24"/>
        </w:rPr>
        <w:t xml:space="preserve">duties are owed placing the </w:t>
      </w:r>
      <w:r w:rsidR="00673F39">
        <w:rPr>
          <w:szCs w:val="24"/>
        </w:rPr>
        <w:t>clients’</w:t>
      </w:r>
      <w:r w:rsidR="00240374">
        <w:rPr>
          <w:szCs w:val="24"/>
        </w:rPr>
        <w:t xml:space="preserve"> interests above their own.</w:t>
      </w:r>
    </w:p>
    <w:p w14:paraId="69BDF9E5" w14:textId="77777777" w:rsidR="00DD7983" w:rsidRDefault="00CB7E7D" w:rsidP="00392BC9">
      <w:pPr>
        <w:pStyle w:val="NoSpacing"/>
        <w:numPr>
          <w:ilvl w:val="1"/>
          <w:numId w:val="63"/>
        </w:numPr>
        <w:rPr>
          <w:szCs w:val="24"/>
        </w:rPr>
      </w:pPr>
      <w:r>
        <w:rPr>
          <w:i/>
          <w:szCs w:val="24"/>
        </w:rPr>
        <w:t xml:space="preserve">Council of QLD Law Society v Roche </w:t>
      </w:r>
      <w:r>
        <w:rPr>
          <w:szCs w:val="24"/>
        </w:rPr>
        <w:t xml:space="preserve">– </w:t>
      </w:r>
    </w:p>
    <w:p w14:paraId="1734AE12" w14:textId="77777777" w:rsidR="00DD7983" w:rsidRDefault="00DD7983" w:rsidP="00392BC9">
      <w:pPr>
        <w:pStyle w:val="NoSpacing"/>
        <w:numPr>
          <w:ilvl w:val="2"/>
          <w:numId w:val="63"/>
        </w:numPr>
        <w:rPr>
          <w:szCs w:val="24"/>
        </w:rPr>
      </w:pPr>
      <w:r>
        <w:rPr>
          <w:szCs w:val="24"/>
        </w:rPr>
        <w:t xml:space="preserve">Lawyer favoured own economic gain over that of client </w:t>
      </w:r>
    </w:p>
    <w:p w14:paraId="6C1CE695" w14:textId="4B8A08D5" w:rsidR="00C376F7" w:rsidRDefault="00DD7983" w:rsidP="00392BC9">
      <w:pPr>
        <w:pStyle w:val="NoSpacing"/>
        <w:numPr>
          <w:ilvl w:val="2"/>
          <w:numId w:val="63"/>
        </w:numPr>
        <w:rPr>
          <w:szCs w:val="24"/>
        </w:rPr>
      </w:pPr>
      <w:r>
        <w:rPr>
          <w:szCs w:val="24"/>
        </w:rPr>
        <w:t xml:space="preserve">Didn’t encourage independent </w:t>
      </w:r>
      <w:r w:rsidR="00FE640A">
        <w:rPr>
          <w:szCs w:val="24"/>
        </w:rPr>
        <w:t>advice</w:t>
      </w:r>
      <w:r>
        <w:rPr>
          <w:szCs w:val="24"/>
        </w:rPr>
        <w:t xml:space="preserve">. </w:t>
      </w:r>
    </w:p>
    <w:p w14:paraId="067392E9" w14:textId="77777777" w:rsidR="007212E3" w:rsidRDefault="007212E3" w:rsidP="00DD7983">
      <w:pPr>
        <w:rPr>
          <w:i/>
        </w:rPr>
      </w:pPr>
    </w:p>
    <w:p w14:paraId="0D3AAECB" w14:textId="13A39ABA" w:rsidR="00DD7983" w:rsidRDefault="007212E3" w:rsidP="00DD7983">
      <w:r>
        <w:rPr>
          <w:i/>
        </w:rPr>
        <w:t>Council of QLD Law Society v Roche</w:t>
      </w:r>
    </w:p>
    <w:p w14:paraId="32646464" w14:textId="60986511" w:rsidR="00DD7983" w:rsidRDefault="007212E3" w:rsidP="00963D2F">
      <w:pPr>
        <w:pBdr>
          <w:top w:val="single" w:sz="4" w:space="1" w:color="auto"/>
          <w:left w:val="single" w:sz="4" w:space="4" w:color="auto"/>
          <w:bottom w:val="single" w:sz="4" w:space="1" w:color="auto"/>
          <w:right w:val="single" w:sz="4" w:space="4" w:color="auto"/>
        </w:pBdr>
        <w:shd w:val="clear" w:color="auto" w:fill="BFBFBF" w:themeFill="background1" w:themeFillShade="BF"/>
      </w:pPr>
      <w:r>
        <w:t>P</w:t>
      </w:r>
      <w:r w:rsidR="00DD7983">
        <w:t xml:space="preserve">ractitioner negotiated a substantial increase in fees with an existing ‘no win, no fee’ client in a personal injury matter, the court the practitioner guilty of professional misconduct for preferring his own interest to that of his client. He had breached the fiduciary obligation to the client by failing to inform the client of the way the client’s rights under the fee agreement and the fees payable would change. It was said that he should advised the client to seek independent advise before making the client sign the new agreement even though the client gave the evidence he would have not sought the independent advise. </w:t>
      </w:r>
    </w:p>
    <w:p w14:paraId="2B440913" w14:textId="77777777" w:rsidR="00C376F7" w:rsidRDefault="00C376F7" w:rsidP="00C376F7">
      <w:pPr>
        <w:pStyle w:val="NoSpacing"/>
        <w:ind w:left="720"/>
        <w:rPr>
          <w:szCs w:val="24"/>
        </w:rPr>
      </w:pPr>
    </w:p>
    <w:p w14:paraId="4FBECF60" w14:textId="069B1F79" w:rsidR="00FE640A" w:rsidRPr="000E57F5" w:rsidRDefault="000E57F5" w:rsidP="00392BC9">
      <w:pPr>
        <w:pStyle w:val="NoSpacing"/>
        <w:numPr>
          <w:ilvl w:val="1"/>
          <w:numId w:val="63"/>
        </w:numPr>
        <w:rPr>
          <w:szCs w:val="24"/>
        </w:rPr>
      </w:pPr>
      <w:r>
        <w:rPr>
          <w:i/>
          <w:szCs w:val="24"/>
        </w:rPr>
        <w:t xml:space="preserve">Making of Wills &amp; Higher Fees </w:t>
      </w:r>
      <w:r>
        <w:rPr>
          <w:szCs w:val="24"/>
        </w:rPr>
        <w:t xml:space="preserve">– </w:t>
      </w:r>
      <w:r w:rsidRPr="000E57F5">
        <w:rPr>
          <w:i/>
          <w:szCs w:val="24"/>
        </w:rPr>
        <w:t>PCPR R10</w:t>
      </w:r>
    </w:p>
    <w:p w14:paraId="67BEE889" w14:textId="1AA936E9" w:rsidR="004C22DA" w:rsidRDefault="004C22DA" w:rsidP="00392BC9">
      <w:pPr>
        <w:pStyle w:val="NoSpacing"/>
        <w:numPr>
          <w:ilvl w:val="2"/>
          <w:numId w:val="63"/>
        </w:numPr>
        <w:rPr>
          <w:szCs w:val="24"/>
        </w:rPr>
      </w:pPr>
      <w:r>
        <w:rPr>
          <w:szCs w:val="24"/>
        </w:rPr>
        <w:t>PCPR 10.1 – Requires lawyers to disclose to the client in writing any fee or commission they will claim under the will and inform the client that they could appoint another executor.</w:t>
      </w:r>
    </w:p>
    <w:p w14:paraId="68AC4D0D" w14:textId="77777777" w:rsidR="004C22DA" w:rsidRDefault="004C22DA" w:rsidP="004C22DA">
      <w:pPr>
        <w:pStyle w:val="NoSpacing"/>
        <w:ind w:left="2160"/>
        <w:rPr>
          <w:szCs w:val="24"/>
        </w:rPr>
      </w:pPr>
    </w:p>
    <w:p w14:paraId="08130E79" w14:textId="45ABB801" w:rsidR="000E57F5" w:rsidRPr="00901DDA" w:rsidRDefault="004C22DA" w:rsidP="00392BC9">
      <w:pPr>
        <w:pStyle w:val="NoSpacing"/>
        <w:numPr>
          <w:ilvl w:val="2"/>
          <w:numId w:val="63"/>
        </w:numPr>
        <w:rPr>
          <w:szCs w:val="24"/>
        </w:rPr>
      </w:pPr>
      <w:r>
        <w:rPr>
          <w:szCs w:val="24"/>
        </w:rPr>
        <w:t>PCPR 10.2 –</w:t>
      </w:r>
      <w:r>
        <w:rPr>
          <w:rFonts w:cs="Times New Roman"/>
          <w:szCs w:val="24"/>
        </w:rPr>
        <w:t>prevents a lawyer from drafting a will under which the practitioner or the practitioners firm or associate will or may receive a substantial benefit in addition to reasonable remuneratio</w:t>
      </w:r>
      <w:r w:rsidR="00901DDA">
        <w:rPr>
          <w:rFonts w:cs="Times New Roman"/>
          <w:szCs w:val="24"/>
        </w:rPr>
        <w:t>n</w:t>
      </w:r>
    </w:p>
    <w:p w14:paraId="5358C1D1" w14:textId="77777777" w:rsidR="00901DDA" w:rsidRDefault="00901DDA" w:rsidP="00901DDA">
      <w:pPr>
        <w:pStyle w:val="ListParagraph"/>
      </w:pPr>
    </w:p>
    <w:p w14:paraId="61DC6E12" w14:textId="13A0D2A2" w:rsidR="00901DDA" w:rsidRPr="00C15745" w:rsidRDefault="00901DDA" w:rsidP="00392BC9">
      <w:pPr>
        <w:pStyle w:val="NoSpacing"/>
        <w:numPr>
          <w:ilvl w:val="1"/>
          <w:numId w:val="63"/>
        </w:numPr>
        <w:rPr>
          <w:szCs w:val="24"/>
        </w:rPr>
      </w:pPr>
      <w:r w:rsidRPr="00901DDA">
        <w:rPr>
          <w:i/>
          <w:szCs w:val="24"/>
        </w:rPr>
        <w:t>Referrals</w:t>
      </w:r>
      <w:r w:rsidR="009F590A">
        <w:rPr>
          <w:i/>
          <w:szCs w:val="24"/>
        </w:rPr>
        <w:t xml:space="preserve"> &amp; Commissions – PCPR 33</w:t>
      </w:r>
      <w:r w:rsidR="00692042">
        <w:rPr>
          <w:i/>
          <w:szCs w:val="24"/>
        </w:rPr>
        <w:t xml:space="preserve"> </w:t>
      </w:r>
      <w:r w:rsidR="00692042">
        <w:rPr>
          <w:szCs w:val="24"/>
        </w:rPr>
        <w:t xml:space="preserve"> </w:t>
      </w:r>
      <w:r w:rsidR="00692042">
        <w:rPr>
          <w:i/>
          <w:szCs w:val="24"/>
        </w:rPr>
        <w:t>–</w:t>
      </w:r>
      <w:r w:rsidR="00692042">
        <w:rPr>
          <w:szCs w:val="24"/>
        </w:rPr>
        <w:t xml:space="preserve"> </w:t>
      </w:r>
      <w:r w:rsidR="00692042" w:rsidRPr="00692042">
        <w:rPr>
          <w:rFonts w:cs="Times New Roman"/>
          <w:szCs w:val="24"/>
        </w:rPr>
        <w:t>A conflict of interest could be created where a lawyer accepts an undisclosed benefit for referring a client to a third party</w:t>
      </w:r>
      <w:r w:rsidR="00E478E5">
        <w:rPr>
          <w:rFonts w:cs="Times New Roman"/>
          <w:szCs w:val="24"/>
        </w:rPr>
        <w:t xml:space="preserve"> [see </w:t>
      </w:r>
      <w:r w:rsidR="00E478E5">
        <w:rPr>
          <w:rFonts w:cs="Times New Roman"/>
          <w:i/>
          <w:szCs w:val="24"/>
        </w:rPr>
        <w:t>Maher v Millennium Markets]</w:t>
      </w:r>
    </w:p>
    <w:p w14:paraId="35FDB8B5" w14:textId="77777777" w:rsidR="00FE2A5C" w:rsidRPr="00FE2A5C" w:rsidRDefault="00FE2A5C" w:rsidP="00FE2A5C">
      <w:pPr>
        <w:pStyle w:val="NoSpacing"/>
        <w:ind w:left="2160"/>
        <w:rPr>
          <w:szCs w:val="24"/>
        </w:rPr>
      </w:pPr>
    </w:p>
    <w:p w14:paraId="49B6A30E" w14:textId="4C6037CD" w:rsidR="00C15745" w:rsidRPr="00EF4FCA" w:rsidRDefault="00C15745" w:rsidP="00392BC9">
      <w:pPr>
        <w:pStyle w:val="NoSpacing"/>
        <w:numPr>
          <w:ilvl w:val="2"/>
          <w:numId w:val="63"/>
        </w:numPr>
        <w:rPr>
          <w:szCs w:val="24"/>
        </w:rPr>
      </w:pPr>
      <w:r>
        <w:rPr>
          <w:i/>
          <w:szCs w:val="24"/>
        </w:rPr>
        <w:t xml:space="preserve">Criminal Liability – </w:t>
      </w:r>
      <w:r w:rsidR="00D32D5D">
        <w:rPr>
          <w:i/>
          <w:szCs w:val="24"/>
        </w:rPr>
        <w:t>Crimes Act Vic 1958 s175(1)</w:t>
      </w:r>
      <w:r w:rsidR="00D10D9F">
        <w:rPr>
          <w:i/>
          <w:szCs w:val="24"/>
        </w:rPr>
        <w:t xml:space="preserve"> &amp; s176(1)</w:t>
      </w:r>
      <w:r w:rsidR="00D32D5D">
        <w:rPr>
          <w:i/>
          <w:szCs w:val="24"/>
        </w:rPr>
        <w:t xml:space="preserve"> </w:t>
      </w:r>
      <w:r w:rsidR="00D32D5D">
        <w:rPr>
          <w:szCs w:val="24"/>
        </w:rPr>
        <w:t>– makes it a crime for an agent [including a lawyer] to receive or solicit from a person valuable consideration.</w:t>
      </w:r>
    </w:p>
    <w:p w14:paraId="1BC738DE" w14:textId="77777777" w:rsidR="006950E6" w:rsidRDefault="006950E6" w:rsidP="006950E6">
      <w:pPr>
        <w:pStyle w:val="NoSpacing"/>
        <w:ind w:left="2160"/>
        <w:rPr>
          <w:szCs w:val="24"/>
        </w:rPr>
      </w:pPr>
    </w:p>
    <w:p w14:paraId="54325C46" w14:textId="1C7A5474" w:rsidR="00692042" w:rsidRPr="00692042" w:rsidRDefault="00977D2B" w:rsidP="00392BC9">
      <w:pPr>
        <w:pStyle w:val="NoSpacing"/>
        <w:numPr>
          <w:ilvl w:val="2"/>
          <w:numId w:val="63"/>
        </w:numPr>
        <w:rPr>
          <w:szCs w:val="24"/>
        </w:rPr>
      </w:pPr>
      <w:r>
        <w:rPr>
          <w:szCs w:val="24"/>
        </w:rPr>
        <w:t>Rule 33.2</w:t>
      </w:r>
      <w:r w:rsidR="00C17B04">
        <w:rPr>
          <w:szCs w:val="24"/>
        </w:rPr>
        <w:t xml:space="preserve"> – </w:t>
      </w:r>
    </w:p>
    <w:p w14:paraId="399955A2" w14:textId="77777777" w:rsidR="00AB1555" w:rsidRPr="00AB1555" w:rsidRDefault="00AB1555" w:rsidP="00AB1555">
      <w:pPr>
        <w:pStyle w:val="NoSpacing"/>
        <w:rPr>
          <w:i/>
          <w:szCs w:val="24"/>
        </w:rPr>
      </w:pPr>
    </w:p>
    <w:p w14:paraId="4EC99CC8" w14:textId="2EF5CB37" w:rsidR="00AB1555" w:rsidRPr="00AB1555" w:rsidRDefault="00AB1555" w:rsidP="00AB1555">
      <w:pPr>
        <w:autoSpaceDE w:val="0"/>
        <w:autoSpaceDN w:val="0"/>
        <w:adjustRightInd w:val="0"/>
        <w:ind w:left="2160"/>
        <w:rPr>
          <w:rFonts w:eastAsiaTheme="minorHAnsi"/>
          <w:i/>
          <w:sz w:val="23"/>
          <w:szCs w:val="23"/>
          <w:lang w:val="en-AU"/>
        </w:rPr>
      </w:pPr>
      <w:r w:rsidRPr="00AB1555">
        <w:rPr>
          <w:rFonts w:eastAsiaTheme="minorHAnsi"/>
          <w:i/>
          <w:sz w:val="23"/>
          <w:szCs w:val="23"/>
          <w:lang w:val="en-AU"/>
        </w:rPr>
        <w:t>A practitioner must not act for a client in any dealing with a third party from whom the practitioner may receive, directly or indirectly, any fee, benefit or reward in respect of that dealing unless:</w:t>
      </w:r>
    </w:p>
    <w:p w14:paraId="1E58488E" w14:textId="1B00E601" w:rsidR="00AB1555" w:rsidRPr="00AB1555" w:rsidRDefault="00AB1555" w:rsidP="00AB1555">
      <w:pPr>
        <w:autoSpaceDE w:val="0"/>
        <w:autoSpaceDN w:val="0"/>
        <w:adjustRightInd w:val="0"/>
        <w:ind w:left="2160"/>
        <w:rPr>
          <w:rFonts w:eastAsiaTheme="minorHAnsi"/>
          <w:i/>
          <w:sz w:val="23"/>
          <w:szCs w:val="23"/>
          <w:lang w:val="en-AU"/>
        </w:rPr>
      </w:pPr>
      <w:r w:rsidRPr="00AB1555">
        <w:rPr>
          <w:rFonts w:eastAsiaTheme="minorHAnsi"/>
          <w:i/>
          <w:sz w:val="23"/>
          <w:szCs w:val="23"/>
          <w:lang w:val="en-AU"/>
        </w:rPr>
        <w:t>33.2.1 the practitioner is able to advise and, in fact, advises the client free of any constraint or influence which might be imposed on the practitioner by the third party;</w:t>
      </w:r>
    </w:p>
    <w:p w14:paraId="4703338E" w14:textId="77777777" w:rsidR="00AB1555" w:rsidRPr="00AB1555" w:rsidRDefault="00AB1555" w:rsidP="00AB1555">
      <w:pPr>
        <w:autoSpaceDE w:val="0"/>
        <w:autoSpaceDN w:val="0"/>
        <w:adjustRightInd w:val="0"/>
        <w:ind w:left="2160"/>
        <w:rPr>
          <w:rFonts w:eastAsiaTheme="minorHAnsi"/>
          <w:i/>
          <w:sz w:val="23"/>
          <w:szCs w:val="23"/>
          <w:lang w:val="en-AU"/>
        </w:rPr>
      </w:pPr>
      <w:r w:rsidRPr="00AB1555">
        <w:rPr>
          <w:rFonts w:eastAsiaTheme="minorHAnsi"/>
          <w:i/>
          <w:sz w:val="23"/>
          <w:szCs w:val="23"/>
          <w:lang w:val="en-AU"/>
        </w:rPr>
        <w:t>33.2.2 the practitioner's advice is fair and free of any bias caused by the practitioner's relationship with the third party; and</w:t>
      </w:r>
    </w:p>
    <w:p w14:paraId="5DA5978B" w14:textId="2C25F3B5" w:rsidR="00AB1555" w:rsidRPr="00AB1555" w:rsidRDefault="00AB1555" w:rsidP="00AB1555">
      <w:pPr>
        <w:autoSpaceDE w:val="0"/>
        <w:autoSpaceDN w:val="0"/>
        <w:adjustRightInd w:val="0"/>
        <w:ind w:left="2160"/>
        <w:rPr>
          <w:rFonts w:eastAsiaTheme="minorHAnsi"/>
          <w:i/>
          <w:sz w:val="23"/>
          <w:szCs w:val="23"/>
          <w:lang w:val="en-AU"/>
        </w:rPr>
      </w:pPr>
      <w:r w:rsidRPr="00AB1555">
        <w:rPr>
          <w:rFonts w:eastAsiaTheme="minorHAnsi"/>
          <w:i/>
          <w:sz w:val="23"/>
          <w:szCs w:val="23"/>
          <w:lang w:val="en-AU"/>
        </w:rPr>
        <w:t>33.2.3 the nature and value of any fee, benefit, or reward, which may be</w:t>
      </w:r>
    </w:p>
    <w:p w14:paraId="5D0FEEA2" w14:textId="77777777" w:rsidR="00673F39" w:rsidRDefault="00AB1555" w:rsidP="00673F39">
      <w:pPr>
        <w:autoSpaceDE w:val="0"/>
        <w:autoSpaceDN w:val="0"/>
        <w:adjustRightInd w:val="0"/>
        <w:ind w:left="2160"/>
        <w:rPr>
          <w:rFonts w:eastAsiaTheme="minorHAnsi"/>
          <w:i/>
          <w:sz w:val="23"/>
          <w:szCs w:val="23"/>
          <w:lang w:val="en-AU"/>
        </w:rPr>
      </w:pPr>
      <w:r w:rsidRPr="00AB1555">
        <w:rPr>
          <w:rFonts w:eastAsiaTheme="minorHAnsi"/>
          <w:i/>
          <w:sz w:val="23"/>
          <w:szCs w:val="23"/>
          <w:lang w:val="en-AU"/>
        </w:rPr>
        <w:t>rec</w:t>
      </w:r>
      <w:r w:rsidR="00673F39">
        <w:rPr>
          <w:rFonts w:eastAsiaTheme="minorHAnsi"/>
          <w:i/>
          <w:sz w:val="23"/>
          <w:szCs w:val="23"/>
          <w:lang w:val="en-AU"/>
        </w:rPr>
        <w:t xml:space="preserve">eived by the practitioner, are: </w:t>
      </w:r>
    </w:p>
    <w:p w14:paraId="4A76E811" w14:textId="690BA699" w:rsidR="00AB1555" w:rsidRPr="00673F39" w:rsidRDefault="00AB1555" w:rsidP="00673F39">
      <w:pPr>
        <w:autoSpaceDE w:val="0"/>
        <w:autoSpaceDN w:val="0"/>
        <w:adjustRightInd w:val="0"/>
        <w:ind w:left="2160"/>
        <w:rPr>
          <w:rFonts w:eastAsiaTheme="minorHAnsi"/>
          <w:i/>
          <w:sz w:val="23"/>
          <w:szCs w:val="23"/>
          <w:lang w:val="en-AU"/>
        </w:rPr>
      </w:pPr>
      <w:r w:rsidRPr="00AB1555">
        <w:rPr>
          <w:rFonts w:eastAsiaTheme="minorHAnsi"/>
          <w:i/>
          <w:sz w:val="23"/>
          <w:szCs w:val="23"/>
          <w:lang w:val="en-AU"/>
        </w:rPr>
        <w:lastRenderedPageBreak/>
        <w:t>(a) fair and reasonable, having regard to objective commercial</w:t>
      </w:r>
      <w:r w:rsidR="00673F39">
        <w:rPr>
          <w:rFonts w:eastAsiaTheme="minorHAnsi"/>
          <w:i/>
          <w:sz w:val="23"/>
          <w:szCs w:val="23"/>
          <w:lang w:val="en-AU"/>
        </w:rPr>
        <w:t xml:space="preserve"> </w:t>
      </w:r>
      <w:r w:rsidRPr="00AB1555">
        <w:rPr>
          <w:rFonts w:eastAsiaTheme="minorHAnsi"/>
          <w:i/>
          <w:sz w:val="23"/>
          <w:szCs w:val="23"/>
          <w:lang w:val="en-AU"/>
        </w:rPr>
        <w:t>standards; and</w:t>
      </w:r>
      <w:r w:rsidR="00673F39">
        <w:rPr>
          <w:rFonts w:eastAsiaTheme="minorHAnsi"/>
          <w:i/>
          <w:sz w:val="23"/>
          <w:szCs w:val="23"/>
          <w:lang w:val="en-AU"/>
        </w:rPr>
        <w:t xml:space="preserve"> </w:t>
      </w:r>
      <w:r w:rsidRPr="00AB1555">
        <w:rPr>
          <w:rFonts w:eastAsiaTheme="minorHAnsi"/>
          <w:i/>
          <w:sz w:val="23"/>
          <w:szCs w:val="23"/>
          <w:lang w:val="en-AU"/>
        </w:rPr>
        <w:t>(b) are disclosed fully in writing to the client before the dealing is</w:t>
      </w:r>
      <w:r w:rsidR="00673F39">
        <w:rPr>
          <w:rFonts w:eastAsiaTheme="minorHAnsi"/>
          <w:i/>
          <w:sz w:val="23"/>
          <w:szCs w:val="23"/>
          <w:lang w:val="en-AU"/>
        </w:rPr>
        <w:t xml:space="preserve"> </w:t>
      </w:r>
      <w:r w:rsidRPr="00AB1555">
        <w:rPr>
          <w:rFonts w:eastAsiaTheme="minorHAnsi"/>
          <w:i/>
          <w:sz w:val="23"/>
          <w:szCs w:val="23"/>
          <w:lang w:val="en-AU"/>
        </w:rPr>
        <w:t>commenced.</w:t>
      </w:r>
    </w:p>
    <w:p w14:paraId="4FDB9EBF" w14:textId="77777777" w:rsidR="00B83FCE" w:rsidRDefault="00B83FCE" w:rsidP="00B83FCE">
      <w:pPr>
        <w:pStyle w:val="NoSpacing"/>
        <w:rPr>
          <w:rFonts w:cs="Times New Roman"/>
          <w:i/>
          <w:szCs w:val="24"/>
        </w:rPr>
      </w:pPr>
    </w:p>
    <w:p w14:paraId="0CCD70D1" w14:textId="77777777" w:rsidR="005F3AF3" w:rsidRPr="005F3AF3" w:rsidRDefault="005F3AF3" w:rsidP="00B83FCE">
      <w:pPr>
        <w:pStyle w:val="NoSpacing"/>
        <w:rPr>
          <w:szCs w:val="24"/>
        </w:rPr>
      </w:pPr>
      <w:r>
        <w:rPr>
          <w:rFonts w:cs="Times New Roman"/>
          <w:i/>
          <w:szCs w:val="24"/>
        </w:rPr>
        <w:t xml:space="preserve">Maher v Millennium Markets </w:t>
      </w:r>
    </w:p>
    <w:p w14:paraId="678B6B2E" w14:textId="5FCC9E55" w:rsidR="0003406D" w:rsidRDefault="0003406D" w:rsidP="00B83FCE">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rFonts w:cs="Times New Roman"/>
          <w:szCs w:val="24"/>
        </w:rPr>
      </w:pPr>
      <w:r>
        <w:rPr>
          <w:rFonts w:cs="Times New Roman"/>
          <w:szCs w:val="24"/>
        </w:rPr>
        <w:t xml:space="preserve">Solicitor received a fee from a third party to arrange the sale of the clients </w:t>
      </w:r>
      <w:r w:rsidR="00DA67CF">
        <w:rPr>
          <w:rFonts w:cs="Times New Roman"/>
          <w:szCs w:val="24"/>
        </w:rPr>
        <w:t>properties</w:t>
      </w:r>
      <w:r>
        <w:rPr>
          <w:rFonts w:cs="Times New Roman"/>
          <w:szCs w:val="24"/>
        </w:rPr>
        <w:t>.</w:t>
      </w:r>
      <w:r w:rsidR="003212E8">
        <w:rPr>
          <w:rFonts w:cs="Times New Roman"/>
          <w:szCs w:val="24"/>
        </w:rPr>
        <w:t xml:space="preserve"> </w:t>
      </w:r>
      <w:r w:rsidR="00DA67CF">
        <w:rPr>
          <w:rFonts w:cs="Times New Roman"/>
          <w:szCs w:val="24"/>
        </w:rPr>
        <w:t>Solicitors</w:t>
      </w:r>
      <w:r w:rsidR="003212E8">
        <w:rPr>
          <w:rFonts w:cs="Times New Roman"/>
          <w:szCs w:val="24"/>
        </w:rPr>
        <w:t xml:space="preserve"> interests in the </w:t>
      </w:r>
      <w:r w:rsidR="00DA67CF">
        <w:rPr>
          <w:rFonts w:cs="Times New Roman"/>
          <w:szCs w:val="24"/>
        </w:rPr>
        <w:t>properties</w:t>
      </w:r>
      <w:r w:rsidR="003212E8">
        <w:rPr>
          <w:rFonts w:cs="Times New Roman"/>
          <w:szCs w:val="24"/>
        </w:rPr>
        <w:t xml:space="preserve"> meant he did not explain fully his obligations to the clients. </w:t>
      </w:r>
    </w:p>
    <w:p w14:paraId="65136BAD" w14:textId="359BDFA6" w:rsidR="005F3AF3" w:rsidRDefault="0003406D" w:rsidP="00B83FCE">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szCs w:val="24"/>
        </w:rPr>
      </w:pPr>
      <w:r w:rsidRPr="0003406D">
        <w:rPr>
          <w:rFonts w:cs="Times New Roman"/>
          <w:b/>
          <w:szCs w:val="24"/>
        </w:rPr>
        <w:t>Held:</w:t>
      </w:r>
      <w:r>
        <w:rPr>
          <w:rFonts w:cs="Times New Roman"/>
          <w:szCs w:val="24"/>
        </w:rPr>
        <w:t xml:space="preserve"> </w:t>
      </w:r>
      <w:r w:rsidR="00B83FCE">
        <w:rPr>
          <w:rFonts w:cs="Times New Roman"/>
          <w:szCs w:val="24"/>
        </w:rPr>
        <w:t>Solicitor should have either ensured that the clients were independently advised as to the potential conflict of interest implicit in the fee agreement or at the very least personally advised them explicitly on the is</w:t>
      </w:r>
      <w:r>
        <w:rPr>
          <w:rFonts w:cs="Times New Roman"/>
          <w:szCs w:val="24"/>
        </w:rPr>
        <w:t xml:space="preserve">sue. </w:t>
      </w:r>
      <w:r w:rsidR="006950E6">
        <w:rPr>
          <w:rFonts w:cs="Times New Roman"/>
          <w:szCs w:val="24"/>
        </w:rPr>
        <w:t>Solicitor</w:t>
      </w:r>
      <w:r w:rsidR="009F57FB">
        <w:rPr>
          <w:rFonts w:cs="Times New Roman"/>
          <w:szCs w:val="24"/>
        </w:rPr>
        <w:t xml:space="preserve"> liable.</w:t>
      </w:r>
    </w:p>
    <w:p w14:paraId="00A1F497" w14:textId="43468C59" w:rsidR="009B1B79" w:rsidRDefault="009B1B79" w:rsidP="00392BC9">
      <w:pPr>
        <w:pStyle w:val="NoSpacing"/>
        <w:numPr>
          <w:ilvl w:val="0"/>
          <w:numId w:val="63"/>
        </w:numPr>
        <w:rPr>
          <w:szCs w:val="24"/>
        </w:rPr>
      </w:pPr>
      <w:r w:rsidRPr="00051CC6">
        <w:rPr>
          <w:b/>
          <w:i/>
          <w:szCs w:val="24"/>
        </w:rPr>
        <w:t>Practitioner as witness</w:t>
      </w:r>
      <w:r w:rsidR="00051CC6">
        <w:rPr>
          <w:b/>
          <w:i/>
          <w:szCs w:val="24"/>
        </w:rPr>
        <w:t xml:space="preserve"> </w:t>
      </w:r>
      <w:r w:rsidR="00051CC6" w:rsidRPr="00051CC6">
        <w:rPr>
          <w:i/>
          <w:szCs w:val="24"/>
        </w:rPr>
        <w:t>–</w:t>
      </w:r>
      <w:r w:rsidRPr="009B1B79">
        <w:rPr>
          <w:szCs w:val="24"/>
        </w:rPr>
        <w:t xml:space="preserve"> Practitioners should avoid acting in cases where they may be required to give evidence material to the determination of contested issues, e</w:t>
      </w:r>
      <w:r w:rsidRPr="009B1B79">
        <w:rPr>
          <w:i/>
          <w:iCs/>
          <w:szCs w:val="24"/>
        </w:rPr>
        <w:t>g</w:t>
      </w:r>
      <w:r w:rsidRPr="009B1B79">
        <w:rPr>
          <w:szCs w:val="24"/>
        </w:rPr>
        <w:t>, when a solicitor is present when an informal interview occurs between his client and an investigating police officer</w:t>
      </w:r>
    </w:p>
    <w:p w14:paraId="56DD918E" w14:textId="77777777" w:rsidR="00936E11" w:rsidRPr="00D308C6" w:rsidRDefault="00936E11" w:rsidP="00936E11">
      <w:pPr>
        <w:pStyle w:val="NoSpacing"/>
        <w:ind w:left="1440"/>
        <w:rPr>
          <w:i/>
        </w:rPr>
      </w:pPr>
    </w:p>
    <w:p w14:paraId="1358F1EA" w14:textId="77777777" w:rsidR="00AE4F25" w:rsidRPr="00AE4F25" w:rsidRDefault="0095680E" w:rsidP="00392BC9">
      <w:pPr>
        <w:pStyle w:val="NoSpacing"/>
        <w:numPr>
          <w:ilvl w:val="1"/>
          <w:numId w:val="63"/>
        </w:numPr>
        <w:rPr>
          <w:rFonts w:cs="Times New Roman"/>
          <w:b/>
          <w:szCs w:val="24"/>
          <w:u w:val="single"/>
        </w:rPr>
      </w:pPr>
      <w:r w:rsidRPr="00D308C6">
        <w:rPr>
          <w:rFonts w:cs="Times New Roman"/>
          <w:b/>
          <w:i/>
          <w:szCs w:val="24"/>
        </w:rPr>
        <w:t>See Termination of Retainer</w:t>
      </w:r>
      <w:r w:rsidRPr="0095680E">
        <w:rPr>
          <w:rFonts w:cs="Times New Roman"/>
          <w:szCs w:val="24"/>
        </w:rPr>
        <w:t xml:space="preserve"> – </w:t>
      </w:r>
    </w:p>
    <w:p w14:paraId="43481447" w14:textId="77777777" w:rsidR="00AE4F25" w:rsidRDefault="00AE4F25" w:rsidP="00AE4F25">
      <w:pPr>
        <w:pStyle w:val="NoSpacing"/>
        <w:ind w:left="2160"/>
        <w:rPr>
          <w:rFonts w:cs="Times New Roman"/>
          <w:b/>
          <w:szCs w:val="24"/>
          <w:u w:val="single"/>
        </w:rPr>
      </w:pPr>
    </w:p>
    <w:p w14:paraId="60913251" w14:textId="6B1CD415" w:rsidR="002B160D" w:rsidRPr="00C40A55" w:rsidRDefault="002B160D" w:rsidP="00392BC9">
      <w:pPr>
        <w:pStyle w:val="NoSpacing"/>
        <w:numPr>
          <w:ilvl w:val="2"/>
          <w:numId w:val="63"/>
        </w:numPr>
        <w:rPr>
          <w:rFonts w:cs="Times New Roman"/>
          <w:szCs w:val="24"/>
          <w:u w:val="single"/>
        </w:rPr>
      </w:pPr>
      <w:r w:rsidRPr="00AE4F25">
        <w:rPr>
          <w:rFonts w:cs="Times New Roman"/>
          <w:i/>
          <w:szCs w:val="24"/>
        </w:rPr>
        <w:t>Permissible ‘just cause’</w:t>
      </w:r>
      <w:r w:rsidRPr="0095680E">
        <w:rPr>
          <w:rFonts w:cs="Times New Roman"/>
          <w:szCs w:val="24"/>
        </w:rPr>
        <w:t xml:space="preserve"> – </w:t>
      </w:r>
      <w:r w:rsidRPr="0095680E">
        <w:rPr>
          <w:rFonts w:cs="Times New Roman"/>
          <w:i/>
          <w:szCs w:val="24"/>
        </w:rPr>
        <w:t>PCPR 6.1.3</w:t>
      </w:r>
    </w:p>
    <w:p w14:paraId="3F3EB173" w14:textId="77777777" w:rsidR="00AE4F25" w:rsidRPr="00AE4F25" w:rsidRDefault="00AE4F25" w:rsidP="00C40A55">
      <w:pPr>
        <w:pStyle w:val="NoSpacing"/>
        <w:ind w:left="1800"/>
        <w:rPr>
          <w:u w:val="single"/>
        </w:rPr>
      </w:pPr>
    </w:p>
    <w:p w14:paraId="54A2AF63" w14:textId="552DFD92" w:rsidR="00B83FCE" w:rsidRPr="00B83FCE" w:rsidRDefault="006972DF" w:rsidP="00392BC9">
      <w:pPr>
        <w:pStyle w:val="NoSpacing"/>
        <w:numPr>
          <w:ilvl w:val="2"/>
          <w:numId w:val="63"/>
        </w:numPr>
        <w:rPr>
          <w:u w:val="single"/>
        </w:rPr>
      </w:pPr>
      <w:r>
        <w:rPr>
          <w:i/>
        </w:rPr>
        <w:t xml:space="preserve">Reject brief if the Barrister may be a witness to the proceeding – </w:t>
      </w:r>
      <w:r w:rsidRPr="00DB2861">
        <w:t>Counsel has reasonable grounds to believe that he or she may as a real possibility, be called as a witness [Vic r 92(c)(d)];</w:t>
      </w:r>
    </w:p>
    <w:p w14:paraId="002F432F" w14:textId="77777777" w:rsidR="00B83FCE" w:rsidRDefault="00B83FCE" w:rsidP="009B1B79">
      <w:pPr>
        <w:pStyle w:val="NoSpacing"/>
        <w:rPr>
          <w:rFonts w:cs="Times New Roman"/>
          <w:szCs w:val="24"/>
        </w:rPr>
      </w:pPr>
    </w:p>
    <w:p w14:paraId="3B248D85" w14:textId="3C47BF96" w:rsidR="00F8426D" w:rsidRPr="009B1B79" w:rsidRDefault="00F8426D" w:rsidP="00392BC9">
      <w:pPr>
        <w:pStyle w:val="NoSpacing"/>
        <w:numPr>
          <w:ilvl w:val="0"/>
          <w:numId w:val="63"/>
        </w:numPr>
        <w:rPr>
          <w:szCs w:val="24"/>
        </w:rPr>
      </w:pPr>
      <w:r w:rsidRPr="008F3D6F">
        <w:rPr>
          <w:b/>
          <w:i/>
          <w:szCs w:val="24"/>
        </w:rPr>
        <w:t>Intimate personal relationships with clients</w:t>
      </w:r>
      <w:r>
        <w:rPr>
          <w:szCs w:val="24"/>
        </w:rPr>
        <w:t xml:space="preserve"> – F</w:t>
      </w:r>
      <w:r w:rsidRPr="009B1B79">
        <w:rPr>
          <w:szCs w:val="24"/>
        </w:rPr>
        <w:t>iduciary law is directed at preserving economic interest, and so does not generate liability for non</w:t>
      </w:r>
      <w:r w:rsidR="004002E7">
        <w:rPr>
          <w:szCs w:val="24"/>
        </w:rPr>
        <w:t>–</w:t>
      </w:r>
      <w:r w:rsidRPr="009B1B79">
        <w:rPr>
          <w:szCs w:val="24"/>
        </w:rPr>
        <w:t xml:space="preserve">financial loss arising out of lawyers taking advantage of clients’ vulnerability: </w:t>
      </w:r>
      <w:r w:rsidRPr="009B1B79">
        <w:rPr>
          <w:b/>
          <w:i/>
          <w:szCs w:val="24"/>
        </w:rPr>
        <w:t>Breen v Williams</w:t>
      </w:r>
    </w:p>
    <w:p w14:paraId="0456062E" w14:textId="77777777" w:rsidR="00F8426D" w:rsidRDefault="00F8426D" w:rsidP="00392BC9">
      <w:pPr>
        <w:pStyle w:val="NoSpacing"/>
        <w:numPr>
          <w:ilvl w:val="1"/>
          <w:numId w:val="63"/>
        </w:numPr>
        <w:rPr>
          <w:szCs w:val="24"/>
        </w:rPr>
      </w:pPr>
      <w:r>
        <w:rPr>
          <w:i/>
          <w:szCs w:val="24"/>
        </w:rPr>
        <w:t xml:space="preserve">PCPR 9 – Avoiding Conflicts &amp; PCPR 13 – Avoidance of Bias </w:t>
      </w:r>
    </w:p>
    <w:p w14:paraId="7337C489" w14:textId="77777777" w:rsidR="00F8426D" w:rsidRPr="009B1B79" w:rsidRDefault="00F8426D" w:rsidP="00392BC9">
      <w:pPr>
        <w:pStyle w:val="NoSpacing"/>
        <w:numPr>
          <w:ilvl w:val="2"/>
          <w:numId w:val="63"/>
        </w:numPr>
        <w:rPr>
          <w:szCs w:val="24"/>
        </w:rPr>
      </w:pPr>
      <w:r w:rsidRPr="009B1B79">
        <w:rPr>
          <w:szCs w:val="24"/>
        </w:rPr>
        <w:t>There are no rules barring intimate personal relations</w:t>
      </w:r>
      <w:r>
        <w:rPr>
          <w:szCs w:val="24"/>
        </w:rPr>
        <w:t xml:space="preserve"> –</w:t>
      </w:r>
      <w:r w:rsidRPr="009B1B79">
        <w:rPr>
          <w:szCs w:val="24"/>
        </w:rPr>
        <w:t xml:space="preserve"> can involve a conflict of interest because objectivity and independent professional judgment i</w:t>
      </w:r>
      <w:r>
        <w:rPr>
          <w:szCs w:val="24"/>
        </w:rPr>
        <w:t xml:space="preserve">s affected by personal interest – </w:t>
      </w:r>
      <w:r>
        <w:rPr>
          <w:i/>
          <w:szCs w:val="24"/>
        </w:rPr>
        <w:t>R v Szabo</w:t>
      </w:r>
    </w:p>
    <w:p w14:paraId="3D7BB3F4" w14:textId="77777777" w:rsidR="00F8426D" w:rsidRDefault="00F8426D" w:rsidP="00F8426D">
      <w:pPr>
        <w:pStyle w:val="NoSpacing"/>
        <w:rPr>
          <w:szCs w:val="24"/>
        </w:rPr>
      </w:pPr>
    </w:p>
    <w:p w14:paraId="4DB37EF7" w14:textId="77777777" w:rsidR="00F8426D" w:rsidRDefault="00F8426D" w:rsidP="00F8426D">
      <w:pPr>
        <w:pStyle w:val="NoSpacing"/>
        <w:rPr>
          <w:szCs w:val="24"/>
        </w:rPr>
      </w:pPr>
      <w:r w:rsidRPr="009B1B79">
        <w:rPr>
          <w:i/>
          <w:iCs/>
          <w:szCs w:val="24"/>
        </w:rPr>
        <w:t>R v Szabo</w:t>
      </w:r>
      <w:r>
        <w:rPr>
          <w:szCs w:val="24"/>
        </w:rPr>
        <w:t xml:space="preserve"> [2000] QCA 194</w:t>
      </w:r>
    </w:p>
    <w:p w14:paraId="7A1AB613" w14:textId="77777777" w:rsidR="00F8426D" w:rsidRPr="009B1B79" w:rsidRDefault="00F8426D" w:rsidP="00F8426D">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rPr>
          <w:szCs w:val="24"/>
        </w:rPr>
      </w:pPr>
      <w:r>
        <w:rPr>
          <w:szCs w:val="24"/>
        </w:rPr>
        <w:t>C</w:t>
      </w:r>
      <w:r w:rsidRPr="009B1B79">
        <w:rPr>
          <w:szCs w:val="24"/>
        </w:rPr>
        <w:t xml:space="preserve">riminal case a defense counsel was in an </w:t>
      </w:r>
      <w:r w:rsidRPr="009B1B79">
        <w:rPr>
          <w:i/>
          <w:iCs/>
          <w:szCs w:val="24"/>
        </w:rPr>
        <w:t>interrupted</w:t>
      </w:r>
      <w:r w:rsidRPr="009B1B79">
        <w:rPr>
          <w:szCs w:val="24"/>
        </w:rPr>
        <w:t xml:space="preserve"> phase of a relationship with a crown prosecutor in the same case. </w:t>
      </w:r>
      <w:r>
        <w:rPr>
          <w:b/>
          <w:szCs w:val="24"/>
        </w:rPr>
        <w:t xml:space="preserve">Held: </w:t>
      </w:r>
      <w:r w:rsidRPr="009B1B79">
        <w:rPr>
          <w:szCs w:val="24"/>
        </w:rPr>
        <w:t>The defendant succeeded in an appeal against conviction because he could show that he may not have received independent legal advice – permitting a reasonable suspicion of a miscarriage of justice.</w:t>
      </w:r>
    </w:p>
    <w:p w14:paraId="6DC7E9C4" w14:textId="77777777" w:rsidR="00F8426D" w:rsidRDefault="00F8426D" w:rsidP="00F8426D">
      <w:pPr>
        <w:pStyle w:val="NoSpacing"/>
        <w:ind w:left="720"/>
        <w:rPr>
          <w:szCs w:val="24"/>
        </w:rPr>
      </w:pPr>
    </w:p>
    <w:p w14:paraId="1E8F926A" w14:textId="77777777" w:rsidR="00C376F7" w:rsidRDefault="00C376F7" w:rsidP="009B1B79">
      <w:pPr>
        <w:pStyle w:val="NoSpacing"/>
        <w:rPr>
          <w:rFonts w:cs="Times New Roman"/>
          <w:szCs w:val="24"/>
        </w:rPr>
      </w:pPr>
    </w:p>
    <w:p w14:paraId="04F0B651" w14:textId="77777777" w:rsidR="00C376F7" w:rsidRDefault="00C376F7" w:rsidP="009B1B79">
      <w:pPr>
        <w:pStyle w:val="NoSpacing"/>
        <w:rPr>
          <w:rFonts w:cs="Times New Roman"/>
          <w:szCs w:val="24"/>
        </w:rPr>
      </w:pPr>
    </w:p>
    <w:p w14:paraId="218EF1AF" w14:textId="77777777" w:rsidR="00C376F7" w:rsidRDefault="00C376F7" w:rsidP="009B1B79">
      <w:pPr>
        <w:pStyle w:val="NoSpacing"/>
        <w:rPr>
          <w:rFonts w:cs="Times New Roman"/>
          <w:szCs w:val="24"/>
        </w:rPr>
      </w:pPr>
    </w:p>
    <w:p w14:paraId="03DA7928" w14:textId="77777777" w:rsidR="00C376F7" w:rsidRDefault="00C376F7" w:rsidP="009B1B79">
      <w:pPr>
        <w:pStyle w:val="NoSpacing"/>
        <w:rPr>
          <w:rFonts w:cs="Times New Roman"/>
          <w:szCs w:val="24"/>
        </w:rPr>
      </w:pPr>
    </w:p>
    <w:p w14:paraId="6F6697F2" w14:textId="77777777" w:rsidR="00C376F7" w:rsidRDefault="00C376F7" w:rsidP="009B1B79">
      <w:pPr>
        <w:pStyle w:val="NoSpacing"/>
        <w:rPr>
          <w:rFonts w:cs="Times New Roman"/>
          <w:szCs w:val="24"/>
        </w:rPr>
      </w:pPr>
    </w:p>
    <w:p w14:paraId="4DE00364" w14:textId="77777777" w:rsidR="00C376F7" w:rsidRDefault="00C376F7" w:rsidP="009B1B79">
      <w:pPr>
        <w:pStyle w:val="NoSpacing"/>
        <w:rPr>
          <w:rFonts w:cs="Times New Roman"/>
          <w:szCs w:val="24"/>
        </w:rPr>
      </w:pPr>
    </w:p>
    <w:p w14:paraId="25EF037F" w14:textId="77777777" w:rsidR="00C376F7" w:rsidRDefault="00C376F7" w:rsidP="009B1B79">
      <w:pPr>
        <w:pStyle w:val="NoSpacing"/>
        <w:rPr>
          <w:rFonts w:cs="Times New Roman"/>
          <w:szCs w:val="24"/>
        </w:rPr>
      </w:pPr>
    </w:p>
    <w:p w14:paraId="5D65F5C1" w14:textId="77777777" w:rsidR="00C376F7" w:rsidRDefault="00C376F7" w:rsidP="009B1B79">
      <w:pPr>
        <w:pStyle w:val="NoSpacing"/>
        <w:rPr>
          <w:rFonts w:cs="Times New Roman"/>
          <w:szCs w:val="24"/>
        </w:rPr>
      </w:pPr>
    </w:p>
    <w:p w14:paraId="2B91C60E" w14:textId="77777777" w:rsidR="00C376F7" w:rsidRDefault="00C376F7" w:rsidP="009B1B79">
      <w:pPr>
        <w:pStyle w:val="NoSpacing"/>
        <w:rPr>
          <w:rFonts w:cs="Times New Roman"/>
          <w:szCs w:val="24"/>
        </w:rPr>
      </w:pPr>
    </w:p>
    <w:p w14:paraId="1267D1DE" w14:textId="77777777" w:rsidR="00C376F7" w:rsidRDefault="00C376F7" w:rsidP="009B1B79">
      <w:pPr>
        <w:pStyle w:val="NoSpacing"/>
        <w:rPr>
          <w:rFonts w:cs="Times New Roman"/>
          <w:szCs w:val="24"/>
        </w:rPr>
      </w:pPr>
    </w:p>
    <w:p w14:paraId="33EAEFC4" w14:textId="77777777" w:rsidR="00C376F7" w:rsidRDefault="00C376F7" w:rsidP="009B1B79">
      <w:pPr>
        <w:pStyle w:val="NoSpacing"/>
        <w:rPr>
          <w:rFonts w:cs="Times New Roman"/>
          <w:szCs w:val="24"/>
        </w:rPr>
      </w:pPr>
    </w:p>
    <w:p w14:paraId="56FCFBEE" w14:textId="77777777" w:rsidR="00C376F7" w:rsidRDefault="00C376F7" w:rsidP="009B1B79">
      <w:pPr>
        <w:pStyle w:val="NoSpacing"/>
        <w:rPr>
          <w:rFonts w:cs="Times New Roman"/>
          <w:szCs w:val="24"/>
        </w:rPr>
      </w:pPr>
    </w:p>
    <w:p w14:paraId="4259CF79" w14:textId="77777777" w:rsidR="00C376F7" w:rsidRDefault="00C376F7" w:rsidP="009B1B79">
      <w:pPr>
        <w:pStyle w:val="NoSpacing"/>
        <w:rPr>
          <w:rFonts w:cs="Times New Roman"/>
          <w:szCs w:val="24"/>
        </w:rPr>
      </w:pPr>
    </w:p>
    <w:p w14:paraId="60659C89" w14:textId="77777777" w:rsidR="00B83FCE" w:rsidRDefault="00B83FCE" w:rsidP="009B1B79">
      <w:pPr>
        <w:pStyle w:val="NoSpacing"/>
        <w:rPr>
          <w:rFonts w:cs="Times New Roman"/>
          <w:szCs w:val="24"/>
        </w:rPr>
      </w:pPr>
    </w:p>
    <w:p w14:paraId="087C30FB" w14:textId="2FC7B678" w:rsidR="00402ED6" w:rsidRDefault="00615A58" w:rsidP="00402ED6">
      <w:pPr>
        <w:pStyle w:val="NoSpacing"/>
        <w:rPr>
          <w:rFonts w:cs="Times New Roman"/>
          <w:b/>
          <w:sz w:val="36"/>
          <w:szCs w:val="36"/>
          <w:u w:val="single"/>
        </w:rPr>
      </w:pPr>
      <w:r>
        <w:rPr>
          <w:rFonts w:cs="Times New Roman"/>
          <w:b/>
          <w:sz w:val="36"/>
          <w:szCs w:val="36"/>
          <w:u w:val="single"/>
        </w:rPr>
        <w:lastRenderedPageBreak/>
        <w:t>Concurrent Conflicts</w:t>
      </w:r>
    </w:p>
    <w:p w14:paraId="60603420" w14:textId="77777777" w:rsidR="00637B91" w:rsidRDefault="00637B91" w:rsidP="0079364B">
      <w:pPr>
        <w:pStyle w:val="NoSpacing"/>
        <w:rPr>
          <w:rFonts w:cs="Times New Roman"/>
          <w:szCs w:val="24"/>
        </w:rPr>
      </w:pPr>
    </w:p>
    <w:p w14:paraId="65BCA03E" w14:textId="3315182E" w:rsidR="00637B91" w:rsidRPr="003C2F56" w:rsidRDefault="003C2F56" w:rsidP="0079364B">
      <w:pPr>
        <w:pStyle w:val="NoSpacing"/>
        <w:rPr>
          <w:rFonts w:cs="Times New Roman"/>
          <w:b/>
          <w:i/>
          <w:szCs w:val="24"/>
          <w:u w:val="single"/>
        </w:rPr>
      </w:pPr>
      <w:r w:rsidRPr="003C2F56">
        <w:rPr>
          <w:rFonts w:cs="Times New Roman"/>
          <w:b/>
          <w:i/>
          <w:szCs w:val="24"/>
          <w:u w:val="single"/>
        </w:rPr>
        <w:t>General</w:t>
      </w:r>
    </w:p>
    <w:p w14:paraId="105C4497" w14:textId="77777777" w:rsidR="00637B91" w:rsidRDefault="00637B91" w:rsidP="0079364B">
      <w:pPr>
        <w:pStyle w:val="NoSpacing"/>
        <w:rPr>
          <w:rFonts w:cs="Times New Roman"/>
          <w:szCs w:val="24"/>
        </w:rPr>
      </w:pPr>
    </w:p>
    <w:p w14:paraId="59E8209D" w14:textId="13C28C1B" w:rsidR="0067219E" w:rsidRDefault="00C83504" w:rsidP="00392BC9">
      <w:pPr>
        <w:pStyle w:val="NoSpacing"/>
        <w:numPr>
          <w:ilvl w:val="0"/>
          <w:numId w:val="65"/>
        </w:numPr>
      </w:pPr>
      <w:r w:rsidRPr="00C83504">
        <w:rPr>
          <w:rFonts w:cs="Times New Roman"/>
          <w:b/>
          <w:i/>
          <w:szCs w:val="24"/>
        </w:rPr>
        <w:t>Purpose</w:t>
      </w:r>
      <w:r>
        <w:rPr>
          <w:rFonts w:cs="Times New Roman"/>
          <w:i/>
          <w:szCs w:val="24"/>
        </w:rPr>
        <w:t xml:space="preserve"> –</w:t>
      </w:r>
      <w:r w:rsidR="005B162C">
        <w:rPr>
          <w:rFonts w:cs="Times New Roman"/>
          <w:i/>
          <w:szCs w:val="24"/>
        </w:rPr>
        <w:t xml:space="preserve"> </w:t>
      </w:r>
      <w:r w:rsidR="00664B36" w:rsidRPr="00ED1E21">
        <w:t>The duty of undivided loyalty cannot be fulfilled if it is owed to two or more parties whose interests are in opposition</w:t>
      </w:r>
      <w:r w:rsidR="0067219E">
        <w:t xml:space="preserve">. </w:t>
      </w:r>
      <w:r w:rsidR="007954C7">
        <w:t xml:space="preserve">The presence of conflicting duties between the two parties undermines the ability to adequately provide the </w:t>
      </w:r>
      <w:r w:rsidR="00D976D7">
        <w:t>requisite</w:t>
      </w:r>
      <w:r w:rsidR="007954C7">
        <w:t xml:space="preserve"> degree of loyalty to each.</w:t>
      </w:r>
    </w:p>
    <w:p w14:paraId="5AF919EC" w14:textId="77777777" w:rsidR="00D976D7" w:rsidRDefault="00D976D7" w:rsidP="00D976D7">
      <w:pPr>
        <w:pStyle w:val="NoSpacing"/>
        <w:ind w:left="720"/>
      </w:pPr>
    </w:p>
    <w:p w14:paraId="1A2F11E5" w14:textId="52E76485" w:rsidR="001C35B2" w:rsidRPr="001C35B2" w:rsidRDefault="00960436" w:rsidP="00392BC9">
      <w:pPr>
        <w:pStyle w:val="NoSpacing"/>
        <w:numPr>
          <w:ilvl w:val="1"/>
          <w:numId w:val="65"/>
        </w:numPr>
      </w:pPr>
      <w:r w:rsidRPr="0059257D">
        <w:rPr>
          <w:rFonts w:cs="Times New Roman"/>
          <w:b/>
          <w:i/>
          <w:szCs w:val="24"/>
        </w:rPr>
        <w:t>Concurrent interests</w:t>
      </w:r>
      <w:r>
        <w:rPr>
          <w:rFonts w:cs="Times New Roman"/>
          <w:szCs w:val="24"/>
        </w:rPr>
        <w:t xml:space="preserve"> – </w:t>
      </w:r>
      <w:r w:rsidR="001C35B2">
        <w:rPr>
          <w:rFonts w:cs="Times New Roman"/>
          <w:szCs w:val="24"/>
        </w:rPr>
        <w:t>The representation of multiple clients with conflict interests whereby the fiduciary duties owed t</w:t>
      </w:r>
      <w:r w:rsidR="002512D4">
        <w:rPr>
          <w:rFonts w:cs="Times New Roman"/>
          <w:szCs w:val="24"/>
        </w:rPr>
        <w:t>o each party is put in question and require lawyers to withdraw themselves from one party unless cured by client consent per PCPR 8.4.</w:t>
      </w:r>
    </w:p>
    <w:p w14:paraId="04202ACF" w14:textId="77777777" w:rsidR="00392459" w:rsidRPr="009B7F6B" w:rsidRDefault="00392459" w:rsidP="00392459">
      <w:pPr>
        <w:pStyle w:val="NoSpacing"/>
        <w:ind w:left="2160"/>
      </w:pPr>
    </w:p>
    <w:p w14:paraId="6117090F" w14:textId="77777777" w:rsidR="00392459" w:rsidRDefault="00392459" w:rsidP="00392BC9">
      <w:pPr>
        <w:pStyle w:val="NoSpacing"/>
        <w:numPr>
          <w:ilvl w:val="2"/>
          <w:numId w:val="65"/>
        </w:numPr>
      </w:pPr>
      <w:r w:rsidRPr="00ED1E21">
        <w:t xml:space="preserve">Concurrent conflicts can arise in </w:t>
      </w:r>
      <w:r w:rsidRPr="0055798D">
        <w:rPr>
          <w:b/>
          <w:u w:val="single"/>
        </w:rPr>
        <w:t>contentious</w:t>
      </w:r>
      <w:r w:rsidRPr="00ED1E21">
        <w:t xml:space="preserve"> </w:t>
      </w:r>
      <w:r>
        <w:t xml:space="preserve">[litigation] </w:t>
      </w:r>
      <w:r w:rsidRPr="00ED1E21">
        <w:t xml:space="preserve">and </w:t>
      </w:r>
      <w:r w:rsidRPr="00392459">
        <w:rPr>
          <w:b/>
          <w:u w:val="single"/>
        </w:rPr>
        <w:t>non–contentious work</w:t>
      </w:r>
      <w:r>
        <w:t xml:space="preserve"> [transactional]</w:t>
      </w:r>
      <w:r w:rsidRPr="00ED1E21">
        <w:t xml:space="preserve"> but a stricter rule applies to contentious work.</w:t>
      </w:r>
    </w:p>
    <w:p w14:paraId="00B55911" w14:textId="77777777" w:rsidR="00B57F87" w:rsidRPr="00B57F87" w:rsidRDefault="00B57F87" w:rsidP="00B57F87">
      <w:pPr>
        <w:pStyle w:val="NoSpacing"/>
        <w:ind w:left="2160"/>
      </w:pPr>
    </w:p>
    <w:p w14:paraId="1ACE3544" w14:textId="0F1A4983" w:rsidR="001C35B2" w:rsidRPr="00572E26" w:rsidRDefault="00AB4F47" w:rsidP="00392BC9">
      <w:pPr>
        <w:pStyle w:val="NoSpacing"/>
        <w:numPr>
          <w:ilvl w:val="2"/>
          <w:numId w:val="65"/>
        </w:numPr>
      </w:pPr>
      <w:r>
        <w:rPr>
          <w:rFonts w:cs="Times New Roman"/>
          <w:i/>
          <w:szCs w:val="24"/>
        </w:rPr>
        <w:t xml:space="preserve">‘Require Alertness’ </w:t>
      </w:r>
      <w:r>
        <w:rPr>
          <w:rFonts w:cs="Times New Roman"/>
          <w:szCs w:val="24"/>
        </w:rPr>
        <w:t xml:space="preserve">– </w:t>
      </w:r>
      <w:r w:rsidR="00572E26">
        <w:rPr>
          <w:rFonts w:cs="Times New Roman"/>
          <w:szCs w:val="24"/>
        </w:rPr>
        <w:t xml:space="preserve">Potential of consequences regarding conflicts mean that lawyers must be ‘alerted to the possibility of conflict arising’ </w:t>
      </w:r>
    </w:p>
    <w:p w14:paraId="7E82EAFF" w14:textId="2C8B8D38" w:rsidR="00572E26" w:rsidRPr="00B57F87" w:rsidRDefault="007B5D57" w:rsidP="00392BC9">
      <w:pPr>
        <w:pStyle w:val="NoSpacing"/>
        <w:numPr>
          <w:ilvl w:val="3"/>
          <w:numId w:val="65"/>
        </w:numPr>
      </w:pPr>
      <w:r w:rsidRPr="00B57F87">
        <w:rPr>
          <w:rFonts w:cs="Times New Roman"/>
          <w:i/>
          <w:szCs w:val="24"/>
        </w:rPr>
        <w:t xml:space="preserve">Council of Law </w:t>
      </w:r>
      <w:r w:rsidR="00B57F87" w:rsidRPr="00B57F87">
        <w:rPr>
          <w:rFonts w:cs="Times New Roman"/>
          <w:i/>
          <w:szCs w:val="24"/>
        </w:rPr>
        <w:t>Institute</w:t>
      </w:r>
      <w:r w:rsidRPr="00B57F87">
        <w:rPr>
          <w:rFonts w:cs="Times New Roman"/>
          <w:i/>
          <w:szCs w:val="24"/>
        </w:rPr>
        <w:t xml:space="preserve"> Vic v </w:t>
      </w:r>
      <w:r w:rsidR="00B57F87" w:rsidRPr="00B57F87">
        <w:rPr>
          <w:rFonts w:cs="Times New Roman"/>
          <w:i/>
          <w:szCs w:val="24"/>
        </w:rPr>
        <w:t>Solicitor</w:t>
      </w:r>
    </w:p>
    <w:p w14:paraId="09C6A32A" w14:textId="77777777" w:rsidR="00AC0188" w:rsidRPr="00AC0188" w:rsidRDefault="00AC0188" w:rsidP="00AC0188">
      <w:pPr>
        <w:pStyle w:val="NoSpacing"/>
        <w:ind w:left="2160"/>
      </w:pPr>
    </w:p>
    <w:p w14:paraId="5E6C5133" w14:textId="6948DDE7" w:rsidR="00AC0188" w:rsidRPr="00960436" w:rsidRDefault="005D078B" w:rsidP="00392BC9">
      <w:pPr>
        <w:pStyle w:val="NoSpacing"/>
        <w:numPr>
          <w:ilvl w:val="1"/>
          <w:numId w:val="65"/>
        </w:numPr>
      </w:pPr>
      <w:r w:rsidRPr="00B11C71">
        <w:rPr>
          <w:rFonts w:cs="Times New Roman"/>
          <w:b/>
          <w:i/>
          <w:szCs w:val="24"/>
        </w:rPr>
        <w:t>No conflicts with separate clients and separate interests</w:t>
      </w:r>
      <w:r>
        <w:rPr>
          <w:rFonts w:cs="Times New Roman"/>
          <w:i/>
          <w:szCs w:val="24"/>
        </w:rPr>
        <w:t xml:space="preserve"> – </w:t>
      </w:r>
      <w:r w:rsidR="00AC0188">
        <w:rPr>
          <w:rFonts w:cs="Times New Roman"/>
          <w:szCs w:val="24"/>
        </w:rPr>
        <w:t>No such problem arises where there is an identity of interests or separate clients with unrelated interests, and for this reason there is no outright legal or professional prohibition on concurrent representation</w:t>
      </w:r>
    </w:p>
    <w:p w14:paraId="5D2128B4" w14:textId="77777777" w:rsidR="00960436" w:rsidRPr="00E35F68" w:rsidRDefault="00960436" w:rsidP="00960436">
      <w:pPr>
        <w:pStyle w:val="NoSpacing"/>
        <w:ind w:left="1080"/>
      </w:pPr>
    </w:p>
    <w:p w14:paraId="5A5C5A6C" w14:textId="44D7CFC6" w:rsidR="00664B36" w:rsidRPr="00ED1E21" w:rsidRDefault="002B6F05" w:rsidP="00392BC9">
      <w:pPr>
        <w:pStyle w:val="NoSpacing"/>
        <w:numPr>
          <w:ilvl w:val="0"/>
          <w:numId w:val="65"/>
        </w:numPr>
      </w:pPr>
      <w:r w:rsidRPr="00F00B73">
        <w:rPr>
          <w:b/>
          <w:i/>
        </w:rPr>
        <w:t>Must Avoid Conflict</w:t>
      </w:r>
      <w:r>
        <w:rPr>
          <w:i/>
        </w:rPr>
        <w:t xml:space="preserve"> – </w:t>
      </w:r>
      <w:r w:rsidR="00257068" w:rsidRPr="00257068">
        <w:t>A l</w:t>
      </w:r>
      <w:r w:rsidR="00664B36" w:rsidRPr="00ED1E21">
        <w:t xml:space="preserve">awyer must avoid conflict of interest </w:t>
      </w:r>
      <w:r w:rsidR="00677EF4">
        <w:t xml:space="preserve">between </w:t>
      </w:r>
      <w:r w:rsidR="00664B36" w:rsidRPr="00ED1E21">
        <w:t>two or more clients</w:t>
      </w:r>
      <w:r w:rsidR="0048135F">
        <w:t xml:space="preserve"> </w:t>
      </w:r>
      <w:r w:rsidR="004002E7">
        <w:t>–</w:t>
      </w:r>
      <w:r w:rsidR="0048135F">
        <w:t xml:space="preserve"> PCPR</w:t>
      </w:r>
      <w:r w:rsidR="00664B36" w:rsidRPr="00ED1E21">
        <w:t xml:space="preserve"> </w:t>
      </w:r>
      <w:r w:rsidR="008E740E">
        <w:rPr>
          <w:b/>
        </w:rPr>
        <w:t>8.2</w:t>
      </w:r>
    </w:p>
    <w:p w14:paraId="7F6D8CDC" w14:textId="77777777" w:rsidR="005456CF" w:rsidRDefault="005456CF" w:rsidP="005456CF">
      <w:pPr>
        <w:pStyle w:val="NoSpacing"/>
        <w:ind w:left="1440"/>
      </w:pPr>
    </w:p>
    <w:p w14:paraId="2405B681" w14:textId="77777777" w:rsidR="00664B36" w:rsidRPr="00ED1E21" w:rsidRDefault="00664B36" w:rsidP="00392BC9">
      <w:pPr>
        <w:pStyle w:val="NoSpacing"/>
        <w:numPr>
          <w:ilvl w:val="1"/>
          <w:numId w:val="65"/>
        </w:numPr>
      </w:pPr>
      <w:r w:rsidRPr="00ED1E21">
        <w:t>Applies to:</w:t>
      </w:r>
    </w:p>
    <w:p w14:paraId="0A374177" w14:textId="2F5172B1" w:rsidR="00664B36" w:rsidRPr="0028339C" w:rsidRDefault="00365BC0" w:rsidP="00392BC9">
      <w:pPr>
        <w:pStyle w:val="NoSpacing"/>
        <w:numPr>
          <w:ilvl w:val="2"/>
          <w:numId w:val="65"/>
        </w:numPr>
      </w:pPr>
      <w:r w:rsidRPr="00D35492">
        <w:rPr>
          <w:b/>
          <w:i/>
        </w:rPr>
        <w:t>E</w:t>
      </w:r>
      <w:r w:rsidR="00664B36" w:rsidRPr="00D35492">
        <w:rPr>
          <w:b/>
          <w:i/>
        </w:rPr>
        <w:t>ntire firm</w:t>
      </w:r>
      <w:r w:rsidR="00664B36" w:rsidRPr="00ED1E21">
        <w:t xml:space="preserve"> </w:t>
      </w:r>
      <w:r>
        <w:t xml:space="preserve">– </w:t>
      </w:r>
      <w:r w:rsidR="00664B36" w:rsidRPr="00ED1E21">
        <w:t xml:space="preserve">irrespective of its size: </w:t>
      </w:r>
      <w:r w:rsidR="00664B36" w:rsidRPr="00735009">
        <w:rPr>
          <w:i/>
        </w:rPr>
        <w:t>Mallesons Stephen Jaques</w:t>
      </w:r>
      <w:r w:rsidR="000A2D0C" w:rsidRPr="00735009">
        <w:rPr>
          <w:i/>
        </w:rPr>
        <w:t xml:space="preserve"> v KPMG</w:t>
      </w:r>
      <w:r w:rsidR="00735009">
        <w:rPr>
          <w:i/>
        </w:rPr>
        <w:t>; Village Roadshow Ltd v Blake Dawson Waldron</w:t>
      </w:r>
    </w:p>
    <w:p w14:paraId="5E68CC6D" w14:textId="0D3DDAE7" w:rsidR="0028339C" w:rsidRPr="00112D9E" w:rsidRDefault="0028339C" w:rsidP="00392BC9">
      <w:pPr>
        <w:pStyle w:val="NoSpacing"/>
        <w:numPr>
          <w:ilvl w:val="3"/>
          <w:numId w:val="65"/>
        </w:numPr>
      </w:pPr>
      <w:r w:rsidRPr="00D35492">
        <w:rPr>
          <w:b/>
          <w:i/>
        </w:rPr>
        <w:t>Client retain the firm not an individual lawyer</w:t>
      </w:r>
      <w:r>
        <w:rPr>
          <w:i/>
        </w:rPr>
        <w:t xml:space="preserve"> –</w:t>
      </w:r>
      <w:r>
        <w:t xml:space="preserve"> </w:t>
      </w:r>
      <w:r w:rsidR="0069797D" w:rsidRPr="0069797D">
        <w:rPr>
          <w:i/>
        </w:rPr>
        <w:t>Kelly v Jowett</w:t>
      </w:r>
    </w:p>
    <w:p w14:paraId="45248FBD" w14:textId="18D0C23A" w:rsidR="00112D9E" w:rsidRPr="00D35492" w:rsidRDefault="00112D9E" w:rsidP="00392BC9">
      <w:pPr>
        <w:pStyle w:val="NoSpacing"/>
        <w:numPr>
          <w:ilvl w:val="3"/>
          <w:numId w:val="65"/>
        </w:numPr>
      </w:pPr>
      <w:r w:rsidRPr="00D35492">
        <w:rPr>
          <w:b/>
          <w:i/>
        </w:rPr>
        <w:t>Entire Firm owes the Fiduciary Duty</w:t>
      </w:r>
      <w:r>
        <w:rPr>
          <w:i/>
        </w:rPr>
        <w:t xml:space="preserve"> – </w:t>
      </w:r>
      <w:r w:rsidR="000C7CE7" w:rsidRPr="000C7CE7">
        <w:rPr>
          <w:i/>
        </w:rPr>
        <w:t>Mallesons Stephen Jaques v KPMG</w:t>
      </w:r>
      <w:r w:rsidR="000C7CE7">
        <w:rPr>
          <w:i/>
        </w:rPr>
        <w:t xml:space="preserve">; </w:t>
      </w:r>
      <w:r w:rsidR="00B25CE2">
        <w:rPr>
          <w:i/>
        </w:rPr>
        <w:t>R v Neil</w:t>
      </w:r>
    </w:p>
    <w:p w14:paraId="0C59ECC1" w14:textId="77777777" w:rsidR="00D35492" w:rsidRPr="00ED1E21" w:rsidRDefault="00D35492" w:rsidP="00392BC9">
      <w:pPr>
        <w:pStyle w:val="NoSpacing"/>
        <w:numPr>
          <w:ilvl w:val="4"/>
          <w:numId w:val="65"/>
        </w:numPr>
      </w:pPr>
      <w:r w:rsidRPr="002F1DFE">
        <w:rPr>
          <w:i/>
        </w:rPr>
        <w:t>Partners of the Firm</w:t>
      </w:r>
      <w:r w:rsidRPr="00ED1E21">
        <w:t xml:space="preserve"> – knowledge of one partner is the knowledge of the other </w:t>
      </w:r>
      <w:r>
        <w:t>because</w:t>
      </w:r>
      <w:r w:rsidRPr="00ED1E21">
        <w:t xml:space="preserve"> partners are obliged to seek advice from one another; associate and employees.</w:t>
      </w:r>
    </w:p>
    <w:p w14:paraId="089CC802" w14:textId="77777777" w:rsidR="009B7F6B" w:rsidRDefault="009B7F6B" w:rsidP="00F02CEB">
      <w:pPr>
        <w:pStyle w:val="NoSpacing"/>
      </w:pPr>
    </w:p>
    <w:p w14:paraId="3E31CB08" w14:textId="2003264B" w:rsidR="00F02CEB" w:rsidRDefault="00F02CEB" w:rsidP="00F02CEB">
      <w:pPr>
        <w:pStyle w:val="NoSpacing"/>
        <w:rPr>
          <w:i/>
        </w:rPr>
      </w:pPr>
      <w:r>
        <w:rPr>
          <w:i/>
        </w:rPr>
        <w:t xml:space="preserve">Australian Liquor Marketers Pty Ltd v </w:t>
      </w:r>
      <w:r w:rsidR="00A368D3">
        <w:rPr>
          <w:i/>
        </w:rPr>
        <w:t>T</w:t>
      </w:r>
      <w:r>
        <w:rPr>
          <w:i/>
        </w:rPr>
        <w:t>asman Liquor Traders Pty Ltd</w:t>
      </w:r>
    </w:p>
    <w:p w14:paraId="1746CC1F" w14:textId="5A773A9A" w:rsidR="00F02CEB" w:rsidRDefault="00A368D3" w:rsidP="00A368D3">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Firm acted for a client in one proceeding in Qld and against the client in unrelated proceedings in Victoria. The proceedings were ‘entirely and truly unrelated’ and handled by differences offices of the firm. Coupled with </w:t>
      </w:r>
      <w:r w:rsidR="00B34298">
        <w:t>assurances</w:t>
      </w:r>
      <w:r>
        <w:t xml:space="preserve"> that appropriate safeguards were in place.</w:t>
      </w:r>
    </w:p>
    <w:p w14:paraId="6D6A73AD" w14:textId="22ABD2F9" w:rsidR="00A368D3" w:rsidRPr="00F02CEB" w:rsidRDefault="00A368D3" w:rsidP="00A368D3">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rsidRPr="00D35492">
        <w:rPr>
          <w:b/>
        </w:rPr>
        <w:t>Held</w:t>
      </w:r>
      <w:r>
        <w:t xml:space="preserve">: Court was </w:t>
      </w:r>
      <w:r w:rsidRPr="003E01D8">
        <w:rPr>
          <w:b/>
        </w:rPr>
        <w:t>satisfied and reject</w:t>
      </w:r>
      <w:r w:rsidR="00B34298" w:rsidRPr="003E01D8">
        <w:rPr>
          <w:b/>
        </w:rPr>
        <w:t>ed</w:t>
      </w:r>
      <w:r w:rsidRPr="003E01D8">
        <w:rPr>
          <w:b/>
        </w:rPr>
        <w:t xml:space="preserve"> an application to restrain the firm</w:t>
      </w:r>
      <w:r>
        <w:t xml:space="preserve"> from continuing to act conditional on the basis the Melbourne Office did not seek information from the Brisbane office about the proceeding.</w:t>
      </w:r>
    </w:p>
    <w:p w14:paraId="7E227A22" w14:textId="77777777" w:rsidR="006D633E" w:rsidRPr="005456CF" w:rsidRDefault="006D633E" w:rsidP="005456CF">
      <w:pPr>
        <w:pStyle w:val="NoSpacing"/>
      </w:pPr>
    </w:p>
    <w:p w14:paraId="36F82706" w14:textId="01AEC077" w:rsidR="00E15CDC" w:rsidRPr="00E15CDC" w:rsidRDefault="00D81B2B" w:rsidP="00392BC9">
      <w:pPr>
        <w:pStyle w:val="NoSpacing"/>
        <w:numPr>
          <w:ilvl w:val="0"/>
          <w:numId w:val="65"/>
        </w:numPr>
      </w:pPr>
      <w:r>
        <w:rPr>
          <w:b/>
          <w:i/>
        </w:rPr>
        <w:lastRenderedPageBreak/>
        <w:t xml:space="preserve">Risk is Borne by Solicitor </w:t>
      </w:r>
      <w:r w:rsidR="00DF0AC6">
        <w:rPr>
          <w:b/>
          <w:i/>
        </w:rPr>
        <w:t>–</w:t>
      </w:r>
      <w:r>
        <w:rPr>
          <w:b/>
          <w:i/>
        </w:rPr>
        <w:t xml:space="preserve"> </w:t>
      </w:r>
      <w:r>
        <w:rPr>
          <w:rFonts w:cs="Times New Roman"/>
          <w:szCs w:val="24"/>
        </w:rPr>
        <w:t>If a solicitor is unwise enough to undertake irreconcilable duties, i</w:t>
      </w:r>
      <w:r w:rsidR="00BB15E0">
        <w:rPr>
          <w:rFonts w:cs="Times New Roman"/>
          <w:szCs w:val="24"/>
        </w:rPr>
        <w:t>t has been judicially observed</w:t>
      </w:r>
    </w:p>
    <w:p w14:paraId="68FDD73C" w14:textId="77777777" w:rsidR="00E15CDC" w:rsidRDefault="00E15CDC" w:rsidP="00E15CDC">
      <w:pPr>
        <w:pStyle w:val="NoSpacing"/>
        <w:ind w:left="1080"/>
        <w:rPr>
          <w:rFonts w:cs="Times New Roman"/>
          <w:szCs w:val="24"/>
        </w:rPr>
      </w:pPr>
    </w:p>
    <w:p w14:paraId="150F1197" w14:textId="7F929F59" w:rsidR="006D633E" w:rsidRPr="00D81B2B" w:rsidRDefault="00D81B2B" w:rsidP="00E15CDC">
      <w:pPr>
        <w:pStyle w:val="NoSpacing"/>
        <w:ind w:left="1080"/>
      </w:pPr>
      <w:r>
        <w:rPr>
          <w:rFonts w:cs="Times New Roman"/>
          <w:szCs w:val="24"/>
        </w:rPr>
        <w:t xml:space="preserve">“it is his own fault, and he cannot use his discomfiture as a reason why his duty to either client should </w:t>
      </w:r>
      <w:r w:rsidR="00E15CDC">
        <w:rPr>
          <w:rFonts w:cs="Times New Roman"/>
          <w:szCs w:val="24"/>
        </w:rPr>
        <w:t>be taken to have been modified.’</w:t>
      </w:r>
    </w:p>
    <w:p w14:paraId="1D4818FA" w14:textId="4AB544B8" w:rsidR="00D81B2B" w:rsidRPr="00D81B2B" w:rsidRDefault="00D81B2B" w:rsidP="00392BC9">
      <w:pPr>
        <w:pStyle w:val="NoSpacing"/>
        <w:numPr>
          <w:ilvl w:val="2"/>
          <w:numId w:val="65"/>
        </w:numPr>
      </w:pPr>
      <w:r w:rsidRPr="00D81B2B">
        <w:rPr>
          <w:rFonts w:cs="Times New Roman"/>
          <w:i/>
          <w:szCs w:val="24"/>
        </w:rPr>
        <w:t>Hilton v Barker Booth</w:t>
      </w:r>
    </w:p>
    <w:p w14:paraId="320E181B" w14:textId="77777777" w:rsidR="00D81B2B" w:rsidRPr="00D81B2B" w:rsidRDefault="00D81B2B" w:rsidP="00D81B2B">
      <w:pPr>
        <w:pStyle w:val="NoSpacing"/>
      </w:pPr>
    </w:p>
    <w:p w14:paraId="09387A6A" w14:textId="5E318259" w:rsidR="00B14B7F" w:rsidRPr="00773BCB" w:rsidRDefault="000D40C6" w:rsidP="00392BC9">
      <w:pPr>
        <w:pStyle w:val="NoSpacing"/>
        <w:numPr>
          <w:ilvl w:val="0"/>
          <w:numId w:val="65"/>
        </w:numPr>
      </w:pPr>
      <w:r>
        <w:rPr>
          <w:b/>
          <w:i/>
        </w:rPr>
        <w:t>**</w:t>
      </w:r>
      <w:r w:rsidR="00F66753">
        <w:rPr>
          <w:b/>
          <w:i/>
        </w:rPr>
        <w:t xml:space="preserve">Duty of </w:t>
      </w:r>
      <w:r w:rsidR="00794D80">
        <w:rPr>
          <w:b/>
          <w:i/>
        </w:rPr>
        <w:t>Consent</w:t>
      </w:r>
      <w:r w:rsidR="00F66753">
        <w:rPr>
          <w:b/>
          <w:i/>
        </w:rPr>
        <w:t xml:space="preserve"> </w:t>
      </w:r>
      <w:r w:rsidR="00B57F87">
        <w:rPr>
          <w:b/>
          <w:i/>
        </w:rPr>
        <w:t xml:space="preserve">&amp; Prevention </w:t>
      </w:r>
      <w:r w:rsidR="00F66753">
        <w:t>– PCPR 8.3</w:t>
      </w:r>
      <w:r w:rsidR="00775B43">
        <w:t xml:space="preserve"> – T</w:t>
      </w:r>
      <w:r w:rsidR="00775B43">
        <w:rPr>
          <w:rFonts w:cs="Times New Roman"/>
          <w:szCs w:val="24"/>
        </w:rPr>
        <w:t>he lawyer must inform the client and ensure that each client is aware that the lawyer is intending to act for the other party and consents to the lawyer so acting in the knowledge that the lawyer</w:t>
      </w:r>
    </w:p>
    <w:p w14:paraId="48268BBC" w14:textId="77777777" w:rsidR="00B57F87" w:rsidRDefault="00B57F87" w:rsidP="00B57F87">
      <w:pPr>
        <w:pStyle w:val="NoSpacing"/>
        <w:ind w:left="1440"/>
      </w:pPr>
    </w:p>
    <w:p w14:paraId="5DFF45CE" w14:textId="63CFF516" w:rsidR="00773BCB" w:rsidRDefault="00DB7CDE" w:rsidP="00392BC9">
      <w:pPr>
        <w:pStyle w:val="NoSpacing"/>
        <w:numPr>
          <w:ilvl w:val="1"/>
          <w:numId w:val="65"/>
        </w:numPr>
      </w:pPr>
      <w:r>
        <w:t>Must ensure that – PCPR 8.3(a)</w:t>
      </w:r>
    </w:p>
    <w:p w14:paraId="72FFE1A7" w14:textId="36A093ED" w:rsidR="00501764" w:rsidRPr="009F0A48" w:rsidRDefault="00390771" w:rsidP="00392BC9">
      <w:pPr>
        <w:pStyle w:val="NoSpacing"/>
        <w:numPr>
          <w:ilvl w:val="2"/>
          <w:numId w:val="65"/>
        </w:numPr>
        <w:rPr>
          <w:u w:val="single"/>
        </w:rPr>
      </w:pPr>
      <w:r>
        <w:rPr>
          <w:i/>
        </w:rPr>
        <w:t>Prevent disclosure to other party –</w:t>
      </w:r>
      <w:r w:rsidR="005423C8">
        <w:rPr>
          <w:i/>
        </w:rPr>
        <w:t xml:space="preserve"> </w:t>
      </w:r>
      <w:r w:rsidR="00501764" w:rsidRPr="009F0A48">
        <w:t>May</w:t>
      </w:r>
      <w:r w:rsidR="00501764">
        <w:t xml:space="preserve"> be thereby prevented from disclosing to each party all information relevant to the matter within the lawyers’ knowledge or giving advise to one party that is contrary to the interests of another; and</w:t>
      </w:r>
    </w:p>
    <w:p w14:paraId="5D80BA0E" w14:textId="4BAE6E08" w:rsidR="00501764" w:rsidRPr="009E3295" w:rsidRDefault="00081E15" w:rsidP="00392BC9">
      <w:pPr>
        <w:pStyle w:val="NoSpacing"/>
        <w:numPr>
          <w:ilvl w:val="2"/>
          <w:numId w:val="65"/>
        </w:numPr>
        <w:rPr>
          <w:u w:val="single"/>
        </w:rPr>
      </w:pPr>
      <w:r>
        <w:rPr>
          <w:i/>
        </w:rPr>
        <w:t xml:space="preserve">Terminate retainer if </w:t>
      </w:r>
      <w:r w:rsidR="004A30D8">
        <w:rPr>
          <w:i/>
        </w:rPr>
        <w:t>Contrary Interests</w:t>
      </w:r>
      <w:r>
        <w:rPr>
          <w:i/>
        </w:rPr>
        <w:t xml:space="preserve"> – </w:t>
      </w:r>
      <w:r w:rsidR="00501764">
        <w:t xml:space="preserve">Will cease to act for all parties if the lawyer would otherwise be obliged to act in a manner contrary to the interests of one or more of them. </w:t>
      </w:r>
    </w:p>
    <w:p w14:paraId="31E976A2" w14:textId="77777777" w:rsidR="009E3295" w:rsidRPr="009E3295" w:rsidRDefault="009E3295" w:rsidP="00066CB9">
      <w:pPr>
        <w:pStyle w:val="NoSpacing"/>
      </w:pPr>
    </w:p>
    <w:p w14:paraId="418F4F7E" w14:textId="6ACA19FC" w:rsidR="009E3295" w:rsidRPr="004A490A" w:rsidRDefault="00566E14" w:rsidP="00392BC9">
      <w:pPr>
        <w:pStyle w:val="NoSpacing"/>
        <w:numPr>
          <w:ilvl w:val="1"/>
          <w:numId w:val="65"/>
        </w:numPr>
        <w:rPr>
          <w:rFonts w:cs="Times New Roman"/>
          <w:szCs w:val="24"/>
        </w:rPr>
      </w:pPr>
      <w:r w:rsidRPr="00566E14">
        <w:rPr>
          <w:i/>
        </w:rPr>
        <w:t>Disclose nature of personal relationships –</w:t>
      </w:r>
      <w:r w:rsidR="004A490A">
        <w:rPr>
          <w:i/>
        </w:rPr>
        <w:t xml:space="preserve"> </w:t>
      </w:r>
      <w:r w:rsidR="004A490A">
        <w:t>If representing lawyers for each party are ‘parents, children, siblings or spouses’ in a contentious matter then the clients must be informed and only after client consultation should the matter proceed.</w:t>
      </w:r>
    </w:p>
    <w:p w14:paraId="34C12832" w14:textId="77777777" w:rsidR="004A490A" w:rsidRPr="004A490A" w:rsidRDefault="004A490A" w:rsidP="004A490A">
      <w:pPr>
        <w:pStyle w:val="NoSpacing"/>
        <w:ind w:left="1440"/>
        <w:rPr>
          <w:rFonts w:cs="Times New Roman"/>
          <w:szCs w:val="24"/>
        </w:rPr>
      </w:pPr>
    </w:p>
    <w:p w14:paraId="32D09CFF" w14:textId="35655453" w:rsidR="00A543AC" w:rsidRDefault="00794D80" w:rsidP="00392BC9">
      <w:pPr>
        <w:pStyle w:val="NoSpacing"/>
        <w:numPr>
          <w:ilvl w:val="0"/>
          <w:numId w:val="65"/>
        </w:numPr>
        <w:rPr>
          <w:rFonts w:cs="Times New Roman"/>
          <w:szCs w:val="24"/>
        </w:rPr>
      </w:pPr>
      <w:r w:rsidRPr="00FE3D70">
        <w:rPr>
          <w:rFonts w:cs="Times New Roman"/>
          <w:b/>
          <w:i/>
          <w:szCs w:val="24"/>
        </w:rPr>
        <w:t xml:space="preserve">Limitations on </w:t>
      </w:r>
      <w:r w:rsidR="00D31D85">
        <w:rPr>
          <w:rFonts w:cs="Times New Roman"/>
          <w:b/>
          <w:i/>
          <w:szCs w:val="24"/>
        </w:rPr>
        <w:t xml:space="preserve">Client </w:t>
      </w:r>
      <w:r w:rsidRPr="00FE3D70">
        <w:rPr>
          <w:rFonts w:cs="Times New Roman"/>
          <w:b/>
          <w:i/>
          <w:szCs w:val="24"/>
        </w:rPr>
        <w:t>Consent</w:t>
      </w:r>
      <w:r>
        <w:rPr>
          <w:rFonts w:cs="Times New Roman"/>
          <w:i/>
          <w:szCs w:val="24"/>
        </w:rPr>
        <w:t xml:space="preserve"> –</w:t>
      </w:r>
      <w:r w:rsidR="00A543AC">
        <w:rPr>
          <w:rFonts w:cs="Times New Roman"/>
          <w:i/>
          <w:szCs w:val="24"/>
        </w:rPr>
        <w:t xml:space="preserve"> </w:t>
      </w:r>
      <w:r w:rsidR="00A543AC">
        <w:rPr>
          <w:rFonts w:cs="Times New Roman"/>
          <w:szCs w:val="24"/>
        </w:rPr>
        <w:t>The nature of fiduciary relationships relevant places restraints on the degree to which a client can consent to the modification or ‘removal’ of such duties.</w:t>
      </w:r>
    </w:p>
    <w:p w14:paraId="0C5C73E1" w14:textId="77777777" w:rsidR="00E737F6" w:rsidRPr="00E737F6" w:rsidRDefault="00E737F6" w:rsidP="00392BC9">
      <w:pPr>
        <w:pStyle w:val="NoSpacing"/>
        <w:numPr>
          <w:ilvl w:val="1"/>
          <w:numId w:val="65"/>
        </w:numPr>
        <w:rPr>
          <w:rFonts w:cs="Times New Roman"/>
          <w:szCs w:val="24"/>
        </w:rPr>
      </w:pPr>
      <w:r w:rsidRPr="00E737F6">
        <w:rPr>
          <w:rFonts w:cs="Times New Roman"/>
          <w:i/>
          <w:szCs w:val="24"/>
        </w:rPr>
        <w:t>Marron v J Catham Daunt Pty Ltd</w:t>
      </w:r>
    </w:p>
    <w:p w14:paraId="14ECC3C4" w14:textId="77777777" w:rsidR="00E737F6" w:rsidRPr="00E737F6" w:rsidRDefault="00E737F6" w:rsidP="00E737F6">
      <w:pPr>
        <w:pStyle w:val="NoSpacing"/>
        <w:ind w:left="1440"/>
        <w:rPr>
          <w:rFonts w:cs="Times New Roman"/>
          <w:szCs w:val="24"/>
        </w:rPr>
      </w:pPr>
    </w:p>
    <w:p w14:paraId="60598AED" w14:textId="77777777" w:rsidR="0035695A" w:rsidRDefault="00B816CE" w:rsidP="00392BC9">
      <w:pPr>
        <w:pStyle w:val="NoSpacing"/>
        <w:numPr>
          <w:ilvl w:val="1"/>
          <w:numId w:val="65"/>
        </w:numPr>
        <w:rPr>
          <w:rFonts w:cs="Times New Roman"/>
          <w:szCs w:val="24"/>
        </w:rPr>
      </w:pPr>
      <w:r>
        <w:rPr>
          <w:rFonts w:cs="Times New Roman"/>
          <w:i/>
          <w:szCs w:val="24"/>
        </w:rPr>
        <w:t xml:space="preserve">Limiting the Scope of the Retainer – </w:t>
      </w:r>
      <w:r w:rsidR="00972E2E">
        <w:rPr>
          <w:rFonts w:cs="Times New Roman"/>
          <w:szCs w:val="24"/>
        </w:rPr>
        <w:t>By limiting the scope of the retainer, the lawyer can seek to entirely avoid the conflict that may otherwise arise.</w:t>
      </w:r>
      <w:r w:rsidR="00794D80">
        <w:rPr>
          <w:rFonts w:cs="Times New Roman"/>
          <w:i/>
          <w:szCs w:val="24"/>
        </w:rPr>
        <w:t xml:space="preserve"> </w:t>
      </w:r>
    </w:p>
    <w:p w14:paraId="2A2A6AD4" w14:textId="77777777" w:rsidR="007E167B" w:rsidRDefault="0035695A" w:rsidP="00392BC9">
      <w:pPr>
        <w:pStyle w:val="NoSpacing"/>
        <w:numPr>
          <w:ilvl w:val="2"/>
          <w:numId w:val="65"/>
        </w:numPr>
        <w:rPr>
          <w:rFonts w:cs="Times New Roman"/>
          <w:szCs w:val="24"/>
        </w:rPr>
      </w:pPr>
      <w:r w:rsidRPr="00D5777C">
        <w:rPr>
          <w:rFonts w:cs="Times New Roman"/>
          <w:i/>
          <w:szCs w:val="24"/>
        </w:rPr>
        <w:t>Client must be aware</w:t>
      </w:r>
      <w:r w:rsidR="00D5777C">
        <w:rPr>
          <w:rFonts w:cs="Times New Roman"/>
          <w:szCs w:val="24"/>
        </w:rPr>
        <w:t xml:space="preserve"> – </w:t>
      </w:r>
      <w:r w:rsidRPr="00D16DAA">
        <w:rPr>
          <w:rFonts w:cs="Times New Roman"/>
          <w:szCs w:val="24"/>
        </w:rPr>
        <w:t>of the limitations on the retainer scope, and is relevantly position to obtain independent legal or financial advice on the matters outside the scope.</w:t>
      </w:r>
      <w:r w:rsidRPr="00D16DAA">
        <w:rPr>
          <w:rFonts w:cs="Times New Roman"/>
          <w:szCs w:val="24"/>
        </w:rPr>
        <w:tab/>
      </w:r>
    </w:p>
    <w:p w14:paraId="6443DF12" w14:textId="77777777" w:rsidR="00885A70" w:rsidRPr="00885A70" w:rsidRDefault="00885A70" w:rsidP="00885A70">
      <w:pPr>
        <w:pStyle w:val="NoSpacing"/>
      </w:pPr>
    </w:p>
    <w:p w14:paraId="7BED9396" w14:textId="4D023456" w:rsidR="00885A70" w:rsidRDefault="00F84B14" w:rsidP="00392BC9">
      <w:pPr>
        <w:pStyle w:val="NoSpacing"/>
        <w:numPr>
          <w:ilvl w:val="1"/>
          <w:numId w:val="65"/>
        </w:numPr>
        <w:rPr>
          <w:rFonts w:cs="Times New Roman"/>
          <w:szCs w:val="24"/>
        </w:rPr>
      </w:pPr>
      <w:r>
        <w:rPr>
          <w:rFonts w:cs="Times New Roman"/>
          <w:i/>
          <w:szCs w:val="24"/>
        </w:rPr>
        <w:t xml:space="preserve">Consent to existing or future conflict </w:t>
      </w:r>
      <w:r>
        <w:rPr>
          <w:rFonts w:cs="Times New Roman"/>
          <w:szCs w:val="24"/>
        </w:rPr>
        <w:t xml:space="preserve">– </w:t>
      </w:r>
      <w:r w:rsidR="00A51679">
        <w:rPr>
          <w:rFonts w:cs="Times New Roman"/>
          <w:szCs w:val="24"/>
        </w:rPr>
        <w:t>The client can consent to the concurrent conflict whether from the outset or when the conflict arises at a later point.</w:t>
      </w:r>
    </w:p>
    <w:p w14:paraId="44608A9F" w14:textId="798F1248" w:rsidR="00A51679" w:rsidRDefault="0022562D" w:rsidP="00392BC9">
      <w:pPr>
        <w:pStyle w:val="NoSpacing"/>
        <w:numPr>
          <w:ilvl w:val="2"/>
          <w:numId w:val="65"/>
        </w:numPr>
        <w:rPr>
          <w:rFonts w:cs="Times New Roman"/>
          <w:szCs w:val="24"/>
        </w:rPr>
      </w:pPr>
      <w:r>
        <w:rPr>
          <w:rFonts w:cs="Times New Roman"/>
          <w:i/>
          <w:szCs w:val="24"/>
        </w:rPr>
        <w:t xml:space="preserve">Lawyer bears onus </w:t>
      </w:r>
      <w:r>
        <w:rPr>
          <w:rFonts w:cs="Times New Roman"/>
          <w:szCs w:val="24"/>
        </w:rPr>
        <w:t xml:space="preserve">– The lawyer always bears the onus </w:t>
      </w:r>
      <w:r w:rsidR="00952606">
        <w:rPr>
          <w:rFonts w:cs="Times New Roman"/>
          <w:szCs w:val="24"/>
        </w:rPr>
        <w:t>of proving that each client has consented to the multiple representation with a full understanding of the existence and potential ramifications of the conflict of interest.</w:t>
      </w:r>
    </w:p>
    <w:p w14:paraId="6DA93772" w14:textId="591E74C4" w:rsidR="00952606" w:rsidRPr="00430EB3" w:rsidRDefault="00952606" w:rsidP="00392BC9">
      <w:pPr>
        <w:pStyle w:val="NoSpacing"/>
        <w:numPr>
          <w:ilvl w:val="3"/>
          <w:numId w:val="65"/>
        </w:numPr>
        <w:rPr>
          <w:rFonts w:cs="Times New Roman"/>
          <w:szCs w:val="24"/>
        </w:rPr>
      </w:pPr>
      <w:r>
        <w:rPr>
          <w:rFonts w:cs="Times New Roman"/>
          <w:i/>
          <w:szCs w:val="24"/>
        </w:rPr>
        <w:t>Marron v J Chatham Duant Pty Ltd</w:t>
      </w:r>
    </w:p>
    <w:p w14:paraId="094D4C67" w14:textId="77777777" w:rsidR="00430EB3" w:rsidRPr="00430EB3" w:rsidRDefault="00430EB3" w:rsidP="00430EB3">
      <w:pPr>
        <w:pStyle w:val="NoSpacing"/>
        <w:ind w:left="2160"/>
        <w:rPr>
          <w:rFonts w:cs="Times New Roman"/>
          <w:szCs w:val="24"/>
        </w:rPr>
      </w:pPr>
    </w:p>
    <w:p w14:paraId="1C51DBF5" w14:textId="72718D79" w:rsidR="00430EB3" w:rsidRDefault="00430EB3" w:rsidP="00392BC9">
      <w:pPr>
        <w:pStyle w:val="NoSpacing"/>
        <w:numPr>
          <w:ilvl w:val="2"/>
          <w:numId w:val="65"/>
        </w:numPr>
        <w:rPr>
          <w:rFonts w:cs="Times New Roman"/>
          <w:szCs w:val="24"/>
        </w:rPr>
      </w:pPr>
      <w:r>
        <w:rPr>
          <w:rFonts w:cs="Times New Roman"/>
          <w:i/>
          <w:szCs w:val="24"/>
        </w:rPr>
        <w:t xml:space="preserve">Lawyer should encourage independent advice </w:t>
      </w:r>
      <w:r>
        <w:rPr>
          <w:rFonts w:cs="Times New Roman"/>
          <w:szCs w:val="24"/>
        </w:rPr>
        <w:t>– If the lawyer requests consent then they should also encourage the client to seek independent advice on the matter.</w:t>
      </w:r>
    </w:p>
    <w:p w14:paraId="00726B82" w14:textId="01BE87B9" w:rsidR="00952606" w:rsidRPr="00AF2FFD" w:rsidRDefault="00430EB3" w:rsidP="00392BC9">
      <w:pPr>
        <w:pStyle w:val="NoSpacing"/>
        <w:numPr>
          <w:ilvl w:val="3"/>
          <w:numId w:val="65"/>
        </w:numPr>
        <w:rPr>
          <w:rFonts w:cs="Times New Roman"/>
          <w:szCs w:val="24"/>
        </w:rPr>
      </w:pPr>
      <w:r w:rsidRPr="00430EB3">
        <w:rPr>
          <w:rFonts w:cs="Times New Roman"/>
          <w:i/>
          <w:szCs w:val="24"/>
        </w:rPr>
        <w:t>Clark Boyce v Mouat</w:t>
      </w:r>
    </w:p>
    <w:p w14:paraId="43802435" w14:textId="77777777" w:rsidR="00AF2FFD" w:rsidRPr="00E1231C" w:rsidRDefault="00AF2FFD" w:rsidP="00AF2FFD">
      <w:pPr>
        <w:pStyle w:val="NoSpacing"/>
        <w:ind w:left="2880"/>
        <w:rPr>
          <w:rFonts w:cs="Times New Roman"/>
          <w:szCs w:val="24"/>
        </w:rPr>
      </w:pPr>
    </w:p>
    <w:p w14:paraId="7578BF0A" w14:textId="5FECB120" w:rsidR="00430EB3" w:rsidRDefault="00AF2FFD" w:rsidP="00392BC9">
      <w:pPr>
        <w:pStyle w:val="NoSpacing"/>
        <w:numPr>
          <w:ilvl w:val="1"/>
          <w:numId w:val="65"/>
        </w:numPr>
        <w:rPr>
          <w:rFonts w:cs="Times New Roman"/>
          <w:szCs w:val="24"/>
        </w:rPr>
      </w:pPr>
      <w:r>
        <w:rPr>
          <w:rFonts w:cs="Times New Roman"/>
          <w:i/>
          <w:szCs w:val="24"/>
        </w:rPr>
        <w:t xml:space="preserve">Independent professional judgement </w:t>
      </w:r>
      <w:r>
        <w:rPr>
          <w:rFonts w:cs="Times New Roman"/>
          <w:szCs w:val="24"/>
        </w:rPr>
        <w:t xml:space="preserve">– A lawyer should not be entirely driven by their clients demands and must assess – on a true and correct </w:t>
      </w:r>
      <w:r w:rsidR="00943CE0">
        <w:rPr>
          <w:rFonts w:cs="Times New Roman"/>
          <w:szCs w:val="24"/>
        </w:rPr>
        <w:t>basis</w:t>
      </w:r>
      <w:r>
        <w:rPr>
          <w:rFonts w:cs="Times New Roman"/>
          <w:szCs w:val="24"/>
        </w:rPr>
        <w:t xml:space="preserve"> – </w:t>
      </w:r>
      <w:r>
        <w:rPr>
          <w:rFonts w:cs="Times New Roman"/>
          <w:szCs w:val="24"/>
        </w:rPr>
        <w:lastRenderedPageBreak/>
        <w:t xml:space="preserve">whether it is in the </w:t>
      </w:r>
      <w:r w:rsidR="00407453">
        <w:rPr>
          <w:rFonts w:cs="Times New Roman"/>
          <w:szCs w:val="24"/>
        </w:rPr>
        <w:t>clients’</w:t>
      </w:r>
      <w:r>
        <w:rPr>
          <w:rFonts w:cs="Times New Roman"/>
          <w:szCs w:val="24"/>
        </w:rPr>
        <w:t xml:space="preserve"> interests to proceed with concurrent representation with the risk – despite how minimal – of a conflict.</w:t>
      </w:r>
    </w:p>
    <w:p w14:paraId="78B08BCB" w14:textId="27EFEB40" w:rsidR="00C94B21" w:rsidRPr="00C94B21" w:rsidRDefault="00C94B21" w:rsidP="00392BC9">
      <w:pPr>
        <w:pStyle w:val="NoSpacing"/>
        <w:numPr>
          <w:ilvl w:val="2"/>
          <w:numId w:val="65"/>
        </w:numPr>
        <w:rPr>
          <w:rFonts w:cs="Times New Roman"/>
          <w:szCs w:val="24"/>
        </w:rPr>
      </w:pPr>
      <w:r w:rsidRPr="00C94B21">
        <w:rPr>
          <w:rFonts w:cs="Times New Roman"/>
          <w:szCs w:val="24"/>
        </w:rPr>
        <w:t>Factors include:</w:t>
      </w:r>
    </w:p>
    <w:p w14:paraId="3A20BD82" w14:textId="035A7775" w:rsidR="00C94B21" w:rsidRDefault="00C94B21" w:rsidP="00392BC9">
      <w:pPr>
        <w:pStyle w:val="NoSpacing"/>
        <w:numPr>
          <w:ilvl w:val="3"/>
          <w:numId w:val="65"/>
        </w:numPr>
        <w:rPr>
          <w:rFonts w:cs="Times New Roman"/>
          <w:szCs w:val="24"/>
        </w:rPr>
      </w:pPr>
      <w:r w:rsidRPr="00FA28F9">
        <w:rPr>
          <w:rFonts w:cs="Times New Roman"/>
          <w:i/>
          <w:szCs w:val="24"/>
        </w:rPr>
        <w:t>Client’s sophistication</w:t>
      </w:r>
      <w:r>
        <w:rPr>
          <w:rFonts w:cs="Times New Roman"/>
          <w:szCs w:val="24"/>
        </w:rPr>
        <w:t xml:space="preserve"> – More sophisticated means the client is more able to make decisions by themselves.</w:t>
      </w:r>
    </w:p>
    <w:p w14:paraId="07B03058" w14:textId="022079DF" w:rsidR="00AF2FFD" w:rsidRDefault="00C94B21" w:rsidP="00392BC9">
      <w:pPr>
        <w:pStyle w:val="NoSpacing"/>
        <w:numPr>
          <w:ilvl w:val="3"/>
          <w:numId w:val="65"/>
        </w:numPr>
        <w:rPr>
          <w:rFonts w:cs="Times New Roman"/>
          <w:szCs w:val="24"/>
        </w:rPr>
      </w:pPr>
      <w:r w:rsidRPr="00FA28F9">
        <w:rPr>
          <w:rFonts w:cs="Times New Roman"/>
          <w:i/>
          <w:szCs w:val="24"/>
        </w:rPr>
        <w:t>Reliance</w:t>
      </w:r>
      <w:r>
        <w:rPr>
          <w:rFonts w:cs="Times New Roman"/>
          <w:szCs w:val="24"/>
        </w:rPr>
        <w:t xml:space="preserve"> – A less sophisticated client will rely more on a client views.</w:t>
      </w:r>
    </w:p>
    <w:p w14:paraId="23A84E84" w14:textId="47CDD2E1" w:rsidR="00FA28F9" w:rsidRDefault="00FA28F9" w:rsidP="00392BC9">
      <w:pPr>
        <w:pStyle w:val="NoSpacing"/>
        <w:numPr>
          <w:ilvl w:val="3"/>
          <w:numId w:val="65"/>
        </w:numPr>
        <w:rPr>
          <w:rFonts w:cs="Times New Roman"/>
          <w:szCs w:val="24"/>
        </w:rPr>
      </w:pPr>
      <w:r>
        <w:rPr>
          <w:rFonts w:cs="Times New Roman"/>
          <w:i/>
          <w:szCs w:val="24"/>
        </w:rPr>
        <w:t xml:space="preserve">Independent Advice </w:t>
      </w:r>
      <w:r>
        <w:rPr>
          <w:rFonts w:cs="Times New Roman"/>
          <w:szCs w:val="24"/>
        </w:rPr>
        <w:t xml:space="preserve">– A lawyer should always encourage independent legal advice to the client no matter how sophisicated per </w:t>
      </w:r>
      <w:r>
        <w:rPr>
          <w:rFonts w:cs="Times New Roman"/>
          <w:i/>
          <w:szCs w:val="24"/>
        </w:rPr>
        <w:t>Mantonella Pty Ltd v T</w:t>
      </w:r>
      <w:r w:rsidR="00FC29A4">
        <w:rPr>
          <w:rFonts w:cs="Times New Roman"/>
          <w:i/>
          <w:szCs w:val="24"/>
        </w:rPr>
        <w:t>h</w:t>
      </w:r>
      <w:r>
        <w:rPr>
          <w:rFonts w:cs="Times New Roman"/>
          <w:i/>
          <w:szCs w:val="24"/>
        </w:rPr>
        <w:t>ompson</w:t>
      </w:r>
    </w:p>
    <w:p w14:paraId="3F4A24C3" w14:textId="77777777" w:rsidR="00FC29A4" w:rsidRDefault="00FC29A4" w:rsidP="00FC29A4">
      <w:pPr>
        <w:pStyle w:val="NoSpacing"/>
        <w:rPr>
          <w:rFonts w:cs="Times New Roman"/>
          <w:szCs w:val="24"/>
        </w:rPr>
      </w:pPr>
    </w:p>
    <w:p w14:paraId="44C36A20" w14:textId="77777777" w:rsidR="007E167B" w:rsidRDefault="007E167B" w:rsidP="007E167B">
      <w:pPr>
        <w:pStyle w:val="NoSpacing"/>
      </w:pPr>
    </w:p>
    <w:p w14:paraId="163A708B" w14:textId="77777777" w:rsidR="003D13DB" w:rsidRDefault="003D13DB" w:rsidP="007E167B">
      <w:pPr>
        <w:pStyle w:val="NoSpacing"/>
      </w:pPr>
    </w:p>
    <w:p w14:paraId="65F59CEC" w14:textId="64210B03" w:rsidR="00FC29A4" w:rsidRDefault="00FC29A4" w:rsidP="007E167B">
      <w:pPr>
        <w:pStyle w:val="NoSpacing"/>
        <w:rPr>
          <w:b/>
          <w:u w:val="single"/>
        </w:rPr>
      </w:pPr>
      <w:r>
        <w:rPr>
          <w:b/>
          <w:u w:val="single"/>
        </w:rPr>
        <w:t xml:space="preserve">Contentious </w:t>
      </w:r>
      <w:r w:rsidR="00CC07F9">
        <w:rPr>
          <w:b/>
          <w:u w:val="single"/>
        </w:rPr>
        <w:t>Matters</w:t>
      </w:r>
    </w:p>
    <w:p w14:paraId="1A91E453" w14:textId="77777777" w:rsidR="00FC29A4" w:rsidRDefault="00FC29A4" w:rsidP="007E167B">
      <w:pPr>
        <w:pStyle w:val="NoSpacing"/>
        <w:rPr>
          <w:b/>
          <w:u w:val="single"/>
        </w:rPr>
      </w:pPr>
    </w:p>
    <w:p w14:paraId="69F10EC7" w14:textId="09E735FB" w:rsidR="00FC29A4" w:rsidRDefault="00E72B42" w:rsidP="00392BC9">
      <w:pPr>
        <w:pStyle w:val="NoSpacing"/>
        <w:numPr>
          <w:ilvl w:val="0"/>
          <w:numId w:val="66"/>
        </w:numPr>
      </w:pPr>
      <w:r w:rsidRPr="001A533F">
        <w:rPr>
          <w:b/>
          <w:i/>
        </w:rPr>
        <w:t>Scope</w:t>
      </w:r>
      <w:r>
        <w:rPr>
          <w:i/>
        </w:rPr>
        <w:t xml:space="preserve"> – </w:t>
      </w:r>
      <w:r w:rsidR="00AA5E5E">
        <w:t xml:space="preserve">A lawyer cannot represent parties in litigation that </w:t>
      </w:r>
      <w:r w:rsidR="00AA5E5E" w:rsidRPr="00167CA8">
        <w:rPr>
          <w:b/>
        </w:rPr>
        <w:t>do not share the same interests or the outcome of the litigation</w:t>
      </w:r>
      <w:r w:rsidR="00306972">
        <w:rPr>
          <w:b/>
        </w:rPr>
        <w:t xml:space="preserve"> whether criminal or civil</w:t>
      </w:r>
      <w:r w:rsidR="00AA5E5E">
        <w:t>.</w:t>
      </w:r>
      <w:r w:rsidR="000E4CE5">
        <w:t xml:space="preserve"> This is because one client suffers at the others </w:t>
      </w:r>
      <w:r w:rsidR="009C5CD1">
        <w:t>expense</w:t>
      </w:r>
      <w:r w:rsidR="000E4CE5">
        <w:t xml:space="preserve"> and the duty of loyalty cannot be </w:t>
      </w:r>
      <w:r w:rsidR="007275E0">
        <w:t>satisfied</w:t>
      </w:r>
      <w:r w:rsidR="000E4CE5">
        <w:t>.</w:t>
      </w:r>
    </w:p>
    <w:p w14:paraId="1FD1036B" w14:textId="19CCCC39" w:rsidR="000E4CE5" w:rsidRPr="00167CA8" w:rsidRDefault="0092486B" w:rsidP="00392BC9">
      <w:pPr>
        <w:pStyle w:val="NoSpacing"/>
        <w:numPr>
          <w:ilvl w:val="1"/>
          <w:numId w:val="66"/>
        </w:numPr>
      </w:pPr>
      <w:r>
        <w:rPr>
          <w:i/>
        </w:rPr>
        <w:t xml:space="preserve">Re a Firm of </w:t>
      </w:r>
      <w:r w:rsidR="007275E0">
        <w:rPr>
          <w:i/>
        </w:rPr>
        <w:t>Solicitors</w:t>
      </w:r>
    </w:p>
    <w:p w14:paraId="1A43309F" w14:textId="1EAD0DB8" w:rsidR="00167CA8" w:rsidRDefault="00167CA8" w:rsidP="00392BC9">
      <w:pPr>
        <w:pStyle w:val="NoSpacing"/>
        <w:numPr>
          <w:ilvl w:val="2"/>
          <w:numId w:val="66"/>
        </w:numPr>
      </w:pPr>
      <w:r>
        <w:rPr>
          <w:i/>
        </w:rPr>
        <w:t>**Particularly in criminal Cases</w:t>
      </w:r>
    </w:p>
    <w:p w14:paraId="5474A73E" w14:textId="77777777" w:rsidR="0092486B" w:rsidRPr="0092486B" w:rsidRDefault="0092486B" w:rsidP="0092486B">
      <w:pPr>
        <w:pStyle w:val="NoSpacing"/>
      </w:pPr>
    </w:p>
    <w:p w14:paraId="4A9531B9" w14:textId="623AC754" w:rsidR="00C92727" w:rsidRPr="00795829" w:rsidRDefault="00CD7E12" w:rsidP="00392BC9">
      <w:pPr>
        <w:pStyle w:val="NoSpacing"/>
        <w:numPr>
          <w:ilvl w:val="0"/>
          <w:numId w:val="66"/>
        </w:numPr>
        <w:rPr>
          <w:u w:val="single"/>
        </w:rPr>
      </w:pPr>
      <w:r w:rsidRPr="001A533F">
        <w:rPr>
          <w:b/>
          <w:i/>
        </w:rPr>
        <w:t>Risk of acting</w:t>
      </w:r>
      <w:r>
        <w:rPr>
          <w:i/>
        </w:rPr>
        <w:t xml:space="preserve"> – </w:t>
      </w:r>
      <w:r>
        <w:t xml:space="preserve">A lawyer must accept the inherent risk of acting for both parties and in deciding to accept a retainer – the lawyer must be prepared to accept the risk of </w:t>
      </w:r>
      <w:r w:rsidR="00700F6B">
        <w:t>negotiating</w:t>
      </w:r>
      <w:r>
        <w:t xml:space="preserve"> both </w:t>
      </w:r>
      <w:r w:rsidR="00700F6B">
        <w:t>sides</w:t>
      </w:r>
      <w:r>
        <w:t xml:space="preserve"> to the litigation.</w:t>
      </w:r>
    </w:p>
    <w:p w14:paraId="6EEC0B92" w14:textId="417B68CF" w:rsidR="00795829" w:rsidRDefault="00412C02" w:rsidP="00392BC9">
      <w:pPr>
        <w:pStyle w:val="NoSpacing"/>
        <w:numPr>
          <w:ilvl w:val="1"/>
          <w:numId w:val="66"/>
        </w:numPr>
      </w:pPr>
      <w:r w:rsidRPr="00412C02">
        <w:rPr>
          <w:i/>
        </w:rPr>
        <w:t xml:space="preserve">Continued Representation </w:t>
      </w:r>
      <w:r w:rsidRPr="00412C02">
        <w:t xml:space="preserve">– </w:t>
      </w:r>
      <w:r w:rsidR="00596FFD">
        <w:t>Must accept that the Court may seek to restrain the use of confidential between the clients and the risk of negligence, cost and delay.</w:t>
      </w:r>
    </w:p>
    <w:p w14:paraId="4DA19A7D" w14:textId="77777777" w:rsidR="00A82AF7" w:rsidRPr="00F8768C" w:rsidRDefault="00A82AF7" w:rsidP="00392BC9">
      <w:pPr>
        <w:pStyle w:val="NoSpacing"/>
        <w:numPr>
          <w:ilvl w:val="1"/>
          <w:numId w:val="66"/>
        </w:numPr>
      </w:pPr>
      <w:r w:rsidRPr="00A51121">
        <w:rPr>
          <w:b/>
        </w:rPr>
        <w:t>PCPR 8.1B</w:t>
      </w:r>
    </w:p>
    <w:p w14:paraId="4BB07E08" w14:textId="77777777" w:rsidR="00A82AF7" w:rsidRDefault="00A82AF7" w:rsidP="00392BC9">
      <w:pPr>
        <w:pStyle w:val="NoSpacing"/>
        <w:numPr>
          <w:ilvl w:val="2"/>
          <w:numId w:val="66"/>
        </w:numPr>
      </w:pPr>
      <w:r>
        <w:rPr>
          <w:i/>
        </w:rPr>
        <w:t xml:space="preserve">Material Conflict – </w:t>
      </w:r>
      <w:r w:rsidRPr="00ED1E21">
        <w:t xml:space="preserve">Lawyers only have to withdraw if there is a </w:t>
      </w:r>
      <w:r w:rsidRPr="000835E1">
        <w:rPr>
          <w:i/>
          <w:iCs/>
        </w:rPr>
        <w:t>material</w:t>
      </w:r>
      <w:r w:rsidRPr="00ED1E21">
        <w:t xml:space="preserve"> conflict </w:t>
      </w:r>
      <w:r>
        <w:t xml:space="preserve">– </w:t>
      </w:r>
      <w:r w:rsidRPr="00ED1E21">
        <w:rPr>
          <w:b/>
          <w:iCs/>
        </w:rPr>
        <w:t xml:space="preserve">PCPR  </w:t>
      </w:r>
      <w:r w:rsidRPr="00ED1E21">
        <w:rPr>
          <w:b/>
        </w:rPr>
        <w:t>Rule 8.</w:t>
      </w:r>
      <w:r>
        <w:rPr>
          <w:b/>
        </w:rPr>
        <w:t>1</w:t>
      </w:r>
      <w:r w:rsidRPr="00ED1E21">
        <w:rPr>
          <w:b/>
        </w:rPr>
        <w:t>B(i)</w:t>
      </w:r>
      <w:r>
        <w:t>;</w:t>
      </w:r>
      <w:r w:rsidRPr="00ED1E21">
        <w:t xml:space="preserve"> </w:t>
      </w:r>
      <w:r w:rsidRPr="00ED1E21">
        <w:rPr>
          <w:u w:val="single"/>
        </w:rPr>
        <w:t>and</w:t>
      </w:r>
      <w:r w:rsidRPr="00ED1E21">
        <w:t xml:space="preserve"> </w:t>
      </w:r>
    </w:p>
    <w:p w14:paraId="4CDFE3D4" w14:textId="1F3BEA80" w:rsidR="00A82AF7" w:rsidRPr="00ED1E21" w:rsidRDefault="00A82AF7" w:rsidP="00392BC9">
      <w:pPr>
        <w:pStyle w:val="NoSpacing"/>
        <w:numPr>
          <w:ilvl w:val="2"/>
          <w:numId w:val="66"/>
        </w:numPr>
      </w:pPr>
      <w:r>
        <w:rPr>
          <w:i/>
        </w:rPr>
        <w:t xml:space="preserve">Reasonable Belief – </w:t>
      </w:r>
      <w:r>
        <w:t>T</w:t>
      </w:r>
      <w:r w:rsidRPr="00ED1E21">
        <w:t xml:space="preserve">he practitioner </w:t>
      </w:r>
      <w:r w:rsidRPr="000835E1">
        <w:rPr>
          <w:i/>
          <w:iCs/>
        </w:rPr>
        <w:t>reasonably</w:t>
      </w:r>
      <w:r w:rsidRPr="00ED1E21">
        <w:rPr>
          <w:b/>
          <w:i/>
          <w:iCs/>
        </w:rPr>
        <w:t xml:space="preserve"> </w:t>
      </w:r>
      <w:r w:rsidRPr="000835E1">
        <w:rPr>
          <w:i/>
          <w:iCs/>
        </w:rPr>
        <w:t>believes</w:t>
      </w:r>
      <w:r w:rsidRPr="00ED1E21">
        <w:rPr>
          <w:i/>
          <w:iCs/>
        </w:rPr>
        <w:t xml:space="preserve"> </w:t>
      </w:r>
      <w:r w:rsidRPr="00ED1E21">
        <w:t xml:space="preserve">that such a conflict is likely to </w:t>
      </w:r>
      <w:r>
        <w:t xml:space="preserve">arise –  </w:t>
      </w:r>
      <w:r w:rsidRPr="00ED1E21">
        <w:rPr>
          <w:b/>
        </w:rPr>
        <w:t>Rule 8.</w:t>
      </w:r>
      <w:r>
        <w:rPr>
          <w:b/>
        </w:rPr>
        <w:t>1</w:t>
      </w:r>
      <w:r w:rsidRPr="00ED1E21">
        <w:rPr>
          <w:b/>
        </w:rPr>
        <w:t>B(ii)</w:t>
      </w:r>
    </w:p>
    <w:p w14:paraId="3C7FF89F" w14:textId="77777777" w:rsidR="001A533F" w:rsidRDefault="001A533F" w:rsidP="001A533F">
      <w:pPr>
        <w:pStyle w:val="NoSpacing"/>
        <w:ind w:left="1440"/>
      </w:pPr>
    </w:p>
    <w:p w14:paraId="190C4F4D" w14:textId="77777777" w:rsidR="00C503DB" w:rsidRDefault="001A533F" w:rsidP="00392BC9">
      <w:pPr>
        <w:pStyle w:val="NoSpacing"/>
        <w:numPr>
          <w:ilvl w:val="0"/>
          <w:numId w:val="66"/>
        </w:numPr>
      </w:pPr>
      <w:r>
        <w:rPr>
          <w:b/>
          <w:i/>
        </w:rPr>
        <w:t xml:space="preserve">Criminal Matters </w:t>
      </w:r>
      <w:r w:rsidRPr="008E2EB1">
        <w:rPr>
          <w:i/>
        </w:rPr>
        <w:t>–</w:t>
      </w:r>
      <w:r>
        <w:rPr>
          <w:b/>
          <w:i/>
        </w:rPr>
        <w:t xml:space="preserve"> </w:t>
      </w:r>
      <w:r w:rsidR="00306972">
        <w:t>A</w:t>
      </w:r>
      <w:r w:rsidR="00C503DB">
        <w:t xml:space="preserve"> lawyer should never represent both parties to</w:t>
      </w:r>
      <w:r w:rsidR="00306972">
        <w:t xml:space="preserve"> contentious criminal </w:t>
      </w:r>
      <w:r w:rsidR="00C503DB">
        <w:t>matter.</w:t>
      </w:r>
    </w:p>
    <w:p w14:paraId="66D2B53E" w14:textId="7AF899D8" w:rsidR="001A533F" w:rsidRDefault="00C503DB" w:rsidP="00392BC9">
      <w:pPr>
        <w:pStyle w:val="NoSpacing"/>
        <w:numPr>
          <w:ilvl w:val="1"/>
          <w:numId w:val="66"/>
        </w:numPr>
      </w:pPr>
      <w:r w:rsidRPr="00E66772">
        <w:rPr>
          <w:i/>
        </w:rPr>
        <w:t>Joint Representation</w:t>
      </w:r>
      <w:r>
        <w:rPr>
          <w:b/>
        </w:rPr>
        <w:t xml:space="preserve"> – </w:t>
      </w:r>
      <w:r w:rsidRPr="00C503DB">
        <w:t xml:space="preserve">It is permissible to represent multiple parties of the same matter </w:t>
      </w:r>
      <w:r w:rsidR="00D55C64">
        <w:t>in joinder to</w:t>
      </w:r>
    </w:p>
    <w:p w14:paraId="2E32F4CC" w14:textId="77777777" w:rsidR="00D55C64" w:rsidRPr="00D55C64" w:rsidRDefault="00D55C64" w:rsidP="00392BC9">
      <w:pPr>
        <w:pStyle w:val="NoSpacing"/>
        <w:numPr>
          <w:ilvl w:val="2"/>
          <w:numId w:val="66"/>
        </w:numPr>
      </w:pPr>
      <w:r w:rsidRPr="00D55C64">
        <w:rPr>
          <w:i/>
        </w:rPr>
        <w:t>Reduce Costs</w:t>
      </w:r>
    </w:p>
    <w:p w14:paraId="73E5FD37" w14:textId="59300F48" w:rsidR="00D55C64" w:rsidRPr="00C327C9" w:rsidRDefault="00D55C64" w:rsidP="00392BC9">
      <w:pPr>
        <w:pStyle w:val="NoSpacing"/>
        <w:numPr>
          <w:ilvl w:val="2"/>
          <w:numId w:val="66"/>
        </w:numPr>
      </w:pPr>
      <w:r w:rsidRPr="00D55C64">
        <w:rPr>
          <w:i/>
        </w:rPr>
        <w:t>Strategic legal advantages in plea bargins etc</w:t>
      </w:r>
    </w:p>
    <w:p w14:paraId="039CA0E4" w14:textId="77777777" w:rsidR="00C327C9" w:rsidRPr="0034745F" w:rsidRDefault="00C327C9" w:rsidP="00C327C9">
      <w:pPr>
        <w:pStyle w:val="NoSpacing"/>
        <w:ind w:left="2160"/>
      </w:pPr>
    </w:p>
    <w:p w14:paraId="523E1FBD" w14:textId="76362333" w:rsidR="00C327C9" w:rsidRPr="00ED1E21" w:rsidRDefault="00C327C9" w:rsidP="00392BC9">
      <w:pPr>
        <w:pStyle w:val="NoSpacing"/>
        <w:numPr>
          <w:ilvl w:val="1"/>
          <w:numId w:val="66"/>
        </w:numPr>
      </w:pPr>
      <w:r w:rsidRPr="00C327C9">
        <w:rPr>
          <w:i/>
        </w:rPr>
        <w:t>Risks –</w:t>
      </w:r>
      <w:r w:rsidR="00DB2957">
        <w:rPr>
          <w:i/>
        </w:rPr>
        <w:t xml:space="preserve"> </w:t>
      </w:r>
      <w:r w:rsidRPr="00ED1E21">
        <w:t xml:space="preserve">The cases not adequately separated could mean that possibility of different verdicts for the </w:t>
      </w:r>
      <w:r w:rsidR="00394666">
        <w:t>defendant may be left unexplored. Such as:</w:t>
      </w:r>
    </w:p>
    <w:p w14:paraId="3290F2B0" w14:textId="77777777" w:rsidR="00394666" w:rsidRPr="00394666" w:rsidRDefault="00394666" w:rsidP="00394666">
      <w:pPr>
        <w:pStyle w:val="NoSpacing"/>
        <w:ind w:left="2160"/>
      </w:pPr>
    </w:p>
    <w:p w14:paraId="3454745F" w14:textId="3B938105" w:rsidR="00C327C9" w:rsidRPr="00ED1E21" w:rsidRDefault="00394666" w:rsidP="00392BC9">
      <w:pPr>
        <w:pStyle w:val="NoSpacing"/>
        <w:numPr>
          <w:ilvl w:val="2"/>
          <w:numId w:val="66"/>
        </w:numPr>
      </w:pPr>
      <w:r>
        <w:rPr>
          <w:i/>
        </w:rPr>
        <w:t xml:space="preserve">Raising individual issues of character – </w:t>
      </w:r>
      <w:r w:rsidR="00C327C9" w:rsidRPr="00ED1E21">
        <w:t>It may restrict the lawyer from rais</w:t>
      </w:r>
      <w:r>
        <w:t>ing issues of character of one defendant</w:t>
      </w:r>
      <w:r w:rsidR="00C327C9" w:rsidRPr="00ED1E21">
        <w:t xml:space="preserve"> for fear of casting doubt over the character </w:t>
      </w:r>
      <w:r>
        <w:t>of the other.</w:t>
      </w:r>
    </w:p>
    <w:p w14:paraId="27012AC4" w14:textId="14701039" w:rsidR="00C327C9" w:rsidRPr="00ED1E21" w:rsidRDefault="00765EB9" w:rsidP="00392BC9">
      <w:pPr>
        <w:pStyle w:val="NoSpacing"/>
        <w:numPr>
          <w:ilvl w:val="2"/>
          <w:numId w:val="66"/>
        </w:numPr>
      </w:pPr>
      <w:r>
        <w:rPr>
          <w:i/>
        </w:rPr>
        <w:t xml:space="preserve">Individual Defendants Interests Diverging – </w:t>
      </w:r>
      <w:r w:rsidR="00C327C9" w:rsidRPr="00ED1E21">
        <w:t xml:space="preserve">It is difficult to determine early how the interests of each </w:t>
      </w:r>
      <w:r w:rsidR="00394666">
        <w:t>defendant</w:t>
      </w:r>
      <w:r w:rsidR="00C327C9" w:rsidRPr="00ED1E21">
        <w:t xml:space="preserve"> may diverge during the course of the proceedings.</w:t>
      </w:r>
    </w:p>
    <w:p w14:paraId="72D27B44" w14:textId="26B65629" w:rsidR="00C327C9" w:rsidRDefault="009C6574" w:rsidP="00392BC9">
      <w:pPr>
        <w:pStyle w:val="NoSpacing"/>
        <w:numPr>
          <w:ilvl w:val="2"/>
          <w:numId w:val="66"/>
        </w:numPr>
      </w:pPr>
      <w:r>
        <w:rPr>
          <w:i/>
        </w:rPr>
        <w:t xml:space="preserve">Clients want reduced costs and forego strategic – </w:t>
      </w:r>
      <w:r w:rsidR="00C327C9" w:rsidRPr="00ED1E21">
        <w:t xml:space="preserve">Client consent to the conflict carries little weight especially in criminal cases due to criminal </w:t>
      </w:r>
      <w:r w:rsidR="00394666">
        <w:lastRenderedPageBreak/>
        <w:t>defendant</w:t>
      </w:r>
      <w:r w:rsidR="00C327C9" w:rsidRPr="00ED1E21">
        <w:t>’s lack of appreciation of the complexities of conflicts and their possible impacts.</w:t>
      </w:r>
    </w:p>
    <w:p w14:paraId="7139F998" w14:textId="77777777" w:rsidR="003B57DD" w:rsidRPr="00ED1E21" w:rsidRDefault="003B57DD" w:rsidP="003B57DD">
      <w:pPr>
        <w:pStyle w:val="NoSpacing"/>
        <w:ind w:left="2160"/>
      </w:pPr>
    </w:p>
    <w:p w14:paraId="58A15D1F" w14:textId="73246567" w:rsidR="00C92727" w:rsidRPr="00C92727" w:rsidRDefault="003B57DD" w:rsidP="00392BC9">
      <w:pPr>
        <w:pStyle w:val="NoSpacing"/>
        <w:numPr>
          <w:ilvl w:val="1"/>
          <w:numId w:val="66"/>
        </w:numPr>
      </w:pPr>
      <w:r>
        <w:rPr>
          <w:i/>
        </w:rPr>
        <w:t>Victorian Ethical Guidelines in the Representation of the Co</w:t>
      </w:r>
      <w:r w:rsidR="00DF0AC6">
        <w:rPr>
          <w:i/>
        </w:rPr>
        <w:t>–</w:t>
      </w:r>
      <w:r>
        <w:rPr>
          <w:i/>
        </w:rPr>
        <w:t xml:space="preserve">accused </w:t>
      </w:r>
      <w:r>
        <w:t xml:space="preserve">– </w:t>
      </w:r>
      <w:r w:rsidR="00550BC9">
        <w:t>Expressly prohibited a lawyer from acting for two or more co</w:t>
      </w:r>
      <w:r w:rsidR="00DF0AC6">
        <w:t>–</w:t>
      </w:r>
      <w:r w:rsidR="00550BC9">
        <w:t>accused in the same criminal proceeding if there is an ‘actual or foreseeable conflict of interest between the clients’</w:t>
      </w:r>
    </w:p>
    <w:p w14:paraId="3EC01512" w14:textId="497C57C0" w:rsidR="00637B91" w:rsidRDefault="00637B91" w:rsidP="00066CB9">
      <w:pPr>
        <w:pStyle w:val="NoSpacing"/>
        <w:rPr>
          <w:rFonts w:cs="Times New Roman"/>
          <w:szCs w:val="24"/>
        </w:rPr>
      </w:pPr>
    </w:p>
    <w:p w14:paraId="69F52090" w14:textId="77777777" w:rsidR="00637B91" w:rsidRDefault="00637B91" w:rsidP="00066CB9">
      <w:pPr>
        <w:pStyle w:val="NoSpacing"/>
        <w:rPr>
          <w:rFonts w:cs="Times New Roman"/>
          <w:szCs w:val="24"/>
        </w:rPr>
      </w:pPr>
    </w:p>
    <w:p w14:paraId="7BEF2A06" w14:textId="77777777" w:rsidR="00637B91" w:rsidRDefault="00637B91" w:rsidP="00066CB9">
      <w:pPr>
        <w:pStyle w:val="NoSpacing"/>
        <w:rPr>
          <w:rFonts w:cs="Times New Roman"/>
          <w:szCs w:val="24"/>
        </w:rPr>
      </w:pPr>
    </w:p>
    <w:p w14:paraId="15AF7D59" w14:textId="4BA1C1C1" w:rsidR="00637B91" w:rsidRPr="00CC07F9" w:rsidRDefault="00CC07F9" w:rsidP="0079364B">
      <w:pPr>
        <w:pStyle w:val="NoSpacing"/>
        <w:rPr>
          <w:rFonts w:cs="Times New Roman"/>
          <w:b/>
          <w:szCs w:val="24"/>
          <w:u w:val="single"/>
        </w:rPr>
      </w:pPr>
      <w:r w:rsidRPr="00CC07F9">
        <w:rPr>
          <w:rFonts w:cs="Times New Roman"/>
          <w:b/>
          <w:szCs w:val="24"/>
          <w:u w:val="single"/>
        </w:rPr>
        <w:t>Non</w:t>
      </w:r>
      <w:r w:rsidR="00DF0AC6">
        <w:rPr>
          <w:rFonts w:cs="Times New Roman"/>
          <w:b/>
          <w:szCs w:val="24"/>
          <w:u w:val="single"/>
        </w:rPr>
        <w:t>–</w:t>
      </w:r>
      <w:r w:rsidRPr="00CC07F9">
        <w:rPr>
          <w:rFonts w:cs="Times New Roman"/>
          <w:b/>
          <w:szCs w:val="24"/>
          <w:u w:val="single"/>
        </w:rPr>
        <w:t xml:space="preserve">Contentious </w:t>
      </w:r>
      <w:r w:rsidRPr="00CC07F9">
        <w:rPr>
          <w:b/>
          <w:u w:val="single"/>
        </w:rPr>
        <w:t>Matters</w:t>
      </w:r>
    </w:p>
    <w:p w14:paraId="08688D43" w14:textId="77777777" w:rsidR="00637B91" w:rsidRDefault="00637B91" w:rsidP="0079364B">
      <w:pPr>
        <w:pStyle w:val="NoSpacing"/>
        <w:rPr>
          <w:rFonts w:cs="Times New Roman"/>
          <w:szCs w:val="24"/>
        </w:rPr>
      </w:pPr>
    </w:p>
    <w:p w14:paraId="766D28DC" w14:textId="3263363F" w:rsidR="00D21DDE" w:rsidRDefault="00D21DDE" w:rsidP="00392BC9">
      <w:pPr>
        <w:pStyle w:val="NoSpacing"/>
        <w:numPr>
          <w:ilvl w:val="0"/>
          <w:numId w:val="67"/>
        </w:numPr>
      </w:pPr>
      <w:r w:rsidRPr="001A533F">
        <w:rPr>
          <w:b/>
          <w:i/>
        </w:rPr>
        <w:t>Scope</w:t>
      </w:r>
      <w:r>
        <w:rPr>
          <w:i/>
        </w:rPr>
        <w:t xml:space="preserve"> – </w:t>
      </w:r>
      <w:r w:rsidR="003E2618">
        <w:t xml:space="preserve">Important that lawyers consent the latent ability for </w:t>
      </w:r>
      <w:r w:rsidR="003B60D0">
        <w:t>conflicts between clients in transactional work – at a high level than that for contentious work.</w:t>
      </w:r>
    </w:p>
    <w:p w14:paraId="3EA38CEE" w14:textId="77777777" w:rsidR="006B44C3" w:rsidRDefault="006B44C3" w:rsidP="006B44C3">
      <w:pPr>
        <w:pStyle w:val="NoSpacing"/>
        <w:ind w:left="720"/>
      </w:pPr>
    </w:p>
    <w:p w14:paraId="7139CFD3" w14:textId="7C0D7A4C" w:rsidR="00E25279" w:rsidRDefault="004F11BB" w:rsidP="00392BC9">
      <w:pPr>
        <w:pStyle w:val="NoSpacing"/>
        <w:numPr>
          <w:ilvl w:val="0"/>
          <w:numId w:val="67"/>
        </w:numPr>
      </w:pPr>
      <w:r w:rsidRPr="00CB6F76">
        <w:rPr>
          <w:b/>
          <w:i/>
        </w:rPr>
        <w:t>Inherent Risks</w:t>
      </w:r>
      <w:r>
        <w:rPr>
          <w:i/>
        </w:rPr>
        <w:t xml:space="preserve"> – </w:t>
      </w:r>
      <w:r w:rsidR="006B44C3" w:rsidRPr="00ED1E21">
        <w:t xml:space="preserve">While there is no </w:t>
      </w:r>
      <w:r w:rsidR="006B44C3" w:rsidRPr="00ED1E21">
        <w:rPr>
          <w:i/>
          <w:iCs/>
        </w:rPr>
        <w:t>general</w:t>
      </w:r>
      <w:r w:rsidR="006B44C3" w:rsidRPr="00ED1E21">
        <w:t xml:space="preserve"> rule against acting for two or more parties in </w:t>
      </w:r>
      <w:r w:rsidR="006B44C3" w:rsidRPr="00ED1E21">
        <w:rPr>
          <w:u w:val="single"/>
        </w:rPr>
        <w:t>non</w:t>
      </w:r>
      <w:r w:rsidR="00DF0AC6">
        <w:rPr>
          <w:u w:val="single"/>
        </w:rPr>
        <w:t>–</w:t>
      </w:r>
      <w:r w:rsidR="006B44C3" w:rsidRPr="00ED1E21">
        <w:rPr>
          <w:u w:val="single"/>
        </w:rPr>
        <w:t>contentious</w:t>
      </w:r>
      <w:r w:rsidR="006B44C3" w:rsidRPr="00ED1E21">
        <w:t xml:space="preserve"> matters, there are inherent risks in doing so</w:t>
      </w:r>
      <w:r w:rsidR="00E25279">
        <w:t xml:space="preserve"> including those in the </w:t>
      </w:r>
      <w:r w:rsidR="00E25279" w:rsidRPr="00A51121">
        <w:rPr>
          <w:b/>
        </w:rPr>
        <w:t>PCPR 8.1B</w:t>
      </w:r>
    </w:p>
    <w:p w14:paraId="6043134A" w14:textId="390A6F88" w:rsidR="009F6897" w:rsidRDefault="00D25280" w:rsidP="00392BC9">
      <w:pPr>
        <w:pStyle w:val="NoSpacing"/>
        <w:numPr>
          <w:ilvl w:val="1"/>
          <w:numId w:val="67"/>
        </w:numPr>
      </w:pPr>
      <w:r>
        <w:rPr>
          <w:i/>
        </w:rPr>
        <w:t xml:space="preserve">Material Conflict – </w:t>
      </w:r>
      <w:r w:rsidR="006B44C3" w:rsidRPr="00ED1E21">
        <w:t xml:space="preserve">Lawyers only have to withdraw if there is a </w:t>
      </w:r>
      <w:r w:rsidR="006B44C3" w:rsidRPr="000835E1">
        <w:rPr>
          <w:i/>
          <w:iCs/>
        </w:rPr>
        <w:t>material</w:t>
      </w:r>
      <w:r w:rsidR="006B44C3" w:rsidRPr="00ED1E21">
        <w:t xml:space="preserve"> conflict </w:t>
      </w:r>
      <w:r w:rsidR="00E25279">
        <w:t xml:space="preserve">– </w:t>
      </w:r>
      <w:r w:rsidR="006B44C3" w:rsidRPr="00ED1E21">
        <w:rPr>
          <w:b/>
          <w:iCs/>
        </w:rPr>
        <w:t xml:space="preserve">PCPR  </w:t>
      </w:r>
      <w:r w:rsidR="006B44C3" w:rsidRPr="00ED1E21">
        <w:rPr>
          <w:b/>
        </w:rPr>
        <w:t>Rule 8.</w:t>
      </w:r>
      <w:r w:rsidR="0072175F">
        <w:rPr>
          <w:b/>
        </w:rPr>
        <w:t>1</w:t>
      </w:r>
      <w:r w:rsidR="006B44C3" w:rsidRPr="00ED1E21">
        <w:rPr>
          <w:b/>
        </w:rPr>
        <w:t>B(i)</w:t>
      </w:r>
      <w:r w:rsidR="009F6897">
        <w:t>;</w:t>
      </w:r>
      <w:r w:rsidR="006B44C3" w:rsidRPr="00ED1E21">
        <w:t xml:space="preserve"> </w:t>
      </w:r>
      <w:r w:rsidR="006B44C3" w:rsidRPr="00ED1E21">
        <w:rPr>
          <w:u w:val="single"/>
        </w:rPr>
        <w:t>and</w:t>
      </w:r>
      <w:r w:rsidR="006B44C3" w:rsidRPr="00ED1E21">
        <w:t xml:space="preserve"> </w:t>
      </w:r>
    </w:p>
    <w:p w14:paraId="07432E04" w14:textId="77777777" w:rsidR="00000838" w:rsidRPr="00000838" w:rsidRDefault="00000838" w:rsidP="00000838">
      <w:pPr>
        <w:pStyle w:val="NoSpacing"/>
        <w:ind w:left="1440"/>
      </w:pPr>
    </w:p>
    <w:p w14:paraId="6D46BD0B" w14:textId="6B8F4E45" w:rsidR="006B44C3" w:rsidRPr="00ED1E21" w:rsidRDefault="008A46B7" w:rsidP="00392BC9">
      <w:pPr>
        <w:pStyle w:val="NoSpacing"/>
        <w:numPr>
          <w:ilvl w:val="1"/>
          <w:numId w:val="67"/>
        </w:numPr>
      </w:pPr>
      <w:r>
        <w:rPr>
          <w:i/>
        </w:rPr>
        <w:t xml:space="preserve">Reasonably Belief – </w:t>
      </w:r>
      <w:r w:rsidR="009F6897">
        <w:t>T</w:t>
      </w:r>
      <w:r w:rsidR="006B44C3" w:rsidRPr="00ED1E21">
        <w:t xml:space="preserve">he practitioner </w:t>
      </w:r>
      <w:r w:rsidR="006B44C3" w:rsidRPr="000835E1">
        <w:rPr>
          <w:i/>
          <w:iCs/>
        </w:rPr>
        <w:t>reasonably</w:t>
      </w:r>
      <w:r w:rsidR="006B44C3" w:rsidRPr="00ED1E21">
        <w:rPr>
          <w:b/>
          <w:i/>
          <w:iCs/>
        </w:rPr>
        <w:t xml:space="preserve"> </w:t>
      </w:r>
      <w:r w:rsidR="006B44C3" w:rsidRPr="000835E1">
        <w:rPr>
          <w:i/>
          <w:iCs/>
        </w:rPr>
        <w:t>believes</w:t>
      </w:r>
      <w:r w:rsidR="006B44C3" w:rsidRPr="00ED1E21">
        <w:rPr>
          <w:i/>
          <w:iCs/>
        </w:rPr>
        <w:t xml:space="preserve"> </w:t>
      </w:r>
      <w:r w:rsidR="006B44C3" w:rsidRPr="00ED1E21">
        <w:t xml:space="preserve">that such a conflict is likely to </w:t>
      </w:r>
      <w:r w:rsidR="00955584">
        <w:t xml:space="preserve">arise –  </w:t>
      </w:r>
      <w:r w:rsidR="006B44C3" w:rsidRPr="00ED1E21">
        <w:rPr>
          <w:b/>
        </w:rPr>
        <w:t>Rule 8.</w:t>
      </w:r>
      <w:r w:rsidR="0072175F">
        <w:rPr>
          <w:b/>
        </w:rPr>
        <w:t>1</w:t>
      </w:r>
      <w:r w:rsidR="006B44C3" w:rsidRPr="00ED1E21">
        <w:rPr>
          <w:b/>
        </w:rPr>
        <w:t>B(ii)</w:t>
      </w:r>
    </w:p>
    <w:p w14:paraId="1CA47432" w14:textId="77777777" w:rsidR="00D03884" w:rsidRDefault="00D03884" w:rsidP="00D03884">
      <w:pPr>
        <w:pStyle w:val="NoSpacing"/>
        <w:ind w:left="720"/>
      </w:pPr>
    </w:p>
    <w:p w14:paraId="4DCF3858" w14:textId="6FDCAFB1" w:rsidR="006B44C3" w:rsidRPr="00ED1E21" w:rsidRDefault="00000838" w:rsidP="00392BC9">
      <w:pPr>
        <w:pStyle w:val="NoSpacing"/>
        <w:numPr>
          <w:ilvl w:val="0"/>
          <w:numId w:val="67"/>
        </w:numPr>
      </w:pPr>
      <w:r w:rsidRPr="00000838">
        <w:rPr>
          <w:b/>
          <w:i/>
        </w:rPr>
        <w:t xml:space="preserve">Risks vs. Benefits </w:t>
      </w:r>
      <w:r>
        <w:t>–</w:t>
      </w:r>
      <w:r w:rsidR="00066D53">
        <w:t xml:space="preserve"> </w:t>
      </w:r>
      <w:r w:rsidR="006B44C3" w:rsidRPr="00ED1E21">
        <w:t>A decision to represent more than one party in a non</w:t>
      </w:r>
      <w:r w:rsidR="00DF0AC6">
        <w:t>–</w:t>
      </w:r>
      <w:r w:rsidR="006B44C3" w:rsidRPr="00ED1E21">
        <w:t>contentious matter involves the dangerous balancing of the risks with the benefits:</w:t>
      </w:r>
    </w:p>
    <w:p w14:paraId="21B170A5" w14:textId="65017B45" w:rsidR="006B44C3" w:rsidRPr="00ED1E21" w:rsidRDefault="005B76D7" w:rsidP="00392BC9">
      <w:pPr>
        <w:pStyle w:val="NoSpacing"/>
        <w:numPr>
          <w:ilvl w:val="1"/>
          <w:numId w:val="67"/>
        </w:numPr>
      </w:pPr>
      <w:r>
        <w:rPr>
          <w:i/>
        </w:rPr>
        <w:t xml:space="preserve">Unforeseen Conflict – </w:t>
      </w:r>
      <w:r w:rsidR="006B44C3" w:rsidRPr="00ED1E21">
        <w:t>A conflict may arise that was unforeseen at the start of the matter – in complex commercial negotiations the emergence of conflicts is actually likely</w:t>
      </w:r>
      <w:r>
        <w:t>.</w:t>
      </w:r>
    </w:p>
    <w:p w14:paraId="2F3B3A44" w14:textId="3AEDA3B9" w:rsidR="006B44C3" w:rsidRPr="00ED1E21" w:rsidRDefault="00DC6E33" w:rsidP="00392BC9">
      <w:pPr>
        <w:pStyle w:val="NoSpacing"/>
        <w:numPr>
          <w:ilvl w:val="1"/>
          <w:numId w:val="67"/>
        </w:numPr>
      </w:pPr>
      <w:r>
        <w:rPr>
          <w:i/>
        </w:rPr>
        <w:t xml:space="preserve">Increased Delay, Expense – </w:t>
      </w:r>
      <w:r w:rsidR="006B44C3" w:rsidRPr="00ED1E21">
        <w:t>If a conflict arises, one party will have to seek independent representation and incur additional expense, delay and inconvenience</w:t>
      </w:r>
      <w:r w:rsidR="005B76D7">
        <w:t>.</w:t>
      </w:r>
    </w:p>
    <w:p w14:paraId="6493FED7" w14:textId="77777777" w:rsidR="00D03884" w:rsidRDefault="00D03884" w:rsidP="00D03884">
      <w:pPr>
        <w:pStyle w:val="NoSpacing"/>
        <w:ind w:left="720"/>
      </w:pPr>
    </w:p>
    <w:p w14:paraId="76BA551E" w14:textId="623884FD" w:rsidR="00294276" w:rsidRDefault="00113CCF" w:rsidP="00392BC9">
      <w:pPr>
        <w:pStyle w:val="NoSpacing"/>
        <w:numPr>
          <w:ilvl w:val="0"/>
          <w:numId w:val="67"/>
        </w:numPr>
      </w:pPr>
      <w:r w:rsidRPr="004509A7">
        <w:rPr>
          <w:b/>
          <w:i/>
        </w:rPr>
        <w:t>Strict Client Retainer Agreement</w:t>
      </w:r>
      <w:r>
        <w:rPr>
          <w:i/>
        </w:rPr>
        <w:t xml:space="preserve"> – </w:t>
      </w:r>
      <w:r w:rsidR="006B44C3" w:rsidRPr="00ED1E21">
        <w:t xml:space="preserve">If you prepare a document which creates rights and obligations between clients, you will be unable to act for </w:t>
      </w:r>
      <w:r w:rsidR="006B44C3" w:rsidRPr="00ED1E21">
        <w:rPr>
          <w:u w:val="single"/>
        </w:rPr>
        <w:t>any</w:t>
      </w:r>
      <w:r w:rsidR="006B44C3" w:rsidRPr="00ED1E21">
        <w:t xml:space="preserve"> client in a subsequent dispute over its terms </w:t>
      </w:r>
      <w:r w:rsidR="00294276">
        <w:t>–</w:t>
      </w:r>
      <w:r w:rsidR="006B44C3" w:rsidRPr="00ED1E21">
        <w:t xml:space="preserve"> </w:t>
      </w:r>
    </w:p>
    <w:p w14:paraId="0E3711C1" w14:textId="77777777" w:rsidR="006B44C3" w:rsidRPr="00294276" w:rsidRDefault="006B44C3" w:rsidP="00392BC9">
      <w:pPr>
        <w:pStyle w:val="NoSpacing"/>
        <w:numPr>
          <w:ilvl w:val="1"/>
          <w:numId w:val="67"/>
        </w:numPr>
      </w:pPr>
      <w:r w:rsidRPr="00294276">
        <w:rPr>
          <w:i/>
          <w:iCs/>
        </w:rPr>
        <w:t>Yunghanns &amp; Ors v Elfic Ltd &amp; Ors</w:t>
      </w:r>
    </w:p>
    <w:p w14:paraId="4FE6CEAF" w14:textId="77777777" w:rsidR="00D03884" w:rsidRPr="00D03884" w:rsidRDefault="00D03884" w:rsidP="00D03884">
      <w:pPr>
        <w:pStyle w:val="NoSpacing"/>
        <w:ind w:left="720"/>
      </w:pPr>
    </w:p>
    <w:p w14:paraId="20881CC6" w14:textId="68673022" w:rsidR="005B353F" w:rsidRDefault="005B353F" w:rsidP="00392BC9">
      <w:pPr>
        <w:pStyle w:val="NoSpacing"/>
        <w:numPr>
          <w:ilvl w:val="0"/>
          <w:numId w:val="67"/>
        </w:numPr>
      </w:pPr>
      <w:r w:rsidRPr="0019365B">
        <w:rPr>
          <w:b/>
          <w:i/>
          <w:iCs/>
        </w:rPr>
        <w:t>Transactional Restrictions</w:t>
      </w:r>
      <w:r>
        <w:rPr>
          <w:b/>
          <w:iCs/>
        </w:rPr>
        <w:t xml:space="preserve"> </w:t>
      </w:r>
      <w:r w:rsidRPr="005B353F">
        <w:rPr>
          <w:iCs/>
        </w:rPr>
        <w:t>–</w:t>
      </w:r>
      <w:r w:rsidR="00DD6A20">
        <w:rPr>
          <w:iCs/>
        </w:rPr>
        <w:t xml:space="preserve"> The PCPR at 8.5 provides express restrictions on when a practitioner must not act or ‘intend’ to act:</w:t>
      </w:r>
    </w:p>
    <w:p w14:paraId="509E0C62" w14:textId="77777777" w:rsidR="005B353F" w:rsidRPr="005B353F" w:rsidRDefault="005B353F" w:rsidP="005B353F">
      <w:pPr>
        <w:pStyle w:val="NoSpacing"/>
      </w:pPr>
    </w:p>
    <w:p w14:paraId="71B0E4CA" w14:textId="25E9FD4B" w:rsidR="006B44C3" w:rsidRPr="00ED1E21" w:rsidRDefault="006B44C3" w:rsidP="00392BC9">
      <w:pPr>
        <w:pStyle w:val="NoSpacing"/>
        <w:numPr>
          <w:ilvl w:val="1"/>
          <w:numId w:val="67"/>
        </w:numPr>
      </w:pPr>
      <w:r w:rsidRPr="00BF4782">
        <w:rPr>
          <w:i/>
          <w:iCs/>
        </w:rPr>
        <w:t>Acting for vendor and purchaser</w:t>
      </w:r>
      <w:r w:rsidR="004F1B7D">
        <w:rPr>
          <w:b/>
          <w:iCs/>
        </w:rPr>
        <w:t xml:space="preserve"> –</w:t>
      </w:r>
      <w:r w:rsidRPr="00ED1E21">
        <w:rPr>
          <w:b/>
          <w:iCs/>
        </w:rPr>
        <w:t xml:space="preserve"> </w:t>
      </w:r>
      <w:r w:rsidRPr="00BF4782">
        <w:rPr>
          <w:i/>
          <w:iCs/>
        </w:rPr>
        <w:t xml:space="preserve">PCPR  </w:t>
      </w:r>
      <w:r w:rsidRPr="00BF4782">
        <w:rPr>
          <w:i/>
        </w:rPr>
        <w:t>Rule 8.5</w:t>
      </w:r>
      <w:r w:rsidR="00BF4782">
        <w:rPr>
          <w:i/>
        </w:rPr>
        <w:t>.1 &amp;</w:t>
      </w:r>
      <w:r w:rsidR="00BF4782" w:rsidRPr="00BF4782">
        <w:rPr>
          <w:i/>
        </w:rPr>
        <w:t xml:space="preserve"> 8.5.2 </w:t>
      </w:r>
      <w:r w:rsidR="0004465B">
        <w:rPr>
          <w:i/>
        </w:rPr>
        <w:t xml:space="preserve">&amp; 8.5.5 </w:t>
      </w:r>
      <w:r w:rsidR="00BF4782" w:rsidRPr="00BF4782">
        <w:rPr>
          <w:i/>
        </w:rPr>
        <w:t>–</w:t>
      </w:r>
      <w:r w:rsidRPr="00ED1E21">
        <w:t xml:space="preserve"> prohibits multi</w:t>
      </w:r>
      <w:r w:rsidR="00DF0AC6">
        <w:t>–</w:t>
      </w:r>
      <w:r w:rsidRPr="00ED1E21">
        <w:t xml:space="preserve">party representation in the sale or purchase of land or a business; leasing and lending transactions </w:t>
      </w:r>
      <w:r w:rsidRPr="00ED1E21">
        <w:rPr>
          <w:u w:val="single"/>
        </w:rPr>
        <w:t>unless</w:t>
      </w:r>
      <w:r w:rsidRPr="00ED1E21">
        <w:t>:</w:t>
      </w:r>
    </w:p>
    <w:p w14:paraId="2A4604C2" w14:textId="3440FFDD" w:rsidR="006B44C3" w:rsidRPr="00ED1E21" w:rsidRDefault="006B44C3" w:rsidP="00392BC9">
      <w:pPr>
        <w:pStyle w:val="NoSpacing"/>
        <w:numPr>
          <w:ilvl w:val="2"/>
          <w:numId w:val="67"/>
        </w:numPr>
      </w:pPr>
      <w:r w:rsidRPr="00ED1E21">
        <w:t>each party is informed beforehand in writing of potential disadvantages, and</w:t>
      </w:r>
    </w:p>
    <w:p w14:paraId="5B314531" w14:textId="4820CC95" w:rsidR="006B44C3" w:rsidRDefault="006B44C3" w:rsidP="00392BC9">
      <w:pPr>
        <w:pStyle w:val="NoSpacing"/>
        <w:numPr>
          <w:ilvl w:val="2"/>
          <w:numId w:val="67"/>
        </w:numPr>
      </w:pPr>
      <w:proofErr w:type="gramStart"/>
      <w:r w:rsidRPr="00ED1E21">
        <w:t>each</w:t>
      </w:r>
      <w:proofErr w:type="gramEnd"/>
      <w:r w:rsidRPr="00ED1E21">
        <w:t xml:space="preserve"> party signs an acknowledgment (Schedule, Form 1)  </w:t>
      </w:r>
      <w:r w:rsidR="00DF0AC6">
        <w:t>–</w:t>
      </w:r>
      <w:r w:rsidRPr="00ED1E21">
        <w:t xml:space="preserve"> but, do we always read what we sign?</w:t>
      </w:r>
    </w:p>
    <w:p w14:paraId="254E68B7" w14:textId="77777777" w:rsidR="00E32C84" w:rsidRDefault="00E32C84" w:rsidP="00E32C84">
      <w:pPr>
        <w:pStyle w:val="NoSpacing"/>
      </w:pPr>
    </w:p>
    <w:p w14:paraId="4C13F9CA" w14:textId="77777777" w:rsidR="00E32C84" w:rsidRDefault="00E32C84" w:rsidP="00E32C84">
      <w:pPr>
        <w:pStyle w:val="NoSpacing"/>
      </w:pPr>
    </w:p>
    <w:p w14:paraId="356294E6" w14:textId="77777777" w:rsidR="00E32C84" w:rsidRDefault="00E32C84" w:rsidP="00E32C84">
      <w:pPr>
        <w:pStyle w:val="NoSpacing"/>
      </w:pPr>
    </w:p>
    <w:p w14:paraId="21F6FF38" w14:textId="77777777" w:rsidR="00E32C84" w:rsidRPr="00ED1E21" w:rsidRDefault="00E32C84" w:rsidP="00E32C84">
      <w:pPr>
        <w:pStyle w:val="NoSpacing"/>
      </w:pPr>
    </w:p>
    <w:p w14:paraId="45B6E456" w14:textId="050403C9" w:rsidR="00893909" w:rsidRPr="00E300E2" w:rsidRDefault="00E300E2" w:rsidP="005A03C9">
      <w:pPr>
        <w:pStyle w:val="NoSpacing"/>
        <w:rPr>
          <w:i/>
        </w:rPr>
      </w:pPr>
      <w:r>
        <w:rPr>
          <w:i/>
        </w:rPr>
        <w:lastRenderedPageBreak/>
        <w:t>Stewart v Layton</w:t>
      </w:r>
    </w:p>
    <w:p w14:paraId="58247DEF" w14:textId="051E26CA" w:rsidR="00CE13B9" w:rsidRDefault="00D471FF" w:rsidP="00CE13B9">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t xml:space="preserve">Lawyer represented both vendor and purchaser. Purchaser ran into financial difficultly and failed to complete settlement. </w:t>
      </w:r>
      <w:r w:rsidR="00F35619">
        <w:t xml:space="preserve">Lawyer did not reveal situation to the vendor and vendor was forced to </w:t>
      </w:r>
      <w:r w:rsidR="006F5148">
        <w:t>‘vendor finance’ over a second property for the Purchaser</w:t>
      </w:r>
      <w:r w:rsidR="00F35619">
        <w:t>.</w:t>
      </w:r>
      <w:r w:rsidR="006F5148">
        <w:t xml:space="preserve"> Purchaser then went bankrupt and left debt to vendor. </w:t>
      </w:r>
    </w:p>
    <w:p w14:paraId="70C2BC84" w14:textId="365894A5" w:rsidR="006F5148" w:rsidRPr="006F5148" w:rsidRDefault="006F5148" w:rsidP="00CE13B9">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pPr>
      <w:r>
        <w:rPr>
          <w:b/>
        </w:rPr>
        <w:t xml:space="preserve">Held: </w:t>
      </w:r>
      <w:r>
        <w:t>Lawyer was responsible and in breach of fiduciary duty to the vendor.</w:t>
      </w:r>
    </w:p>
    <w:p w14:paraId="1740C84E" w14:textId="77777777" w:rsidR="005A03C9" w:rsidRPr="00893909" w:rsidRDefault="005A03C9" w:rsidP="005A03C9">
      <w:pPr>
        <w:pStyle w:val="NoSpacing"/>
      </w:pPr>
    </w:p>
    <w:p w14:paraId="162DF103" w14:textId="63E63489" w:rsidR="00BB59CB" w:rsidRPr="00BB59CB" w:rsidRDefault="00BB59CB" w:rsidP="00392BC9">
      <w:pPr>
        <w:pStyle w:val="NoSpacing"/>
        <w:numPr>
          <w:ilvl w:val="1"/>
          <w:numId w:val="67"/>
        </w:numPr>
      </w:pPr>
      <w:r>
        <w:rPr>
          <w:i/>
        </w:rPr>
        <w:t>Acting for lessor and lessee – PCPR 8.5.3</w:t>
      </w:r>
    </w:p>
    <w:p w14:paraId="28F0A9C1" w14:textId="2A689ED4" w:rsidR="00BB59CB" w:rsidRPr="00BB59CB" w:rsidRDefault="00BB59CB" w:rsidP="00BB59CB">
      <w:pPr>
        <w:pStyle w:val="NoSpacing"/>
        <w:ind w:left="1440"/>
      </w:pPr>
    </w:p>
    <w:p w14:paraId="0C3843EB" w14:textId="03B6291C" w:rsidR="006B44C3" w:rsidRPr="00ED1E21" w:rsidRDefault="006B44C3" w:rsidP="00392BC9">
      <w:pPr>
        <w:pStyle w:val="NoSpacing"/>
        <w:numPr>
          <w:ilvl w:val="1"/>
          <w:numId w:val="67"/>
        </w:numPr>
      </w:pPr>
      <w:r w:rsidRPr="00BF4782">
        <w:rPr>
          <w:i/>
        </w:rPr>
        <w:t>Acting for lender and borrower</w:t>
      </w:r>
      <w:r w:rsidR="009A5B8C">
        <w:t xml:space="preserve"> </w:t>
      </w:r>
      <w:r w:rsidR="0002085E">
        <w:t>– PCPR 8.5.</w:t>
      </w:r>
      <w:r w:rsidR="00BB59CB">
        <w:t xml:space="preserve">4 </w:t>
      </w:r>
      <w:r w:rsidR="009A5B8C">
        <w:t>–</w:t>
      </w:r>
      <w:r w:rsidRPr="00ED1E21">
        <w:t xml:space="preserve"> conflict may arise where the lawyer has information relevant to the interests of one client that is confidential to the other client.</w:t>
      </w:r>
    </w:p>
    <w:p w14:paraId="65923D0D" w14:textId="1138AAB5" w:rsidR="006B44C3" w:rsidRDefault="0099529C" w:rsidP="00392BC9">
      <w:pPr>
        <w:pStyle w:val="NoSpacing"/>
        <w:numPr>
          <w:ilvl w:val="2"/>
          <w:numId w:val="67"/>
        </w:numPr>
      </w:pPr>
      <w:r>
        <w:rPr>
          <w:i/>
        </w:rPr>
        <w:t>Farrington v Rowe McBride &amp; Partners –</w:t>
      </w:r>
      <w:r w:rsidR="006B44C3" w:rsidRPr="00ED1E21">
        <w:t xml:space="preserve"> the lawyer may discover information relevant to the risk the lender is undertaking, or the borrowers shaky financial position which cannot be disclosed to the lender </w:t>
      </w:r>
      <w:r w:rsidR="00EA6269">
        <w:t>without</w:t>
      </w:r>
      <w:r w:rsidR="006B44C3" w:rsidRPr="00ED1E21">
        <w:t xml:space="preserve"> breaching the confidence (and loyalty) owed to the borrower.</w:t>
      </w:r>
    </w:p>
    <w:p w14:paraId="65375FC1" w14:textId="77777777" w:rsidR="003C4901" w:rsidRDefault="003C4901" w:rsidP="003C4901">
      <w:pPr>
        <w:pStyle w:val="NoSpacing"/>
        <w:ind w:left="2160"/>
      </w:pPr>
    </w:p>
    <w:p w14:paraId="33D1DD90" w14:textId="77777777" w:rsidR="00B526EB" w:rsidRDefault="00B526EB" w:rsidP="003C4901">
      <w:pPr>
        <w:pStyle w:val="NoSpacing"/>
        <w:ind w:left="2160"/>
      </w:pPr>
    </w:p>
    <w:p w14:paraId="1BA9BBA5" w14:textId="77777777" w:rsidR="00E32C84" w:rsidRDefault="00E32C84" w:rsidP="003C4901">
      <w:pPr>
        <w:pStyle w:val="NoSpacing"/>
        <w:ind w:left="2160"/>
      </w:pPr>
    </w:p>
    <w:p w14:paraId="59907A89" w14:textId="77777777" w:rsidR="00E32C84" w:rsidRDefault="00E32C84" w:rsidP="003C4901">
      <w:pPr>
        <w:pStyle w:val="NoSpacing"/>
        <w:ind w:left="2160"/>
      </w:pPr>
    </w:p>
    <w:p w14:paraId="16B9D28F" w14:textId="77777777" w:rsidR="00E32C84" w:rsidRDefault="00E32C84" w:rsidP="003C4901">
      <w:pPr>
        <w:pStyle w:val="NoSpacing"/>
        <w:ind w:left="2160"/>
      </w:pPr>
    </w:p>
    <w:p w14:paraId="71CF63EE" w14:textId="77777777" w:rsidR="00E32C84" w:rsidRDefault="00E32C84" w:rsidP="003C4901">
      <w:pPr>
        <w:pStyle w:val="NoSpacing"/>
        <w:ind w:left="2160"/>
      </w:pPr>
    </w:p>
    <w:p w14:paraId="3C399334" w14:textId="77777777" w:rsidR="00E32C84" w:rsidRDefault="00E32C84" w:rsidP="003C4901">
      <w:pPr>
        <w:pStyle w:val="NoSpacing"/>
        <w:ind w:left="2160"/>
      </w:pPr>
    </w:p>
    <w:p w14:paraId="07D10165" w14:textId="77777777" w:rsidR="00E32C84" w:rsidRDefault="00E32C84" w:rsidP="003C4901">
      <w:pPr>
        <w:pStyle w:val="NoSpacing"/>
        <w:ind w:left="2160"/>
      </w:pPr>
    </w:p>
    <w:p w14:paraId="782F2873" w14:textId="77777777" w:rsidR="00E32C84" w:rsidRDefault="00E32C84" w:rsidP="003C4901">
      <w:pPr>
        <w:pStyle w:val="NoSpacing"/>
        <w:ind w:left="2160"/>
      </w:pPr>
    </w:p>
    <w:p w14:paraId="442FBCC9" w14:textId="77777777" w:rsidR="00E32C84" w:rsidRDefault="00E32C84" w:rsidP="003C4901">
      <w:pPr>
        <w:pStyle w:val="NoSpacing"/>
        <w:ind w:left="2160"/>
      </w:pPr>
    </w:p>
    <w:p w14:paraId="766A5258" w14:textId="77777777" w:rsidR="00E32C84" w:rsidRDefault="00E32C84" w:rsidP="003C4901">
      <w:pPr>
        <w:pStyle w:val="NoSpacing"/>
        <w:ind w:left="2160"/>
      </w:pPr>
    </w:p>
    <w:p w14:paraId="67E5E650" w14:textId="77777777" w:rsidR="00E32C84" w:rsidRDefault="00E32C84" w:rsidP="003C4901">
      <w:pPr>
        <w:pStyle w:val="NoSpacing"/>
        <w:ind w:left="2160"/>
      </w:pPr>
    </w:p>
    <w:p w14:paraId="79C17DED" w14:textId="77777777" w:rsidR="00E32C84" w:rsidRDefault="00E32C84" w:rsidP="003C4901">
      <w:pPr>
        <w:pStyle w:val="NoSpacing"/>
        <w:ind w:left="2160"/>
      </w:pPr>
    </w:p>
    <w:p w14:paraId="0F08D866" w14:textId="77777777" w:rsidR="00E32C84" w:rsidRDefault="00E32C84" w:rsidP="003C4901">
      <w:pPr>
        <w:pStyle w:val="NoSpacing"/>
        <w:ind w:left="2160"/>
      </w:pPr>
    </w:p>
    <w:p w14:paraId="616278BA" w14:textId="77777777" w:rsidR="00E32C84" w:rsidRDefault="00E32C84" w:rsidP="003C4901">
      <w:pPr>
        <w:pStyle w:val="NoSpacing"/>
        <w:ind w:left="2160"/>
      </w:pPr>
    </w:p>
    <w:p w14:paraId="19BE4FD7" w14:textId="77777777" w:rsidR="00E32C84" w:rsidRDefault="00E32C84" w:rsidP="003C4901">
      <w:pPr>
        <w:pStyle w:val="NoSpacing"/>
        <w:ind w:left="2160"/>
      </w:pPr>
    </w:p>
    <w:p w14:paraId="35099D89" w14:textId="77777777" w:rsidR="00E32C84" w:rsidRDefault="00E32C84" w:rsidP="003C4901">
      <w:pPr>
        <w:pStyle w:val="NoSpacing"/>
        <w:ind w:left="2160"/>
      </w:pPr>
    </w:p>
    <w:p w14:paraId="4CED4D9C" w14:textId="77777777" w:rsidR="00E32C84" w:rsidRDefault="00E32C84" w:rsidP="003C4901">
      <w:pPr>
        <w:pStyle w:val="NoSpacing"/>
        <w:ind w:left="2160"/>
      </w:pPr>
    </w:p>
    <w:p w14:paraId="46C74665" w14:textId="77777777" w:rsidR="00E32C84" w:rsidRDefault="00E32C84" w:rsidP="003C4901">
      <w:pPr>
        <w:pStyle w:val="NoSpacing"/>
        <w:ind w:left="2160"/>
      </w:pPr>
    </w:p>
    <w:p w14:paraId="65E459AB" w14:textId="77777777" w:rsidR="00E32C84" w:rsidRDefault="00E32C84" w:rsidP="003C4901">
      <w:pPr>
        <w:pStyle w:val="NoSpacing"/>
        <w:ind w:left="2160"/>
      </w:pPr>
    </w:p>
    <w:p w14:paraId="0450F22E" w14:textId="77777777" w:rsidR="00E32C84" w:rsidRDefault="00E32C84" w:rsidP="003C4901">
      <w:pPr>
        <w:pStyle w:val="NoSpacing"/>
        <w:ind w:left="2160"/>
      </w:pPr>
    </w:p>
    <w:p w14:paraId="30678842" w14:textId="77777777" w:rsidR="00E32C84" w:rsidRDefault="00E32C84" w:rsidP="003C4901">
      <w:pPr>
        <w:pStyle w:val="NoSpacing"/>
        <w:ind w:left="2160"/>
      </w:pPr>
    </w:p>
    <w:p w14:paraId="0EE312A3" w14:textId="77777777" w:rsidR="00E32C84" w:rsidRDefault="00E32C84" w:rsidP="003C4901">
      <w:pPr>
        <w:pStyle w:val="NoSpacing"/>
        <w:ind w:left="2160"/>
      </w:pPr>
    </w:p>
    <w:p w14:paraId="384EB5B5" w14:textId="77777777" w:rsidR="00E32C84" w:rsidRDefault="00E32C84" w:rsidP="003C4901">
      <w:pPr>
        <w:pStyle w:val="NoSpacing"/>
        <w:ind w:left="2160"/>
      </w:pPr>
    </w:p>
    <w:p w14:paraId="3E9DA6F6" w14:textId="77777777" w:rsidR="00E32C84" w:rsidRDefault="00E32C84" w:rsidP="003C4901">
      <w:pPr>
        <w:pStyle w:val="NoSpacing"/>
        <w:ind w:left="2160"/>
      </w:pPr>
    </w:p>
    <w:p w14:paraId="411B0CC6" w14:textId="77777777" w:rsidR="00E32C84" w:rsidRDefault="00E32C84" w:rsidP="003C4901">
      <w:pPr>
        <w:pStyle w:val="NoSpacing"/>
        <w:ind w:left="2160"/>
      </w:pPr>
    </w:p>
    <w:p w14:paraId="45C5E6DD" w14:textId="77777777" w:rsidR="00E32C84" w:rsidRDefault="00E32C84" w:rsidP="003C4901">
      <w:pPr>
        <w:pStyle w:val="NoSpacing"/>
        <w:ind w:left="2160"/>
      </w:pPr>
    </w:p>
    <w:p w14:paraId="54368B71" w14:textId="77777777" w:rsidR="00E32C84" w:rsidRDefault="00E32C84" w:rsidP="003C4901">
      <w:pPr>
        <w:pStyle w:val="NoSpacing"/>
        <w:ind w:left="2160"/>
      </w:pPr>
    </w:p>
    <w:p w14:paraId="4B90621D" w14:textId="77777777" w:rsidR="00E32C84" w:rsidRDefault="00E32C84" w:rsidP="003C4901">
      <w:pPr>
        <w:pStyle w:val="NoSpacing"/>
        <w:ind w:left="2160"/>
      </w:pPr>
    </w:p>
    <w:p w14:paraId="7D10DA3C" w14:textId="77777777" w:rsidR="00E32C84" w:rsidRDefault="00E32C84" w:rsidP="003C4901">
      <w:pPr>
        <w:pStyle w:val="NoSpacing"/>
        <w:ind w:left="2160"/>
      </w:pPr>
    </w:p>
    <w:p w14:paraId="0A9118A0" w14:textId="77777777" w:rsidR="00E32C84" w:rsidRDefault="00E32C84" w:rsidP="003C4901">
      <w:pPr>
        <w:pStyle w:val="NoSpacing"/>
        <w:ind w:left="2160"/>
      </w:pPr>
    </w:p>
    <w:p w14:paraId="7B6A6A18" w14:textId="77777777" w:rsidR="00E32C84" w:rsidRDefault="00E32C84" w:rsidP="003C4901">
      <w:pPr>
        <w:pStyle w:val="NoSpacing"/>
        <w:ind w:left="2160"/>
      </w:pPr>
    </w:p>
    <w:p w14:paraId="3C750EDC" w14:textId="77777777" w:rsidR="00E32C84" w:rsidRDefault="00E32C84" w:rsidP="003C4901">
      <w:pPr>
        <w:pStyle w:val="NoSpacing"/>
        <w:ind w:left="2160"/>
      </w:pPr>
    </w:p>
    <w:p w14:paraId="71C7D63A" w14:textId="77777777" w:rsidR="00E32C84" w:rsidRDefault="00E32C84" w:rsidP="003C4901">
      <w:pPr>
        <w:pStyle w:val="NoSpacing"/>
        <w:ind w:left="2160"/>
      </w:pPr>
    </w:p>
    <w:p w14:paraId="3C4821E0" w14:textId="5515A589" w:rsidR="00966BDF" w:rsidRDefault="000F0212" w:rsidP="00966BDF">
      <w:pPr>
        <w:pStyle w:val="NoSpacing"/>
        <w:rPr>
          <w:rFonts w:cs="Times New Roman"/>
          <w:b/>
          <w:sz w:val="36"/>
          <w:szCs w:val="36"/>
          <w:u w:val="single"/>
        </w:rPr>
      </w:pPr>
      <w:r>
        <w:rPr>
          <w:rFonts w:cs="Times New Roman"/>
          <w:b/>
          <w:sz w:val="36"/>
          <w:szCs w:val="36"/>
          <w:u w:val="single"/>
        </w:rPr>
        <w:lastRenderedPageBreak/>
        <w:t xml:space="preserve">Successive Conflicts – </w:t>
      </w:r>
      <w:r w:rsidR="00966BDF">
        <w:rPr>
          <w:rFonts w:cs="Times New Roman"/>
          <w:b/>
          <w:sz w:val="36"/>
          <w:szCs w:val="36"/>
          <w:u w:val="single"/>
        </w:rPr>
        <w:t>Acting against a Former Client</w:t>
      </w:r>
    </w:p>
    <w:p w14:paraId="4B93C90A" w14:textId="77777777" w:rsidR="00966BDF" w:rsidRPr="00966BDF" w:rsidRDefault="00966BDF" w:rsidP="00966BDF">
      <w:pPr>
        <w:pStyle w:val="NoSpacing"/>
        <w:rPr>
          <w:rFonts w:cs="Times New Roman"/>
          <w:szCs w:val="24"/>
        </w:rPr>
      </w:pPr>
    </w:p>
    <w:p w14:paraId="1D27ACAB" w14:textId="77777777" w:rsidR="00E605AB" w:rsidRPr="003C2F56" w:rsidRDefault="00E605AB" w:rsidP="00E605AB">
      <w:pPr>
        <w:pStyle w:val="NoSpacing"/>
        <w:rPr>
          <w:rFonts w:cs="Times New Roman"/>
          <w:b/>
          <w:i/>
          <w:szCs w:val="24"/>
          <w:u w:val="single"/>
        </w:rPr>
      </w:pPr>
      <w:r w:rsidRPr="003C2F56">
        <w:rPr>
          <w:rFonts w:cs="Times New Roman"/>
          <w:b/>
          <w:i/>
          <w:szCs w:val="24"/>
          <w:u w:val="single"/>
        </w:rPr>
        <w:t>General</w:t>
      </w:r>
    </w:p>
    <w:p w14:paraId="1617EAE0" w14:textId="77777777" w:rsidR="00E605AB" w:rsidRDefault="00E605AB" w:rsidP="00E605AB">
      <w:pPr>
        <w:pStyle w:val="NoSpacing"/>
        <w:rPr>
          <w:rFonts w:cs="Times New Roman"/>
          <w:szCs w:val="24"/>
        </w:rPr>
      </w:pPr>
    </w:p>
    <w:p w14:paraId="2E9A432E" w14:textId="282A5E55" w:rsidR="00E605AB" w:rsidRDefault="00E605AB" w:rsidP="00392BC9">
      <w:pPr>
        <w:pStyle w:val="NoSpacing"/>
        <w:numPr>
          <w:ilvl w:val="0"/>
          <w:numId w:val="68"/>
        </w:numPr>
      </w:pPr>
      <w:r w:rsidRPr="00C83504">
        <w:rPr>
          <w:rFonts w:cs="Times New Roman"/>
          <w:b/>
          <w:i/>
          <w:szCs w:val="24"/>
        </w:rPr>
        <w:t>Purpose</w:t>
      </w:r>
      <w:r>
        <w:rPr>
          <w:rFonts w:cs="Times New Roman"/>
          <w:i/>
          <w:szCs w:val="24"/>
        </w:rPr>
        <w:t xml:space="preserve"> – </w:t>
      </w:r>
      <w:r w:rsidR="000616BC">
        <w:t xml:space="preserve">A lawyer may owe duties to a former client and an existing client whose </w:t>
      </w:r>
      <w:r w:rsidR="00240374">
        <w:t>interest’s</w:t>
      </w:r>
      <w:r w:rsidR="000616BC">
        <w:t xml:space="preserve"> conflict and therefore are</w:t>
      </w:r>
      <w:r w:rsidR="002E251C">
        <w:t xml:space="preserve"> termered</w:t>
      </w:r>
      <w:r w:rsidR="000616BC">
        <w:t xml:space="preserve"> ‘successive conflicts’.</w:t>
      </w:r>
      <w:r w:rsidR="00817624">
        <w:t xml:space="preserve"> </w:t>
      </w:r>
    </w:p>
    <w:p w14:paraId="16E25AEC" w14:textId="77777777" w:rsidR="00B167EF" w:rsidRPr="00B167EF" w:rsidRDefault="00B167EF" w:rsidP="00B167EF">
      <w:pPr>
        <w:pStyle w:val="NoSpacing"/>
        <w:ind w:left="1440"/>
      </w:pPr>
    </w:p>
    <w:p w14:paraId="7FE1F66F" w14:textId="1B567E70" w:rsidR="00B852F3" w:rsidRDefault="00B852F3" w:rsidP="00392BC9">
      <w:pPr>
        <w:pStyle w:val="NoSpacing"/>
        <w:numPr>
          <w:ilvl w:val="1"/>
          <w:numId w:val="68"/>
        </w:numPr>
      </w:pPr>
      <w:r w:rsidRPr="00B852F3">
        <w:rPr>
          <w:rFonts w:cs="Times New Roman"/>
          <w:i/>
          <w:szCs w:val="24"/>
        </w:rPr>
        <w:t xml:space="preserve">Duty of Confidentiality </w:t>
      </w:r>
      <w:r w:rsidR="00B167EF">
        <w:rPr>
          <w:rFonts w:cs="Times New Roman"/>
          <w:i/>
          <w:szCs w:val="24"/>
        </w:rPr>
        <w:t>Survives</w:t>
      </w:r>
      <w:r w:rsidRPr="00B852F3">
        <w:rPr>
          <w:rFonts w:cs="Times New Roman"/>
          <w:i/>
          <w:szCs w:val="24"/>
        </w:rPr>
        <w:t xml:space="preserve"> –</w:t>
      </w:r>
      <w:r>
        <w:t xml:space="preserve"> The duty of confidentiality </w:t>
      </w:r>
      <w:r w:rsidR="00A257E4">
        <w:t>survives</w:t>
      </w:r>
      <w:r>
        <w:t xml:space="preserve"> </w:t>
      </w:r>
      <w:r w:rsidR="003E3517">
        <w:t xml:space="preserve">– whether imposed by contract or in equity – and does not dissolve once the retainer ends </w:t>
      </w:r>
      <w:r w:rsidR="007B55FC">
        <w:t xml:space="preserve">as the information does not </w:t>
      </w:r>
      <w:r w:rsidR="00A257E4">
        <w:t>lose</w:t>
      </w:r>
      <w:r w:rsidR="007B55FC">
        <w:t xml:space="preserve"> its confidential nature simply because the retainer has been completed.</w:t>
      </w:r>
    </w:p>
    <w:p w14:paraId="603D4E3A" w14:textId="56C21BD8" w:rsidR="00A257E4" w:rsidRDefault="00A257E4" w:rsidP="00392BC9">
      <w:pPr>
        <w:pStyle w:val="NoSpacing"/>
        <w:numPr>
          <w:ilvl w:val="2"/>
          <w:numId w:val="68"/>
        </w:numPr>
      </w:pPr>
      <w:r>
        <w:rPr>
          <w:i/>
        </w:rPr>
        <w:t xml:space="preserve">Wan v McDonald </w:t>
      </w:r>
    </w:p>
    <w:p w14:paraId="339FF79E" w14:textId="77777777" w:rsidR="006F6FE3" w:rsidRDefault="006F6FE3" w:rsidP="006F6FE3">
      <w:pPr>
        <w:pStyle w:val="NoSpacing"/>
        <w:ind w:left="720"/>
      </w:pPr>
    </w:p>
    <w:p w14:paraId="4198C888" w14:textId="1E64C96B" w:rsidR="00BF2666" w:rsidRPr="00A07874" w:rsidRDefault="00250406" w:rsidP="00392BC9">
      <w:pPr>
        <w:pStyle w:val="NoSpacing"/>
        <w:numPr>
          <w:ilvl w:val="0"/>
          <w:numId w:val="68"/>
        </w:numPr>
      </w:pPr>
      <w:r>
        <w:rPr>
          <w:rFonts w:cs="Times New Roman"/>
          <w:b/>
          <w:i/>
          <w:szCs w:val="24"/>
        </w:rPr>
        <w:t xml:space="preserve">Acting </w:t>
      </w:r>
      <w:r w:rsidR="00676717">
        <w:rPr>
          <w:rFonts w:cs="Times New Roman"/>
          <w:b/>
          <w:i/>
          <w:szCs w:val="24"/>
        </w:rPr>
        <w:t>a</w:t>
      </w:r>
      <w:r w:rsidR="00817624" w:rsidRPr="006F6FE3">
        <w:rPr>
          <w:rFonts w:cs="Times New Roman"/>
          <w:b/>
          <w:i/>
          <w:szCs w:val="24"/>
        </w:rPr>
        <w:t>gainst a Former Client</w:t>
      </w:r>
      <w:r w:rsidR="00817624" w:rsidRPr="00375A43">
        <w:rPr>
          <w:rFonts w:cs="Times New Roman"/>
          <w:i/>
          <w:szCs w:val="24"/>
        </w:rPr>
        <w:t xml:space="preserve"> </w:t>
      </w:r>
      <w:r w:rsidR="00A219B3">
        <w:rPr>
          <w:rFonts w:cs="Times New Roman"/>
          <w:i/>
          <w:szCs w:val="24"/>
        </w:rPr>
        <w:t>– [</w:t>
      </w:r>
      <w:r w:rsidR="00A219B3" w:rsidRPr="00A501DE">
        <w:rPr>
          <w:rFonts w:cs="Times New Roman"/>
          <w:b/>
          <w:i/>
          <w:szCs w:val="24"/>
          <w:u w:val="single"/>
        </w:rPr>
        <w:t>Judicial Intervention next page</w:t>
      </w:r>
      <w:r w:rsidR="00A219B3">
        <w:rPr>
          <w:rFonts w:cs="Times New Roman"/>
          <w:i/>
          <w:szCs w:val="24"/>
        </w:rPr>
        <w:t xml:space="preserve">] </w:t>
      </w:r>
      <w:r w:rsidR="00817624" w:rsidRPr="00375A43">
        <w:rPr>
          <w:rFonts w:cs="Times New Roman"/>
          <w:i/>
          <w:szCs w:val="24"/>
        </w:rPr>
        <w:t>–</w:t>
      </w:r>
      <w:r w:rsidR="00240374">
        <w:rPr>
          <w:rFonts w:cs="Times New Roman"/>
          <w:i/>
          <w:szCs w:val="24"/>
        </w:rPr>
        <w:t xml:space="preserve"> </w:t>
      </w:r>
      <w:r w:rsidR="00C94E58">
        <w:rPr>
          <w:rFonts w:cs="Times New Roman"/>
          <w:szCs w:val="24"/>
        </w:rPr>
        <w:t>A fiduciary cannot act at the same time both for a client and against the client.</w:t>
      </w:r>
    </w:p>
    <w:p w14:paraId="42F70156" w14:textId="4A26A83C" w:rsidR="00A07874" w:rsidRPr="00242D35" w:rsidRDefault="00A07874" w:rsidP="00392BC9">
      <w:pPr>
        <w:pStyle w:val="NoSpacing"/>
        <w:numPr>
          <w:ilvl w:val="1"/>
          <w:numId w:val="68"/>
        </w:numPr>
      </w:pPr>
      <w:r w:rsidRPr="00A07874">
        <w:rPr>
          <w:rFonts w:cs="Times New Roman"/>
          <w:i/>
          <w:szCs w:val="24"/>
        </w:rPr>
        <w:t>Prince Jefri Bolkiah v KPMG</w:t>
      </w:r>
    </w:p>
    <w:p w14:paraId="70975361" w14:textId="77777777" w:rsidR="00242D35" w:rsidRPr="00F168E6" w:rsidRDefault="00242D35" w:rsidP="00F168E6">
      <w:pPr>
        <w:pStyle w:val="NoSpacing"/>
      </w:pPr>
    </w:p>
    <w:p w14:paraId="14AA9EB5" w14:textId="3EA3C839" w:rsidR="00242D35" w:rsidRDefault="002B3B22" w:rsidP="00392BC9">
      <w:pPr>
        <w:pStyle w:val="NoSpacing"/>
        <w:numPr>
          <w:ilvl w:val="1"/>
          <w:numId w:val="68"/>
        </w:numPr>
      </w:pPr>
      <w:r>
        <w:rPr>
          <w:i/>
        </w:rPr>
        <w:t>Spincode</w:t>
      </w:r>
      <w:r w:rsidR="00403248">
        <w:rPr>
          <w:i/>
        </w:rPr>
        <w:t xml:space="preserve"> Pty Ltd v Look Software Pty Ltd </w:t>
      </w:r>
      <w:r w:rsidR="00403248">
        <w:t>– ‘Danger of misuse of confidential information is not the touchstone for invention when a solicitor acts against a former client.’ Per Young J.</w:t>
      </w:r>
    </w:p>
    <w:p w14:paraId="2F3F9DD3" w14:textId="77777777" w:rsidR="002A19A2" w:rsidRDefault="002A19A2" w:rsidP="002A19A2">
      <w:pPr>
        <w:pStyle w:val="ListParagraph"/>
      </w:pPr>
    </w:p>
    <w:p w14:paraId="09CA68DC" w14:textId="7151DC08" w:rsidR="008A3345" w:rsidRDefault="008A3345" w:rsidP="00392BC9">
      <w:pPr>
        <w:pStyle w:val="NoSpacing"/>
        <w:numPr>
          <w:ilvl w:val="0"/>
          <w:numId w:val="68"/>
        </w:numPr>
      </w:pPr>
      <w:r w:rsidRPr="008151AB">
        <w:rPr>
          <w:b/>
        </w:rPr>
        <w:t>Acting for More than One Party</w:t>
      </w:r>
      <w:r>
        <w:t xml:space="preserve"> – a </w:t>
      </w:r>
    </w:p>
    <w:p w14:paraId="6C730E66" w14:textId="5EA19237" w:rsidR="008A3345" w:rsidRPr="00AF6091" w:rsidRDefault="00A62082" w:rsidP="00392BC9">
      <w:pPr>
        <w:pStyle w:val="NoSpacing"/>
        <w:numPr>
          <w:ilvl w:val="1"/>
          <w:numId w:val="68"/>
        </w:numPr>
      </w:pPr>
      <w:r>
        <w:rPr>
          <w:rFonts w:cs="Times New Roman"/>
          <w:i/>
          <w:szCs w:val="24"/>
        </w:rPr>
        <w:t>‘</w:t>
      </w:r>
      <w:r w:rsidR="000435CA" w:rsidRPr="00147C91">
        <w:rPr>
          <w:rFonts w:cs="Times New Roman"/>
          <w:i/>
          <w:szCs w:val="24"/>
        </w:rPr>
        <w:t xml:space="preserve">a solicitor who tries to act for both parties puts himself in a position that he must be </w:t>
      </w:r>
      <w:r w:rsidR="000435CA" w:rsidRPr="00485FEA">
        <w:rPr>
          <w:rFonts w:cs="Times New Roman"/>
          <w:b/>
          <w:i/>
          <w:szCs w:val="24"/>
        </w:rPr>
        <w:t>liable to one or the other whatever he does</w:t>
      </w:r>
      <w:r w:rsidR="000435CA" w:rsidRPr="00147C91">
        <w:rPr>
          <w:rFonts w:cs="Times New Roman"/>
          <w:i/>
          <w:szCs w:val="24"/>
        </w:rPr>
        <w:t xml:space="preserve">.. </w:t>
      </w:r>
      <w:r w:rsidR="000435CA" w:rsidRPr="00485FEA">
        <w:rPr>
          <w:rFonts w:cs="Times New Roman"/>
          <w:b/>
          <w:i/>
          <w:szCs w:val="24"/>
        </w:rPr>
        <w:t xml:space="preserve">it would be his fault for mixing himself with the transaction in which he has two entirely inconsistent interests and solicitors who try to act for both </w:t>
      </w:r>
      <w:r w:rsidR="00D1089A" w:rsidRPr="00485FEA">
        <w:rPr>
          <w:rFonts w:cs="Times New Roman"/>
          <w:b/>
          <w:i/>
          <w:szCs w:val="24"/>
        </w:rPr>
        <w:t>[parties]</w:t>
      </w:r>
      <w:r w:rsidR="000435CA" w:rsidRPr="00485FEA">
        <w:rPr>
          <w:rFonts w:cs="Times New Roman"/>
          <w:b/>
          <w:i/>
          <w:szCs w:val="24"/>
        </w:rPr>
        <w:t xml:space="preserve"> appreciate that they run a very serious risk of liability to one or the other owing to the duties and obligations which such curious relation puts upon them</w:t>
      </w:r>
      <w:r w:rsidR="000435CA" w:rsidRPr="00147C91">
        <w:rPr>
          <w:rFonts w:cs="Times New Roman"/>
          <w:i/>
          <w:szCs w:val="24"/>
        </w:rPr>
        <w:t>. The principle behind the law in this area is that ‘no man can serve two masters’</w:t>
      </w:r>
    </w:p>
    <w:p w14:paraId="74291F32" w14:textId="571CE0EE" w:rsidR="00AF6091" w:rsidRPr="00AF6091" w:rsidRDefault="00EC7914" w:rsidP="00392BC9">
      <w:pPr>
        <w:pStyle w:val="NoSpacing"/>
        <w:numPr>
          <w:ilvl w:val="2"/>
          <w:numId w:val="68"/>
        </w:numPr>
      </w:pPr>
      <w:r>
        <w:rPr>
          <w:rFonts w:cs="Times New Roman"/>
          <w:i/>
          <w:szCs w:val="24"/>
        </w:rPr>
        <w:t>Moddy v Cox</w:t>
      </w:r>
    </w:p>
    <w:p w14:paraId="35257BA4" w14:textId="77777777" w:rsidR="008A3345" w:rsidRPr="008A3345" w:rsidRDefault="008A3345" w:rsidP="008A3345">
      <w:pPr>
        <w:pStyle w:val="NoSpacing"/>
      </w:pPr>
    </w:p>
    <w:p w14:paraId="4C5B0C98" w14:textId="36A58834" w:rsidR="00460A7F" w:rsidRPr="00A74ABA" w:rsidRDefault="00610B03" w:rsidP="00A74ABA">
      <w:pPr>
        <w:pStyle w:val="NoSpacing"/>
        <w:numPr>
          <w:ilvl w:val="0"/>
          <w:numId w:val="68"/>
        </w:numPr>
        <w:rPr>
          <w:iCs/>
        </w:rPr>
      </w:pPr>
      <w:r>
        <w:rPr>
          <w:b/>
          <w:i/>
          <w:iCs/>
        </w:rPr>
        <w:t xml:space="preserve">Lawyer Acting as a Witness </w:t>
      </w:r>
      <w:r w:rsidRPr="00610B03">
        <w:rPr>
          <w:iCs/>
        </w:rPr>
        <w:t xml:space="preserve">– </w:t>
      </w:r>
      <w:r w:rsidR="00460A7F">
        <w:rPr>
          <w:iCs/>
        </w:rPr>
        <w:t xml:space="preserve">Lawyer who acts as a witness will have a conflict of interest in their capacity as </w:t>
      </w:r>
      <w:r w:rsidR="00A74ABA">
        <w:rPr>
          <w:iCs/>
        </w:rPr>
        <w:t xml:space="preserve">a legal adviser per </w:t>
      </w:r>
      <w:r w:rsidR="00A74ABA" w:rsidRPr="00A74ABA">
        <w:rPr>
          <w:i/>
          <w:iCs/>
        </w:rPr>
        <w:t>Corporate Systems Publishing v Lingard</w:t>
      </w:r>
    </w:p>
    <w:p w14:paraId="18249D37" w14:textId="1C887E16" w:rsidR="00A64CA3" w:rsidRDefault="00A64CA3" w:rsidP="00A74ABA">
      <w:pPr>
        <w:pStyle w:val="NoSpacing"/>
        <w:numPr>
          <w:ilvl w:val="1"/>
          <w:numId w:val="68"/>
        </w:numPr>
        <w:rPr>
          <w:iCs/>
        </w:rPr>
      </w:pPr>
      <w:r>
        <w:rPr>
          <w:i/>
          <w:iCs/>
        </w:rPr>
        <w:t xml:space="preserve">Cannot be called where ‘Real Possibility’ </w:t>
      </w:r>
      <w:r>
        <w:rPr>
          <w:iCs/>
        </w:rPr>
        <w:t xml:space="preserve">– A </w:t>
      </w:r>
      <w:r w:rsidR="00422111">
        <w:rPr>
          <w:iCs/>
        </w:rPr>
        <w:t>solicitor</w:t>
      </w:r>
      <w:r>
        <w:rPr>
          <w:iCs/>
        </w:rPr>
        <w:t xml:space="preserve"> cannot act where there is real possibility that they may be a witness </w:t>
      </w:r>
    </w:p>
    <w:p w14:paraId="425D63DE" w14:textId="31AF455E" w:rsidR="00A64CA3" w:rsidRPr="00A64CA3" w:rsidRDefault="00A64CA3" w:rsidP="00A64CA3">
      <w:pPr>
        <w:pStyle w:val="NoSpacing"/>
        <w:numPr>
          <w:ilvl w:val="2"/>
          <w:numId w:val="68"/>
        </w:numPr>
        <w:rPr>
          <w:iCs/>
        </w:rPr>
      </w:pPr>
      <w:r>
        <w:rPr>
          <w:i/>
          <w:iCs/>
        </w:rPr>
        <w:t>Clay v Karlson</w:t>
      </w:r>
    </w:p>
    <w:p w14:paraId="4FAFF463" w14:textId="77777777" w:rsidR="00A64CA3" w:rsidRPr="00A64CA3" w:rsidRDefault="00A64CA3" w:rsidP="00A64CA3">
      <w:pPr>
        <w:pStyle w:val="NoSpacing"/>
        <w:ind w:left="1440"/>
        <w:rPr>
          <w:iCs/>
        </w:rPr>
      </w:pPr>
    </w:p>
    <w:p w14:paraId="2EA015AD" w14:textId="1E8877EB" w:rsidR="00CB474F" w:rsidRDefault="00CB474F" w:rsidP="00A64CA3">
      <w:pPr>
        <w:pStyle w:val="NoSpacing"/>
        <w:numPr>
          <w:ilvl w:val="1"/>
          <w:numId w:val="68"/>
        </w:numPr>
        <w:rPr>
          <w:iCs/>
        </w:rPr>
      </w:pPr>
      <w:r>
        <w:rPr>
          <w:i/>
          <w:iCs/>
        </w:rPr>
        <w:t xml:space="preserve">Forced to Defend Conduct </w:t>
      </w:r>
      <w:r>
        <w:rPr>
          <w:iCs/>
        </w:rPr>
        <w:t>– The solicitor – in their capacity as a witness – would be forced to defend conduct and their independence to the client is in question.</w:t>
      </w:r>
    </w:p>
    <w:p w14:paraId="746D46E3" w14:textId="478AE13B" w:rsidR="00CB474F" w:rsidRPr="00A64CA3" w:rsidRDefault="00206AB4" w:rsidP="00A64CA3">
      <w:pPr>
        <w:pStyle w:val="NoSpacing"/>
        <w:numPr>
          <w:ilvl w:val="2"/>
          <w:numId w:val="68"/>
        </w:numPr>
        <w:rPr>
          <w:iCs/>
        </w:rPr>
      </w:pPr>
      <w:r>
        <w:rPr>
          <w:i/>
          <w:iCs/>
        </w:rPr>
        <w:t>Afkos Indutries v Pullinger Stewart</w:t>
      </w:r>
    </w:p>
    <w:p w14:paraId="5A742690" w14:textId="77777777" w:rsidR="00A64CA3" w:rsidRPr="00A74ABA" w:rsidRDefault="00A64CA3" w:rsidP="00A64CA3">
      <w:pPr>
        <w:pStyle w:val="NoSpacing"/>
        <w:rPr>
          <w:iCs/>
        </w:rPr>
      </w:pPr>
    </w:p>
    <w:p w14:paraId="000A6668" w14:textId="19959044" w:rsidR="00063645" w:rsidRPr="00063645" w:rsidRDefault="00063645" w:rsidP="00063645">
      <w:pPr>
        <w:pStyle w:val="NoSpacing"/>
        <w:numPr>
          <w:ilvl w:val="0"/>
          <w:numId w:val="68"/>
        </w:numPr>
        <w:rPr>
          <w:iCs/>
        </w:rPr>
      </w:pPr>
      <w:r w:rsidRPr="00063645">
        <w:rPr>
          <w:b/>
        </w:rPr>
        <w:t>Family law matters [see later after judicial intervention]</w:t>
      </w:r>
    </w:p>
    <w:p w14:paraId="63EC6C7A" w14:textId="77777777" w:rsidR="00063645" w:rsidRPr="00063645" w:rsidRDefault="00063645" w:rsidP="00063645">
      <w:pPr>
        <w:pStyle w:val="NoSpacing"/>
        <w:ind w:left="720"/>
      </w:pPr>
    </w:p>
    <w:p w14:paraId="0760FFBD" w14:textId="369668EA" w:rsidR="002A19A2" w:rsidRDefault="002A19A2" w:rsidP="00392BC9">
      <w:pPr>
        <w:pStyle w:val="NoSpacing"/>
        <w:numPr>
          <w:ilvl w:val="0"/>
          <w:numId w:val="68"/>
        </w:numPr>
      </w:pPr>
      <w:r>
        <w:rPr>
          <w:b/>
        </w:rPr>
        <w:t>See Judicial Intervention [next page]</w:t>
      </w:r>
    </w:p>
    <w:p w14:paraId="3175B93F" w14:textId="77777777" w:rsidR="00CB5501" w:rsidRDefault="00CB5501" w:rsidP="00CB5501">
      <w:pPr>
        <w:pStyle w:val="NoSpacing"/>
        <w:ind w:left="720"/>
      </w:pPr>
    </w:p>
    <w:p w14:paraId="21587224" w14:textId="77777777" w:rsidR="003A03F9" w:rsidRDefault="003A03F9" w:rsidP="00CB5501">
      <w:pPr>
        <w:pStyle w:val="NoSpacing"/>
        <w:ind w:left="720"/>
      </w:pPr>
    </w:p>
    <w:p w14:paraId="591F8387" w14:textId="77777777" w:rsidR="003A03F9" w:rsidRDefault="003A03F9" w:rsidP="00CB5501">
      <w:pPr>
        <w:pStyle w:val="NoSpacing"/>
        <w:ind w:left="720"/>
      </w:pPr>
    </w:p>
    <w:p w14:paraId="6C0A8937" w14:textId="77777777" w:rsidR="00DC78FE" w:rsidRDefault="00DC78FE" w:rsidP="00CB5501">
      <w:pPr>
        <w:pStyle w:val="NoSpacing"/>
        <w:ind w:left="720"/>
      </w:pPr>
    </w:p>
    <w:p w14:paraId="6B3EE390" w14:textId="77777777" w:rsidR="00DC78FE" w:rsidRDefault="00DC78FE" w:rsidP="00CB5501">
      <w:pPr>
        <w:pStyle w:val="NoSpacing"/>
        <w:ind w:left="720"/>
      </w:pPr>
    </w:p>
    <w:p w14:paraId="5A7A44F1" w14:textId="77777777" w:rsidR="003A03F9" w:rsidRDefault="003A03F9" w:rsidP="00CB5501">
      <w:pPr>
        <w:pStyle w:val="NoSpacing"/>
        <w:ind w:left="720"/>
      </w:pPr>
    </w:p>
    <w:p w14:paraId="20C4D36E" w14:textId="561C172E" w:rsidR="00C11E86" w:rsidRPr="00C11E86" w:rsidRDefault="00C11E86" w:rsidP="00C11E86">
      <w:pPr>
        <w:pStyle w:val="NoSpacing"/>
        <w:rPr>
          <w:rFonts w:cs="Times New Roman"/>
          <w:i/>
          <w:szCs w:val="24"/>
        </w:rPr>
      </w:pPr>
      <w:r>
        <w:rPr>
          <w:rFonts w:cs="Times New Roman"/>
          <w:b/>
          <w:i/>
          <w:szCs w:val="24"/>
          <w:u w:val="single"/>
        </w:rPr>
        <w:t>Judicial Intervention</w:t>
      </w:r>
      <w:r w:rsidR="00063645">
        <w:rPr>
          <w:rFonts w:cs="Times New Roman"/>
          <w:b/>
          <w:i/>
          <w:szCs w:val="24"/>
          <w:u w:val="single"/>
        </w:rPr>
        <w:t xml:space="preserve"> [</w:t>
      </w:r>
      <w:proofErr w:type="spellStart"/>
      <w:r w:rsidR="00063645">
        <w:rPr>
          <w:rFonts w:cs="Times New Roman"/>
          <w:b/>
          <w:i/>
          <w:szCs w:val="24"/>
          <w:u w:val="single"/>
        </w:rPr>
        <w:t>note</w:t>
      </w:r>
      <w:proofErr w:type="gramStart"/>
      <w:r w:rsidR="00063645">
        <w:rPr>
          <w:rFonts w:cs="Times New Roman"/>
          <w:b/>
          <w:i/>
          <w:szCs w:val="24"/>
          <w:u w:val="single"/>
        </w:rPr>
        <w:t>:family</w:t>
      </w:r>
      <w:proofErr w:type="spellEnd"/>
      <w:proofErr w:type="gramEnd"/>
      <w:r w:rsidR="00063645">
        <w:rPr>
          <w:rFonts w:cs="Times New Roman"/>
          <w:b/>
          <w:i/>
          <w:szCs w:val="24"/>
          <w:u w:val="single"/>
        </w:rPr>
        <w:t xml:space="preserve"> law matters differ see later]</w:t>
      </w:r>
    </w:p>
    <w:p w14:paraId="39EFE02E" w14:textId="77777777" w:rsidR="00C11E86" w:rsidRDefault="00C11E86" w:rsidP="00C11E86">
      <w:pPr>
        <w:pStyle w:val="NoSpacing"/>
        <w:rPr>
          <w:rFonts w:cs="Times New Roman"/>
          <w:b/>
          <w:i/>
          <w:szCs w:val="24"/>
        </w:rPr>
      </w:pPr>
    </w:p>
    <w:p w14:paraId="3C328F0D" w14:textId="7C44BE60" w:rsidR="00022447" w:rsidRPr="00BD2D79" w:rsidRDefault="00022447" w:rsidP="00392BC9">
      <w:pPr>
        <w:pStyle w:val="NoSpacing"/>
        <w:numPr>
          <w:ilvl w:val="0"/>
          <w:numId w:val="69"/>
        </w:numPr>
      </w:pPr>
      <w:r w:rsidRPr="00274D88">
        <w:rPr>
          <w:b/>
          <w:i/>
        </w:rPr>
        <w:t>The Tests</w:t>
      </w:r>
      <w:r>
        <w:t xml:space="preserve"> – </w:t>
      </w:r>
      <w:r w:rsidR="004334CE">
        <w:t>[</w:t>
      </w:r>
      <w:r w:rsidR="004334CE" w:rsidRPr="00AF405B">
        <w:rPr>
          <w:b/>
        </w:rPr>
        <w:t>see next page for breakdown</w:t>
      </w:r>
      <w:r w:rsidR="004334CE">
        <w:t>]</w:t>
      </w:r>
    </w:p>
    <w:p w14:paraId="7AA6C1E2" w14:textId="1996D5BB" w:rsidR="00022447" w:rsidRPr="00C25D78" w:rsidRDefault="00022447" w:rsidP="00392BC9">
      <w:pPr>
        <w:pStyle w:val="NoSpacing"/>
        <w:numPr>
          <w:ilvl w:val="1"/>
          <w:numId w:val="69"/>
        </w:numPr>
      </w:pPr>
      <w:r>
        <w:rPr>
          <w:i/>
        </w:rPr>
        <w:t xml:space="preserve">World </w:t>
      </w:r>
      <w:r w:rsidR="00291A89">
        <w:rPr>
          <w:i/>
        </w:rPr>
        <w:t>Medical</w:t>
      </w:r>
      <w:r>
        <w:rPr>
          <w:i/>
        </w:rPr>
        <w:t xml:space="preserve"> Manufacturing Corporation v Phillips Ormonde &amp; Fitzpatrick &amp; Anor</w:t>
      </w:r>
    </w:p>
    <w:p w14:paraId="2139FC51" w14:textId="489179AE" w:rsidR="008B21F6" w:rsidRPr="008B21F6" w:rsidRDefault="008B21F6" w:rsidP="00392BC9">
      <w:pPr>
        <w:pStyle w:val="NoSpacing"/>
        <w:numPr>
          <w:ilvl w:val="2"/>
          <w:numId w:val="69"/>
        </w:numPr>
        <w:rPr>
          <w:szCs w:val="24"/>
        </w:rPr>
      </w:pPr>
      <w:r w:rsidRPr="008B21F6">
        <w:rPr>
          <w:b/>
          <w:szCs w:val="24"/>
        </w:rPr>
        <w:t>Key</w:t>
      </w:r>
      <w:r>
        <w:rPr>
          <w:szCs w:val="24"/>
        </w:rPr>
        <w:t>:</w:t>
      </w:r>
    </w:p>
    <w:p w14:paraId="6A68E4F9" w14:textId="28E66BA4" w:rsidR="00022447" w:rsidRPr="0010076A" w:rsidRDefault="00611B5E" w:rsidP="00392BC9">
      <w:pPr>
        <w:pStyle w:val="NoSpacing"/>
        <w:numPr>
          <w:ilvl w:val="3"/>
          <w:numId w:val="69"/>
        </w:numPr>
        <w:rPr>
          <w:szCs w:val="24"/>
        </w:rPr>
      </w:pPr>
      <w:r w:rsidRPr="006F3805">
        <w:rPr>
          <w:b/>
          <w:i/>
          <w:szCs w:val="24"/>
        </w:rPr>
        <w:t>Possession</w:t>
      </w:r>
      <w:r w:rsidR="00F75F55" w:rsidRPr="006F3805">
        <w:rPr>
          <w:b/>
          <w:i/>
          <w:szCs w:val="24"/>
        </w:rPr>
        <w:t xml:space="preserve"> of Confidential Information</w:t>
      </w:r>
      <w:r w:rsidR="00F75F55">
        <w:rPr>
          <w:i/>
          <w:szCs w:val="24"/>
        </w:rPr>
        <w:t xml:space="preserve"> – </w:t>
      </w:r>
      <w:r w:rsidR="00022447" w:rsidRPr="0010076A">
        <w:rPr>
          <w:szCs w:val="24"/>
        </w:rPr>
        <w:t>Is the solicitor in possession of information provided by the former client which is confidential and which the former client has not consented to disclose? AND</w:t>
      </w:r>
    </w:p>
    <w:p w14:paraId="4B88A69D" w14:textId="0D27AB8F" w:rsidR="004405CD" w:rsidRPr="00FA5E67" w:rsidRDefault="00611B5E" w:rsidP="00FA5E67">
      <w:pPr>
        <w:pStyle w:val="NoSpacing"/>
        <w:numPr>
          <w:ilvl w:val="3"/>
          <w:numId w:val="39"/>
        </w:numPr>
        <w:rPr>
          <w:szCs w:val="24"/>
        </w:rPr>
      </w:pPr>
      <w:r w:rsidRPr="006F3805">
        <w:rPr>
          <w:b/>
          <w:i/>
          <w:szCs w:val="24"/>
        </w:rPr>
        <w:t>Relevant Information</w:t>
      </w:r>
      <w:r>
        <w:rPr>
          <w:i/>
          <w:szCs w:val="24"/>
        </w:rPr>
        <w:t xml:space="preserve"> – </w:t>
      </w:r>
      <w:r w:rsidR="00022447" w:rsidRPr="0010076A">
        <w:rPr>
          <w:szCs w:val="24"/>
        </w:rPr>
        <w:t xml:space="preserve">Is or </w:t>
      </w:r>
      <w:r w:rsidR="00022447" w:rsidRPr="0010076A">
        <w:rPr>
          <w:i/>
          <w:iCs/>
          <w:szCs w:val="24"/>
        </w:rPr>
        <w:t>may</w:t>
      </w:r>
      <w:r w:rsidR="00022447" w:rsidRPr="0010076A">
        <w:rPr>
          <w:szCs w:val="24"/>
        </w:rPr>
        <w:t xml:space="preserve"> the information be </w:t>
      </w:r>
      <w:r w:rsidR="00022447" w:rsidRPr="0010076A">
        <w:rPr>
          <w:szCs w:val="24"/>
          <w:u w:val="single"/>
        </w:rPr>
        <w:t>relevant</w:t>
      </w:r>
      <w:r w:rsidR="00022447" w:rsidRPr="0010076A">
        <w:rPr>
          <w:szCs w:val="24"/>
        </w:rPr>
        <w:t xml:space="preserve"> to the new matter in which the interests of the other client is or </w:t>
      </w:r>
      <w:r w:rsidR="00022447" w:rsidRPr="0010076A">
        <w:rPr>
          <w:i/>
          <w:iCs/>
          <w:szCs w:val="24"/>
        </w:rPr>
        <w:t>may</w:t>
      </w:r>
      <w:r w:rsidR="00022447" w:rsidRPr="0010076A">
        <w:rPr>
          <w:szCs w:val="24"/>
        </w:rPr>
        <w:t xml:space="preserve"> be adverse to the interests of the former client? [</w:t>
      </w:r>
      <w:r w:rsidR="00022447" w:rsidRPr="0010076A">
        <w:rPr>
          <w:i/>
          <w:iCs/>
          <w:szCs w:val="24"/>
        </w:rPr>
        <w:t>emphasis added</w:t>
      </w:r>
      <w:r w:rsidR="00022447" w:rsidRPr="0010076A">
        <w:rPr>
          <w:szCs w:val="24"/>
        </w:rPr>
        <w:t>]</w:t>
      </w:r>
    </w:p>
    <w:p w14:paraId="0B080F93" w14:textId="75ADB081" w:rsidR="00022447" w:rsidRDefault="00D143B8" w:rsidP="00022447">
      <w:pPr>
        <w:pStyle w:val="NoSpacing"/>
        <w:numPr>
          <w:ilvl w:val="2"/>
          <w:numId w:val="39"/>
        </w:numPr>
        <w:rPr>
          <w:szCs w:val="24"/>
        </w:rPr>
      </w:pPr>
      <w:r>
        <w:rPr>
          <w:b/>
          <w:szCs w:val="24"/>
        </w:rPr>
        <w:t>Yes?</w:t>
      </w:r>
    </w:p>
    <w:p w14:paraId="4F4A2197" w14:textId="1A7CD659" w:rsidR="00022447" w:rsidRDefault="004405CD" w:rsidP="00022447">
      <w:pPr>
        <w:pStyle w:val="NoSpacing"/>
        <w:numPr>
          <w:ilvl w:val="3"/>
          <w:numId w:val="39"/>
        </w:numPr>
        <w:rPr>
          <w:szCs w:val="24"/>
        </w:rPr>
      </w:pPr>
      <w:r>
        <w:rPr>
          <w:szCs w:val="24"/>
        </w:rPr>
        <w:t xml:space="preserve">Is the risk a </w:t>
      </w:r>
      <w:r w:rsidRPr="00C31518">
        <w:rPr>
          <w:b/>
          <w:i/>
          <w:szCs w:val="24"/>
          <w:u w:val="single"/>
        </w:rPr>
        <w:t xml:space="preserve">Real risk </w:t>
      </w:r>
      <w:r w:rsidRPr="007A0F00">
        <w:rPr>
          <w:b/>
          <w:szCs w:val="24"/>
        </w:rPr>
        <w:t>[see next page]</w:t>
      </w:r>
      <w:r>
        <w:rPr>
          <w:szCs w:val="24"/>
        </w:rPr>
        <w:t xml:space="preserve"> </w:t>
      </w:r>
      <w:r w:rsidR="00022447" w:rsidRPr="0010076A">
        <w:rPr>
          <w:szCs w:val="24"/>
        </w:rPr>
        <w:t>which is real and not merely fanciful nor theoretical that there will be disclosure?</w:t>
      </w:r>
    </w:p>
    <w:p w14:paraId="2785E17F" w14:textId="77777777" w:rsidR="007A0F00" w:rsidRPr="0010076A" w:rsidRDefault="007A0F00" w:rsidP="007A0F00">
      <w:pPr>
        <w:pStyle w:val="NoSpacing"/>
        <w:ind w:left="2880"/>
        <w:rPr>
          <w:szCs w:val="24"/>
        </w:rPr>
      </w:pPr>
    </w:p>
    <w:p w14:paraId="4F348EC5" w14:textId="638980A8" w:rsidR="000E51CF" w:rsidRPr="00B56884" w:rsidRDefault="000E51CF" w:rsidP="00B56884">
      <w:pPr>
        <w:pStyle w:val="NoSpacing"/>
        <w:numPr>
          <w:ilvl w:val="2"/>
          <w:numId w:val="39"/>
        </w:numPr>
        <w:rPr>
          <w:szCs w:val="24"/>
        </w:rPr>
      </w:pPr>
      <w:r w:rsidRPr="00E925EA">
        <w:rPr>
          <w:b/>
          <w:szCs w:val="24"/>
        </w:rPr>
        <w:t>Yes?</w:t>
      </w:r>
      <w:r w:rsidR="00B56884">
        <w:rPr>
          <w:szCs w:val="24"/>
        </w:rPr>
        <w:t xml:space="preserve"> </w:t>
      </w:r>
      <w:r w:rsidRPr="00584F35">
        <w:rPr>
          <w:i/>
          <w:szCs w:val="24"/>
          <w:u w:val="single"/>
        </w:rPr>
        <w:t>Are there Mitigating Factors?</w:t>
      </w:r>
      <w:r w:rsidRPr="00B56884">
        <w:rPr>
          <w:szCs w:val="24"/>
        </w:rPr>
        <w:t xml:space="preserve"> </w:t>
      </w:r>
    </w:p>
    <w:p w14:paraId="69F7779E" w14:textId="66BB6F1B" w:rsidR="00022447" w:rsidRPr="0010076A" w:rsidRDefault="00371936" w:rsidP="00B56884">
      <w:pPr>
        <w:pStyle w:val="NoSpacing"/>
        <w:numPr>
          <w:ilvl w:val="3"/>
          <w:numId w:val="39"/>
        </w:numPr>
        <w:rPr>
          <w:szCs w:val="24"/>
        </w:rPr>
      </w:pPr>
      <w:r>
        <w:rPr>
          <w:i/>
          <w:szCs w:val="24"/>
        </w:rPr>
        <w:t xml:space="preserve">Chinese Walls – </w:t>
      </w:r>
      <w:r w:rsidR="000E51CF">
        <w:rPr>
          <w:szCs w:val="24"/>
        </w:rPr>
        <w:t>H</w:t>
      </w:r>
      <w:r w:rsidR="00022447" w:rsidRPr="0010076A">
        <w:rPr>
          <w:szCs w:val="24"/>
        </w:rPr>
        <w:t>eavy evidential burden rests on the solicitor to establish that there is no risk of disclosure and this may be established, in very exceptional cases, by the provision of ‘Chinese walls’. – i.e somehow removed the risk</w:t>
      </w:r>
    </w:p>
    <w:p w14:paraId="20EF0F42" w14:textId="77777777" w:rsidR="000E51CF" w:rsidRDefault="000E51CF" w:rsidP="000E51CF">
      <w:pPr>
        <w:pStyle w:val="NoSpacing"/>
        <w:ind w:left="2160"/>
        <w:rPr>
          <w:szCs w:val="24"/>
        </w:rPr>
      </w:pPr>
    </w:p>
    <w:p w14:paraId="55B4D977" w14:textId="77777777" w:rsidR="00022447" w:rsidRPr="008B21F6" w:rsidRDefault="00022447" w:rsidP="00022447">
      <w:pPr>
        <w:pStyle w:val="NoSpacing"/>
        <w:numPr>
          <w:ilvl w:val="2"/>
          <w:numId w:val="39"/>
        </w:numPr>
        <w:rPr>
          <w:szCs w:val="24"/>
        </w:rPr>
      </w:pPr>
      <w:r w:rsidRPr="008B21F6">
        <w:rPr>
          <w:b/>
          <w:szCs w:val="24"/>
        </w:rPr>
        <w:t>Should a permanent injunction be granted?</w:t>
      </w:r>
    </w:p>
    <w:p w14:paraId="618FDE38" w14:textId="76A9A338" w:rsidR="00C941B1" w:rsidRDefault="00C941B1" w:rsidP="00C941B1">
      <w:pPr>
        <w:pStyle w:val="NoSpacing"/>
        <w:numPr>
          <w:ilvl w:val="3"/>
          <w:numId w:val="39"/>
        </w:numPr>
        <w:rPr>
          <w:szCs w:val="24"/>
        </w:rPr>
      </w:pPr>
      <w:r>
        <w:rPr>
          <w:szCs w:val="24"/>
        </w:rPr>
        <w:t>Efficient and Effective Administration of Justice</w:t>
      </w:r>
      <w:r w:rsidR="00C76C43">
        <w:rPr>
          <w:szCs w:val="24"/>
        </w:rPr>
        <w:t xml:space="preserve"> &amp; </w:t>
      </w:r>
    </w:p>
    <w:p w14:paraId="45ED4C6A" w14:textId="76A9A338" w:rsidR="00FA5E67" w:rsidRPr="00FA5E67" w:rsidRDefault="00C941B1" w:rsidP="00FA5E67">
      <w:pPr>
        <w:pStyle w:val="NoSpacing"/>
        <w:numPr>
          <w:ilvl w:val="3"/>
          <w:numId w:val="39"/>
        </w:numPr>
        <w:rPr>
          <w:szCs w:val="24"/>
        </w:rPr>
      </w:pPr>
      <w:r>
        <w:rPr>
          <w:szCs w:val="24"/>
        </w:rPr>
        <w:t>Public Confidence</w:t>
      </w:r>
    </w:p>
    <w:p w14:paraId="350A1CD2" w14:textId="4DE38167" w:rsidR="00506D77" w:rsidRPr="0010076A" w:rsidRDefault="00096DBC" w:rsidP="00FA5E67">
      <w:pPr>
        <w:pStyle w:val="NoSpacing"/>
        <w:numPr>
          <w:ilvl w:val="2"/>
          <w:numId w:val="39"/>
        </w:numPr>
        <w:rPr>
          <w:szCs w:val="24"/>
        </w:rPr>
      </w:pPr>
      <w:r w:rsidRPr="00FA5E67">
        <w:rPr>
          <w:b/>
          <w:i/>
          <w:szCs w:val="24"/>
        </w:rPr>
        <w:t>Costs Award</w:t>
      </w:r>
      <w:r>
        <w:rPr>
          <w:szCs w:val="24"/>
        </w:rPr>
        <w:t xml:space="preserve"> – </w:t>
      </w:r>
      <w:r w:rsidR="00506D77">
        <w:rPr>
          <w:szCs w:val="24"/>
        </w:rPr>
        <w:t>Costs are awarded against the firm.</w:t>
      </w:r>
    </w:p>
    <w:p w14:paraId="160787BE" w14:textId="77777777" w:rsidR="00022447" w:rsidRDefault="00022447" w:rsidP="00022447">
      <w:pPr>
        <w:pStyle w:val="NoSpacing"/>
        <w:ind w:left="720"/>
      </w:pPr>
    </w:p>
    <w:p w14:paraId="2D24CDA7" w14:textId="44638212" w:rsidR="00022447" w:rsidRPr="000E51CF" w:rsidRDefault="00022447" w:rsidP="00392BC9">
      <w:pPr>
        <w:pStyle w:val="NoSpacing"/>
        <w:numPr>
          <w:ilvl w:val="1"/>
          <w:numId w:val="69"/>
        </w:numPr>
      </w:pPr>
      <w:r>
        <w:rPr>
          <w:b/>
          <w:i/>
        </w:rPr>
        <w:t>Spincode</w:t>
      </w:r>
      <w:r>
        <w:t xml:space="preserve"> – </w:t>
      </w:r>
      <w:r w:rsidRPr="000E51CF">
        <w:rPr>
          <w:i/>
        </w:rPr>
        <w:t>A solicitor may be restrained from acting against a former client on three independent bases:</w:t>
      </w:r>
    </w:p>
    <w:p w14:paraId="5EF7BC1B" w14:textId="77777777" w:rsidR="000E51CF" w:rsidRPr="000E51CF" w:rsidRDefault="000E51CF" w:rsidP="000E51CF">
      <w:pPr>
        <w:pStyle w:val="NoSpacing"/>
        <w:ind w:left="2160"/>
      </w:pPr>
    </w:p>
    <w:p w14:paraId="77F239E2" w14:textId="24C6BC7D" w:rsidR="00022447" w:rsidRDefault="00FB57DD" w:rsidP="00392BC9">
      <w:pPr>
        <w:pStyle w:val="NoSpacing"/>
        <w:numPr>
          <w:ilvl w:val="2"/>
          <w:numId w:val="69"/>
        </w:numPr>
      </w:pPr>
      <w:r>
        <w:rPr>
          <w:b/>
        </w:rPr>
        <w:t>The</w:t>
      </w:r>
      <w:r w:rsidR="00022447" w:rsidRPr="00D81D8D">
        <w:rPr>
          <w:b/>
        </w:rPr>
        <w:t xml:space="preserve"> danger of misuse of information</w:t>
      </w:r>
      <w:r w:rsidR="00022447" w:rsidRPr="00660E0E">
        <w:t>;</w:t>
      </w:r>
    </w:p>
    <w:p w14:paraId="22A3987A" w14:textId="7215B87C" w:rsidR="00022447" w:rsidRPr="00660E0E" w:rsidRDefault="00425274" w:rsidP="00392BC9">
      <w:pPr>
        <w:pStyle w:val="NoSpacing"/>
        <w:numPr>
          <w:ilvl w:val="3"/>
          <w:numId w:val="69"/>
        </w:numPr>
      </w:pPr>
      <w:r>
        <w:rPr>
          <w:i/>
        </w:rPr>
        <w:t xml:space="preserve">Misuse of Information – </w:t>
      </w:r>
      <w:r w:rsidR="0076796D">
        <w:rPr>
          <w:i/>
        </w:rPr>
        <w:t xml:space="preserve">[i and ii above] </w:t>
      </w:r>
      <w:r w:rsidR="007B7D83">
        <w:rPr>
          <w:i/>
        </w:rPr>
        <w:t xml:space="preserve">– </w:t>
      </w:r>
      <w:r w:rsidR="00022447" w:rsidRPr="00660E0E">
        <w:t>Where confidential information has been communicated by a client to a solicitor and is relevant to litigation in which that client is later engaged, the potential for misuse must always be considered. There is no necessity to conclude that harm is an inevitable consequence stemming from that misuse.</w:t>
      </w:r>
    </w:p>
    <w:p w14:paraId="791D4015" w14:textId="77777777" w:rsidR="00022447" w:rsidRPr="00660E0E" w:rsidRDefault="00022447" w:rsidP="00022447">
      <w:pPr>
        <w:pStyle w:val="NoSpacing"/>
      </w:pPr>
    </w:p>
    <w:p w14:paraId="72305592" w14:textId="0DC82870" w:rsidR="00022447" w:rsidRPr="00A05025" w:rsidRDefault="0086714D" w:rsidP="00392BC9">
      <w:pPr>
        <w:pStyle w:val="NoSpacing"/>
        <w:numPr>
          <w:ilvl w:val="2"/>
          <w:numId w:val="69"/>
        </w:numPr>
      </w:pPr>
      <w:r>
        <w:rPr>
          <w:b/>
        </w:rPr>
        <w:t>The</w:t>
      </w:r>
      <w:r w:rsidR="00022447" w:rsidRPr="00A05025">
        <w:rPr>
          <w:b/>
        </w:rPr>
        <w:t xml:space="preserve"> breach of the duty of loyalty; and</w:t>
      </w:r>
    </w:p>
    <w:p w14:paraId="5DB0B948" w14:textId="77777777" w:rsidR="00E6113D" w:rsidRDefault="004E7EF4" w:rsidP="00392BC9">
      <w:pPr>
        <w:pStyle w:val="NoSpacing"/>
        <w:numPr>
          <w:ilvl w:val="3"/>
          <w:numId w:val="69"/>
        </w:numPr>
      </w:pPr>
      <w:r>
        <w:rPr>
          <w:i/>
        </w:rPr>
        <w:t xml:space="preserve">Disclosure of Confidence – [real risk] – </w:t>
      </w:r>
      <w:r w:rsidR="00022447" w:rsidRPr="00660E0E">
        <w:t>A court will restrain a solicitor from acting against a former client not only to prevent the disclosure of confidences, but also to ensure that the solicitor's duty of loyalty to the former client is respected.</w:t>
      </w:r>
    </w:p>
    <w:p w14:paraId="434FAA1D" w14:textId="6ED905DF" w:rsidR="00022447" w:rsidRDefault="00470239" w:rsidP="00392BC9">
      <w:pPr>
        <w:pStyle w:val="NoSpacing"/>
        <w:numPr>
          <w:ilvl w:val="4"/>
          <w:numId w:val="69"/>
        </w:numPr>
      </w:pPr>
      <w:r>
        <w:rPr>
          <w:i/>
        </w:rPr>
        <w:t>Fiduciary survives termination</w:t>
      </w:r>
      <w:r w:rsidR="00E6113D">
        <w:rPr>
          <w:i/>
        </w:rPr>
        <w:t xml:space="preserve"> –</w:t>
      </w:r>
      <w:r w:rsidR="00E6113D">
        <w:t xml:space="preserve"> </w:t>
      </w:r>
      <w:r w:rsidR="00022447" w:rsidRPr="00660E0E">
        <w:t xml:space="preserve"> The duty of loyalty cannot be treated as extinguished by the termination of the period of a solicitor's retainer.</w:t>
      </w:r>
    </w:p>
    <w:p w14:paraId="7F8F84A1" w14:textId="77777777" w:rsidR="00022447" w:rsidRDefault="00022447" w:rsidP="00022447">
      <w:pPr>
        <w:pStyle w:val="NoSpacing"/>
      </w:pPr>
    </w:p>
    <w:p w14:paraId="1A7253C7" w14:textId="77777777" w:rsidR="00E32C84" w:rsidRDefault="00E32C84" w:rsidP="00022447">
      <w:pPr>
        <w:pStyle w:val="NoSpacing"/>
      </w:pPr>
    </w:p>
    <w:p w14:paraId="2F04B191" w14:textId="77777777" w:rsidR="00E32C84" w:rsidRPr="00660E0E" w:rsidRDefault="00E32C84" w:rsidP="00022447">
      <w:pPr>
        <w:pStyle w:val="NoSpacing"/>
      </w:pPr>
    </w:p>
    <w:p w14:paraId="3FDFFF69" w14:textId="60A61EF1" w:rsidR="00022447" w:rsidRPr="00A05025" w:rsidRDefault="001A348B" w:rsidP="00392BC9">
      <w:pPr>
        <w:pStyle w:val="NoSpacing"/>
        <w:numPr>
          <w:ilvl w:val="2"/>
          <w:numId w:val="69"/>
        </w:numPr>
      </w:pPr>
      <w:r>
        <w:rPr>
          <w:b/>
        </w:rPr>
        <w:lastRenderedPageBreak/>
        <w:t>The</w:t>
      </w:r>
      <w:r w:rsidR="00022447" w:rsidRPr="00A05025">
        <w:rPr>
          <w:b/>
        </w:rPr>
        <w:t xml:space="preserve"> desirability of restraining solicitors as officers of the court.</w:t>
      </w:r>
    </w:p>
    <w:p w14:paraId="0F5640C8" w14:textId="77777777" w:rsidR="00022447" w:rsidRDefault="00022447" w:rsidP="00392BC9">
      <w:pPr>
        <w:pStyle w:val="NoSpacing"/>
        <w:numPr>
          <w:ilvl w:val="3"/>
          <w:numId w:val="69"/>
        </w:numPr>
      </w:pPr>
      <w:r w:rsidRPr="00660E0E">
        <w:t>A solicitor may be prevented from acting against a former client on the basis of their position as an officer of the court.</w:t>
      </w:r>
    </w:p>
    <w:p w14:paraId="7AFFDFC4" w14:textId="77777777" w:rsidR="00022447" w:rsidRPr="00916C5B" w:rsidRDefault="00022447" w:rsidP="00392BC9">
      <w:pPr>
        <w:pStyle w:val="NoSpacing"/>
        <w:numPr>
          <w:ilvl w:val="3"/>
          <w:numId w:val="69"/>
        </w:numPr>
      </w:pPr>
      <w:r w:rsidRPr="00916C5B">
        <w:rPr>
          <w:rFonts w:eastAsia="Times New Roman" w:cs="Times New Roman"/>
          <w:szCs w:val="24"/>
          <w:lang w:eastAsia="en-AU"/>
        </w:rPr>
        <w:t>fundamental power of the court to control its officers and the need for the public to have faith in the justice system.</w:t>
      </w:r>
    </w:p>
    <w:p w14:paraId="45385B5D" w14:textId="77777777" w:rsidR="00022447" w:rsidRDefault="00022447" w:rsidP="00392BC9">
      <w:pPr>
        <w:pStyle w:val="NoSpacing"/>
        <w:numPr>
          <w:ilvl w:val="4"/>
          <w:numId w:val="69"/>
        </w:numPr>
      </w:pPr>
      <w:r w:rsidRPr="00685A4D">
        <w:rPr>
          <w:i/>
        </w:rPr>
        <w:t xml:space="preserve">Pessimi </w:t>
      </w:r>
      <w:r>
        <w:rPr>
          <w:i/>
        </w:rPr>
        <w:t>Exempli</w:t>
      </w:r>
      <w:r w:rsidRPr="00685A4D">
        <w:rPr>
          <w:i/>
        </w:rPr>
        <w:t xml:space="preserve"> </w:t>
      </w:r>
      <w:r w:rsidRPr="00685A4D">
        <w:t>Test</w:t>
      </w:r>
      <w:r w:rsidRPr="00685A4D">
        <w:rPr>
          <w:i/>
        </w:rPr>
        <w:t xml:space="preserve"> </w:t>
      </w:r>
      <w:r w:rsidRPr="00685A4D">
        <w:t xml:space="preserve">– that is, if Courts did not hold such actions </w:t>
      </w:r>
      <w:r>
        <w:t xml:space="preserve">to account </w:t>
      </w:r>
      <w:r w:rsidRPr="00685A4D">
        <w:t xml:space="preserve">then it </w:t>
      </w:r>
      <w:r>
        <w:t>would be the worst possible example of judicial inaction over its officers</w:t>
      </w:r>
      <w:r w:rsidRPr="00685A4D">
        <w:t>.</w:t>
      </w:r>
    </w:p>
    <w:p w14:paraId="1B1B64B0" w14:textId="77777777" w:rsidR="003D13DB" w:rsidRDefault="003D13DB" w:rsidP="0055557D">
      <w:pPr>
        <w:pStyle w:val="NoSpacing"/>
        <w:rPr>
          <w:b/>
          <w:i/>
        </w:rPr>
      </w:pPr>
    </w:p>
    <w:p w14:paraId="6682F9F9" w14:textId="6BA44823" w:rsidR="00153828" w:rsidRPr="0055557D" w:rsidRDefault="00201AD1" w:rsidP="0055557D">
      <w:pPr>
        <w:pStyle w:val="NoSpacing"/>
        <w:rPr>
          <w:b/>
          <w:i/>
        </w:rPr>
      </w:pPr>
      <w:r>
        <w:rPr>
          <w:b/>
          <w:i/>
        </w:rPr>
        <w:t>**</w:t>
      </w:r>
      <w:r w:rsidR="0055557D" w:rsidRPr="0055557D">
        <w:rPr>
          <w:b/>
          <w:i/>
        </w:rPr>
        <w:t>Point [i &amp; ii]</w:t>
      </w:r>
      <w:r w:rsidR="00153828">
        <w:rPr>
          <w:b/>
          <w:i/>
        </w:rPr>
        <w:t xml:space="preserve"> – ‘Confidential and Relevant </w:t>
      </w:r>
      <w:r w:rsidR="00C424C7">
        <w:rPr>
          <w:b/>
          <w:i/>
        </w:rPr>
        <w:t>Confidential</w:t>
      </w:r>
      <w:r w:rsidR="00153828">
        <w:rPr>
          <w:b/>
          <w:i/>
        </w:rPr>
        <w:t>’ [</w:t>
      </w:r>
      <w:r w:rsidR="00C424C7">
        <w:rPr>
          <w:b/>
          <w:i/>
        </w:rPr>
        <w:t>**</w:t>
      </w:r>
      <w:r w:rsidR="00153828">
        <w:rPr>
          <w:b/>
          <w:i/>
        </w:rPr>
        <w:t>see also duty of confidence]</w:t>
      </w:r>
    </w:p>
    <w:p w14:paraId="0D96A9EC" w14:textId="77777777" w:rsidR="0055557D" w:rsidRPr="0055557D" w:rsidRDefault="0055557D" w:rsidP="0055557D">
      <w:pPr>
        <w:pStyle w:val="NoSpacing"/>
        <w:ind w:left="720"/>
      </w:pPr>
    </w:p>
    <w:p w14:paraId="01A7DA04" w14:textId="77777777" w:rsidR="000B51CF" w:rsidRPr="003E204B" w:rsidRDefault="000B51CF" w:rsidP="00392BC9">
      <w:pPr>
        <w:pStyle w:val="NoSpacing"/>
        <w:numPr>
          <w:ilvl w:val="0"/>
          <w:numId w:val="70"/>
        </w:numPr>
      </w:pPr>
      <w:r>
        <w:rPr>
          <w:b/>
          <w:i/>
        </w:rPr>
        <w:t xml:space="preserve">Threshold </w:t>
      </w:r>
      <w:r w:rsidRPr="009905AB">
        <w:t>–</w:t>
      </w:r>
      <w:r>
        <w:rPr>
          <w:b/>
        </w:rPr>
        <w:t xml:space="preserve"> </w:t>
      </w:r>
      <w:r w:rsidRPr="00446648">
        <w:t>Threshold for judicial intervention primarily in former client conflict cases focuses on the requirement to uphold the duty of confidentiality of information which was passed during the course of the retainer.</w:t>
      </w:r>
      <w:r>
        <w:rPr>
          <w:b/>
        </w:rPr>
        <w:t xml:space="preserve"> </w:t>
      </w:r>
    </w:p>
    <w:p w14:paraId="76144CFA" w14:textId="77777777" w:rsidR="00C2274D" w:rsidRDefault="00C2274D" w:rsidP="00392BC9">
      <w:pPr>
        <w:pStyle w:val="NoSpacing"/>
        <w:numPr>
          <w:ilvl w:val="1"/>
          <w:numId w:val="70"/>
        </w:numPr>
      </w:pPr>
      <w:r w:rsidRPr="00C2274D">
        <w:rPr>
          <w:i/>
        </w:rPr>
        <w:t>The person who assets bears onus</w:t>
      </w:r>
      <w:r w:rsidRPr="00CB5213">
        <w:rPr>
          <w:b/>
          <w:i/>
        </w:rPr>
        <w:t xml:space="preserve"> </w:t>
      </w:r>
      <w:r>
        <w:t xml:space="preserve">–The former client bears the onus of providing the assertion per </w:t>
      </w:r>
      <w:r>
        <w:rPr>
          <w:i/>
        </w:rPr>
        <w:t xml:space="preserve">Prince Jefri Bolkiah v KPMG. </w:t>
      </w:r>
    </w:p>
    <w:p w14:paraId="1F63885F" w14:textId="77777777" w:rsidR="000B51CF" w:rsidRPr="000B51CF" w:rsidRDefault="000B51CF" w:rsidP="000B51CF">
      <w:pPr>
        <w:pStyle w:val="NoSpacing"/>
        <w:ind w:left="720"/>
      </w:pPr>
    </w:p>
    <w:p w14:paraId="452D799F" w14:textId="2D3FE3DF" w:rsidR="000B51CF" w:rsidRPr="000B51CF" w:rsidRDefault="000B51CF" w:rsidP="00392BC9">
      <w:pPr>
        <w:pStyle w:val="NoSpacing"/>
        <w:numPr>
          <w:ilvl w:val="0"/>
          <w:numId w:val="70"/>
        </w:numPr>
      </w:pPr>
      <w:r w:rsidRPr="001A1A7D">
        <w:rPr>
          <w:b/>
          <w:i/>
        </w:rPr>
        <w:t>‘Relevant Confidential Information</w:t>
      </w:r>
      <w:r w:rsidR="00493970">
        <w:rPr>
          <w:b/>
          <w:i/>
        </w:rPr>
        <w:t xml:space="preserve">’ </w:t>
      </w:r>
      <w:r w:rsidR="00493970" w:rsidRPr="00493970">
        <w:rPr>
          <w:i/>
        </w:rPr>
        <w:t>–</w:t>
      </w:r>
      <w:r w:rsidR="009A4347">
        <w:rPr>
          <w:i/>
        </w:rPr>
        <w:t xml:space="preserve"> </w:t>
      </w:r>
      <w:r w:rsidR="00493970">
        <w:rPr>
          <w:i/>
        </w:rPr>
        <w:t xml:space="preserve">PCPR 4 </w:t>
      </w:r>
      <w:r w:rsidR="00467E4A">
        <w:rPr>
          <w:i/>
        </w:rPr>
        <w:t xml:space="preserve">(a) </w:t>
      </w:r>
      <w:r w:rsidR="00493970">
        <w:rPr>
          <w:i/>
        </w:rPr>
        <w:t xml:space="preserve">– </w:t>
      </w:r>
      <w:r w:rsidR="009A4347">
        <w:rPr>
          <w:i/>
        </w:rPr>
        <w:t xml:space="preserve"> Per Re a Firm of Solicitors</w:t>
      </w:r>
    </w:p>
    <w:p w14:paraId="0AE1E7F4" w14:textId="77777777" w:rsidR="000B51CF" w:rsidRDefault="00493970" w:rsidP="00392BC9">
      <w:pPr>
        <w:pStyle w:val="NoSpacing"/>
        <w:numPr>
          <w:ilvl w:val="1"/>
          <w:numId w:val="70"/>
        </w:numPr>
      </w:pPr>
      <w:r>
        <w:t>Originally communicated in confidence</w:t>
      </w:r>
    </w:p>
    <w:p w14:paraId="40F4FE04" w14:textId="101FC151" w:rsidR="00493970" w:rsidRDefault="00493970" w:rsidP="00392BC9">
      <w:pPr>
        <w:pStyle w:val="NoSpacing"/>
        <w:numPr>
          <w:ilvl w:val="1"/>
          <w:numId w:val="70"/>
        </w:numPr>
      </w:pPr>
      <w:r>
        <w:t>Remains confidential and may reasonable be considered remembered or capable of being recalled</w:t>
      </w:r>
    </w:p>
    <w:p w14:paraId="2D4807FC" w14:textId="3F6713EE" w:rsidR="00493970" w:rsidRDefault="00493970" w:rsidP="00392BC9">
      <w:pPr>
        <w:pStyle w:val="NoSpacing"/>
        <w:numPr>
          <w:ilvl w:val="1"/>
          <w:numId w:val="70"/>
        </w:numPr>
      </w:pPr>
      <w:r>
        <w:t>Relevant to the subject matter of the proposed retainer.</w:t>
      </w:r>
    </w:p>
    <w:p w14:paraId="680167E6" w14:textId="77777777" w:rsidR="0055557D" w:rsidRDefault="0055557D" w:rsidP="0055557D">
      <w:pPr>
        <w:pStyle w:val="NoSpacing"/>
      </w:pPr>
    </w:p>
    <w:p w14:paraId="0320E3EE" w14:textId="653C6211" w:rsidR="0055557D" w:rsidRPr="0055557D" w:rsidRDefault="00201AD1" w:rsidP="0055557D">
      <w:pPr>
        <w:pStyle w:val="NoSpacing"/>
        <w:rPr>
          <w:b/>
          <w:i/>
        </w:rPr>
      </w:pPr>
      <w:r>
        <w:rPr>
          <w:b/>
          <w:i/>
        </w:rPr>
        <w:t>**</w:t>
      </w:r>
      <w:r w:rsidR="0055557D" w:rsidRPr="0055557D">
        <w:rPr>
          <w:b/>
          <w:i/>
        </w:rPr>
        <w:t>Point [</w:t>
      </w:r>
      <w:r w:rsidR="0055557D">
        <w:rPr>
          <w:b/>
          <w:i/>
        </w:rPr>
        <w:t>iii</w:t>
      </w:r>
      <w:r w:rsidR="0055557D" w:rsidRPr="0055557D">
        <w:rPr>
          <w:b/>
          <w:i/>
        </w:rPr>
        <w:t>]</w:t>
      </w:r>
      <w:r w:rsidR="006D3131">
        <w:rPr>
          <w:b/>
          <w:i/>
        </w:rPr>
        <w:t xml:space="preserve"> – ‘Real and not fanciful risk’</w:t>
      </w:r>
    </w:p>
    <w:p w14:paraId="18FBBFFE" w14:textId="77777777" w:rsidR="0055557D" w:rsidRDefault="0055557D" w:rsidP="0055557D">
      <w:pPr>
        <w:pStyle w:val="NoSpacing"/>
      </w:pPr>
    </w:p>
    <w:p w14:paraId="776E49D5" w14:textId="77777777" w:rsidR="00B0365E" w:rsidRDefault="00B0365E" w:rsidP="00392BC9">
      <w:pPr>
        <w:pStyle w:val="NoSpacing"/>
        <w:numPr>
          <w:ilvl w:val="0"/>
          <w:numId w:val="70"/>
        </w:numPr>
      </w:pPr>
      <w:r>
        <w:rPr>
          <w:rFonts w:cs="Times New Roman"/>
          <w:b/>
          <w:i/>
          <w:szCs w:val="24"/>
        </w:rPr>
        <w:t xml:space="preserve">A Real Risk – </w:t>
      </w:r>
      <w:r w:rsidRPr="00693146">
        <w:rPr>
          <w:rFonts w:cs="Times New Roman"/>
          <w:b/>
          <w:i/>
          <w:szCs w:val="24"/>
        </w:rPr>
        <w:t>PCPR 4</w:t>
      </w:r>
      <w:r>
        <w:rPr>
          <w:rFonts w:cs="Times New Roman"/>
          <w:b/>
          <w:i/>
          <w:szCs w:val="24"/>
        </w:rPr>
        <w:t xml:space="preserve"> </w:t>
      </w:r>
      <w:r w:rsidRPr="00693146">
        <w:rPr>
          <w:rFonts w:cs="Times New Roman"/>
          <w:b/>
          <w:i/>
          <w:szCs w:val="24"/>
        </w:rPr>
        <w:t>and Vic Bar R92 [see Retainers]</w:t>
      </w:r>
      <w:r>
        <w:rPr>
          <w:rFonts w:cs="Times New Roman"/>
          <w:i/>
          <w:szCs w:val="24"/>
        </w:rPr>
        <w:t xml:space="preserve"> – </w:t>
      </w:r>
      <w:r>
        <w:rPr>
          <w:rFonts w:cs="Times New Roman"/>
          <w:szCs w:val="24"/>
        </w:rPr>
        <w:t>A lawyer possessed with ‘relevant confidential information</w:t>
      </w:r>
      <w:r>
        <w:t xml:space="preserve">’ cannot act against a former client. Drummond J in </w:t>
      </w:r>
    </w:p>
    <w:p w14:paraId="5D1374ED" w14:textId="77777777" w:rsidR="00B0365E" w:rsidRDefault="00B0365E" w:rsidP="00B0365E">
      <w:pPr>
        <w:pStyle w:val="NoSpacing"/>
        <w:ind w:left="720"/>
      </w:pPr>
    </w:p>
    <w:p w14:paraId="4E798E60" w14:textId="77777777" w:rsidR="00B0365E" w:rsidRDefault="00B0365E" w:rsidP="00392BC9">
      <w:pPr>
        <w:pStyle w:val="NoSpacing"/>
        <w:numPr>
          <w:ilvl w:val="1"/>
          <w:numId w:val="70"/>
        </w:numPr>
      </w:pPr>
      <w:r w:rsidRPr="00B31B6B">
        <w:rPr>
          <w:i/>
        </w:rPr>
        <w:t>Carindale Country Club v Astill</w:t>
      </w:r>
      <w:r>
        <w:t xml:space="preserve"> – </w:t>
      </w:r>
    </w:p>
    <w:p w14:paraId="2857D065" w14:textId="77777777" w:rsidR="00B0365E" w:rsidRDefault="00B0365E" w:rsidP="00392BC9">
      <w:pPr>
        <w:pStyle w:val="NoSpacing"/>
        <w:numPr>
          <w:ilvl w:val="2"/>
          <w:numId w:val="70"/>
        </w:numPr>
      </w:pPr>
      <w:r w:rsidRPr="009E789F">
        <w:rPr>
          <w:i/>
        </w:rPr>
        <w:t xml:space="preserve">‘from acting for a new client against a former client if a reasonable observer, aware of all the facts, would think there is a </w:t>
      </w:r>
      <w:r w:rsidRPr="00F869B3">
        <w:rPr>
          <w:b/>
          <w:i/>
          <w:u w:val="single"/>
        </w:rPr>
        <w:t>real</w:t>
      </w:r>
      <w:r w:rsidRPr="00B0365E">
        <w:rPr>
          <w:b/>
          <w:i/>
        </w:rPr>
        <w:t xml:space="preserve">, as opposed to a </w:t>
      </w:r>
      <w:r w:rsidRPr="00F869B3">
        <w:rPr>
          <w:b/>
          <w:i/>
          <w:u w:val="single"/>
        </w:rPr>
        <w:t>possible chance</w:t>
      </w:r>
      <w:r w:rsidRPr="009E789F">
        <w:rPr>
          <w:i/>
        </w:rPr>
        <w:t xml:space="preserve">, that confidential information given to the solicitor by the former client </w:t>
      </w:r>
      <w:r w:rsidRPr="00B0365E">
        <w:rPr>
          <w:b/>
          <w:i/>
        </w:rPr>
        <w:t xml:space="preserve">might be used by the solicitor to advance the new clients interests to the </w:t>
      </w:r>
      <w:r w:rsidRPr="00F869B3">
        <w:rPr>
          <w:b/>
          <w:i/>
          <w:u w:val="single"/>
        </w:rPr>
        <w:t>detriment</w:t>
      </w:r>
      <w:r w:rsidRPr="00B0365E">
        <w:rPr>
          <w:b/>
          <w:i/>
        </w:rPr>
        <w:t xml:space="preserve"> of the old’</w:t>
      </w:r>
    </w:p>
    <w:p w14:paraId="4BE26C29" w14:textId="77777777" w:rsidR="00B0365E" w:rsidRDefault="00B0365E" w:rsidP="00B0365E">
      <w:pPr>
        <w:pStyle w:val="ListParagraph"/>
      </w:pPr>
    </w:p>
    <w:p w14:paraId="5A0AF82F" w14:textId="77777777" w:rsidR="004E5D32" w:rsidRDefault="00C123E7" w:rsidP="00392BC9">
      <w:pPr>
        <w:pStyle w:val="NoSpacing"/>
        <w:numPr>
          <w:ilvl w:val="1"/>
          <w:numId w:val="70"/>
        </w:numPr>
      </w:pPr>
      <w:r w:rsidRPr="00F869B3">
        <w:rPr>
          <w:i/>
          <w:u w:val="single"/>
        </w:rPr>
        <w:t>‘Possibility’</w:t>
      </w:r>
      <w:r>
        <w:rPr>
          <w:i/>
        </w:rPr>
        <w:t xml:space="preserve"> –</w:t>
      </w:r>
      <w:r w:rsidR="002C2C2D">
        <w:rPr>
          <w:i/>
        </w:rPr>
        <w:t xml:space="preserve"> PCPR 4(b) –</w:t>
      </w:r>
      <w:r>
        <w:rPr>
          <w:i/>
        </w:rPr>
        <w:t xml:space="preserve"> </w:t>
      </w:r>
      <w:r w:rsidR="00924CF0">
        <w:t xml:space="preserve">Possibility and not ‘probability’ </w:t>
      </w:r>
      <w:r w:rsidR="001B03A4">
        <w:t xml:space="preserve">of </w:t>
      </w:r>
      <w:r w:rsidR="00BC3D8A">
        <w:t>misuse</w:t>
      </w:r>
      <w:r w:rsidR="001B03A4">
        <w:t xml:space="preserve"> of confidential information that provides the means for judicial intervention and disqualification </w:t>
      </w:r>
      <w:r w:rsidR="004E5D32">
        <w:tab/>
      </w:r>
    </w:p>
    <w:p w14:paraId="394A3E30" w14:textId="28AB98A0" w:rsidR="00B0365E" w:rsidRPr="00CF6AB8" w:rsidRDefault="001B03A4" w:rsidP="004E5D32">
      <w:pPr>
        <w:pStyle w:val="NoSpacing"/>
        <w:numPr>
          <w:ilvl w:val="2"/>
          <w:numId w:val="70"/>
        </w:numPr>
      </w:pPr>
      <w:r>
        <w:rPr>
          <w:i/>
        </w:rPr>
        <w:t>Euiticorp Holdings Ltd v Hawkins.</w:t>
      </w:r>
    </w:p>
    <w:p w14:paraId="214C2262" w14:textId="60881E39" w:rsidR="00CF6AB8" w:rsidRPr="00CF6AB8" w:rsidRDefault="00CF6AB8" w:rsidP="00CF6AB8">
      <w:pPr>
        <w:pStyle w:val="NoSpacing"/>
        <w:ind w:left="1440"/>
      </w:pPr>
    </w:p>
    <w:p w14:paraId="00CFDCC7" w14:textId="782A9F13" w:rsidR="00CF6AB8" w:rsidRDefault="00CF6AB8" w:rsidP="00392BC9">
      <w:pPr>
        <w:pStyle w:val="NoSpacing"/>
        <w:numPr>
          <w:ilvl w:val="1"/>
          <w:numId w:val="70"/>
        </w:numPr>
      </w:pPr>
      <w:r w:rsidRPr="00F869B3">
        <w:rPr>
          <w:i/>
          <w:u w:val="single"/>
        </w:rPr>
        <w:t>‘A Real Risk’</w:t>
      </w:r>
      <w:r>
        <w:t xml:space="preserve"> – </w:t>
      </w:r>
      <w:r w:rsidR="00CA3977">
        <w:rPr>
          <w:i/>
        </w:rPr>
        <w:t xml:space="preserve">PCPR 4(b) – </w:t>
      </w:r>
      <w:r w:rsidR="00AF657C">
        <w:t xml:space="preserve">The Court will not intervene unless the risk is real and ‘mere’ or ‘theoritical’ risks are not acted upon as the possibilities must ‘have a degree of reality and a degree of reasonableness and sense’ per </w:t>
      </w:r>
      <w:r w:rsidR="00AF657C">
        <w:rPr>
          <w:i/>
        </w:rPr>
        <w:t>R v Parsons.</w:t>
      </w:r>
    </w:p>
    <w:p w14:paraId="4B8C37ED" w14:textId="77777777" w:rsidR="00CF6AB8" w:rsidRDefault="00CF6AB8" w:rsidP="00CF6AB8">
      <w:pPr>
        <w:pStyle w:val="ListParagraph"/>
      </w:pPr>
    </w:p>
    <w:p w14:paraId="219D97C9" w14:textId="3EB281DB" w:rsidR="00AC773E" w:rsidRDefault="00A64E73" w:rsidP="00392BC9">
      <w:pPr>
        <w:pStyle w:val="NoSpacing"/>
        <w:numPr>
          <w:ilvl w:val="2"/>
          <w:numId w:val="70"/>
        </w:numPr>
      </w:pPr>
      <w:r>
        <w:rPr>
          <w:i/>
        </w:rPr>
        <w:t>Inadvertent</w:t>
      </w:r>
      <w:r w:rsidR="00462FFA">
        <w:rPr>
          <w:i/>
        </w:rPr>
        <w:t xml:space="preserve"> Disclosure – </w:t>
      </w:r>
      <w:r w:rsidR="000F6BD4">
        <w:t>The real possibility of misuse of confidential must be related to the ‘inadvertent disclosure’ of such information or the ‘sub</w:t>
      </w:r>
      <w:r w:rsidR="00DF0AC6">
        <w:t>–</w:t>
      </w:r>
      <w:r w:rsidR="00575277">
        <w:t>conscious</w:t>
      </w:r>
      <w:r w:rsidR="000F6BD4">
        <w:t>’ use of it</w:t>
      </w:r>
      <w:r w:rsidR="005F689C">
        <w:t xml:space="preserve">. That is, the real risk that the information may be </w:t>
      </w:r>
      <w:r w:rsidR="00107204">
        <w:t>utilised</w:t>
      </w:r>
      <w:r w:rsidR="000F6BD4">
        <w:t xml:space="preserve"> </w:t>
      </w:r>
      <w:r w:rsidR="0093668F">
        <w:t>against the duty of confidentiality.</w:t>
      </w:r>
    </w:p>
    <w:p w14:paraId="4FA28363" w14:textId="555E66E1" w:rsidR="00201045" w:rsidRPr="00201045" w:rsidRDefault="000F6BD4" w:rsidP="00392BC9">
      <w:pPr>
        <w:pStyle w:val="NoSpacing"/>
        <w:numPr>
          <w:ilvl w:val="3"/>
          <w:numId w:val="70"/>
        </w:numPr>
      </w:pPr>
      <w:r>
        <w:rPr>
          <w:i/>
        </w:rPr>
        <w:t>ACRD Ltd v Hampson.</w:t>
      </w:r>
    </w:p>
    <w:p w14:paraId="28974887" w14:textId="77777777" w:rsidR="00201045" w:rsidRPr="00201045" w:rsidRDefault="00201045" w:rsidP="00201045">
      <w:pPr>
        <w:pStyle w:val="NoSpacing"/>
        <w:ind w:left="2160"/>
      </w:pPr>
    </w:p>
    <w:p w14:paraId="5D4A5438" w14:textId="77777777" w:rsidR="00CF6AB8" w:rsidRDefault="00CF6AB8" w:rsidP="00392BC9">
      <w:pPr>
        <w:pStyle w:val="NoSpacing"/>
        <w:numPr>
          <w:ilvl w:val="2"/>
          <w:numId w:val="70"/>
        </w:numPr>
      </w:pPr>
      <w:r>
        <w:rPr>
          <w:i/>
        </w:rPr>
        <w:lastRenderedPageBreak/>
        <w:t xml:space="preserve">Can change sides if can prove No Real Risk – </w:t>
      </w:r>
      <w:r>
        <w:t>‘</w:t>
      </w:r>
      <w:r w:rsidRPr="00B31B6B">
        <w:t>A lawyer can change sides and act against a former client where the lawyer is able to establish that there is not a real and substantial risk of misuse of confidential information.</w:t>
      </w:r>
      <w:r>
        <w:t>’</w:t>
      </w:r>
    </w:p>
    <w:p w14:paraId="00B06FC6" w14:textId="738CE60A" w:rsidR="00CB5790" w:rsidRDefault="00CF6AB8" w:rsidP="00392BC9">
      <w:pPr>
        <w:pStyle w:val="NoSpacing"/>
        <w:numPr>
          <w:ilvl w:val="3"/>
          <w:numId w:val="70"/>
        </w:numPr>
      </w:pPr>
      <w:r w:rsidRPr="00B31B6B">
        <w:rPr>
          <w:i/>
        </w:rPr>
        <w:t>Photocure ASA v Queens University at Kingtson</w:t>
      </w:r>
    </w:p>
    <w:p w14:paraId="7F620C2F" w14:textId="77777777" w:rsidR="009E7291" w:rsidRPr="009E7291" w:rsidRDefault="009E7291" w:rsidP="009E7291">
      <w:pPr>
        <w:pStyle w:val="NoSpacing"/>
      </w:pPr>
    </w:p>
    <w:p w14:paraId="4573A097" w14:textId="289BF519" w:rsidR="0088097F" w:rsidRDefault="0093010B" w:rsidP="00392BC9">
      <w:pPr>
        <w:pStyle w:val="NoSpacing"/>
        <w:numPr>
          <w:ilvl w:val="1"/>
          <w:numId w:val="70"/>
        </w:numPr>
      </w:pPr>
      <w:r w:rsidRPr="0011568F">
        <w:rPr>
          <w:i/>
          <w:u w:val="single"/>
        </w:rPr>
        <w:t>‘</w:t>
      </w:r>
      <w:r w:rsidR="00F91398" w:rsidRPr="0011568F">
        <w:rPr>
          <w:i/>
          <w:u w:val="single"/>
        </w:rPr>
        <w:t xml:space="preserve">To the </w:t>
      </w:r>
      <w:r w:rsidRPr="0011568F">
        <w:rPr>
          <w:i/>
          <w:u w:val="single"/>
        </w:rPr>
        <w:t>Detriment</w:t>
      </w:r>
      <w:r w:rsidRPr="0011568F">
        <w:rPr>
          <w:u w:val="single"/>
        </w:rPr>
        <w:t>’</w:t>
      </w:r>
      <w:r>
        <w:t xml:space="preserve"> – </w:t>
      </w:r>
      <w:r w:rsidR="00985045">
        <w:t>The real possibility of misuse of confidential information must be to detriment of the former client.</w:t>
      </w:r>
      <w:r w:rsidR="0088097F">
        <w:t xml:space="preserve"> This protects lawyers against frivolous claims and ensure that</w:t>
      </w:r>
    </w:p>
    <w:p w14:paraId="364A3A5F" w14:textId="1F660C22" w:rsidR="0088097F" w:rsidRPr="0088097F" w:rsidRDefault="0088097F" w:rsidP="00392BC9">
      <w:pPr>
        <w:pStyle w:val="NoSpacing"/>
        <w:numPr>
          <w:ilvl w:val="2"/>
          <w:numId w:val="70"/>
        </w:numPr>
      </w:pPr>
      <w:r>
        <w:rPr>
          <w:i/>
        </w:rPr>
        <w:t>‘that disclosure by the solicitor of confidential information with disadvantage the confiding client</w:t>
      </w:r>
      <w:r>
        <w:t>’</w:t>
      </w:r>
    </w:p>
    <w:p w14:paraId="020633F3" w14:textId="4D8E2A6A" w:rsidR="0088097F" w:rsidRPr="00CD75FD" w:rsidRDefault="003E60A3" w:rsidP="00392BC9">
      <w:pPr>
        <w:pStyle w:val="NoSpacing"/>
        <w:numPr>
          <w:ilvl w:val="3"/>
          <w:numId w:val="70"/>
        </w:numPr>
      </w:pPr>
      <w:r>
        <w:rPr>
          <w:i/>
        </w:rPr>
        <w:t>Cardinal Country Club Estate v Astill</w:t>
      </w:r>
    </w:p>
    <w:p w14:paraId="77FD4BC0" w14:textId="77777777" w:rsidR="00CD75FD" w:rsidRPr="00CD75FD" w:rsidRDefault="00CD75FD" w:rsidP="00CD75FD">
      <w:pPr>
        <w:pStyle w:val="NoSpacing"/>
        <w:ind w:left="2880"/>
      </w:pPr>
    </w:p>
    <w:p w14:paraId="4B4FF06C" w14:textId="17D24D71" w:rsidR="00CD75FD" w:rsidRPr="00AC4B41" w:rsidRDefault="00864AF6" w:rsidP="00392BC9">
      <w:pPr>
        <w:pStyle w:val="NoSpacing"/>
        <w:numPr>
          <w:ilvl w:val="2"/>
          <w:numId w:val="70"/>
        </w:numPr>
      </w:pPr>
      <w:r>
        <w:rPr>
          <w:i/>
        </w:rPr>
        <w:t xml:space="preserve">**Proximity of </w:t>
      </w:r>
      <w:r w:rsidR="00CD75FD">
        <w:rPr>
          <w:i/>
        </w:rPr>
        <w:t xml:space="preserve">Retainers – </w:t>
      </w:r>
      <w:r w:rsidR="00CD75FD" w:rsidRPr="00864AF6">
        <w:rPr>
          <w:b/>
          <w:i/>
        </w:rPr>
        <w:t>[see next page]</w:t>
      </w:r>
    </w:p>
    <w:p w14:paraId="6330EC16" w14:textId="77777777" w:rsidR="00F72B6B" w:rsidRDefault="00F72B6B" w:rsidP="00F72B6B">
      <w:pPr>
        <w:pStyle w:val="NoSpacing"/>
      </w:pPr>
    </w:p>
    <w:p w14:paraId="0B8284FB" w14:textId="49FD3CC8" w:rsidR="00AC4B41" w:rsidRPr="00AC4B41" w:rsidRDefault="00936A48" w:rsidP="00392BC9">
      <w:pPr>
        <w:pStyle w:val="NoSpacing"/>
        <w:numPr>
          <w:ilvl w:val="2"/>
          <w:numId w:val="70"/>
        </w:numPr>
      </w:pPr>
      <w:r>
        <w:rPr>
          <w:i/>
        </w:rPr>
        <w:t xml:space="preserve">Proximity of </w:t>
      </w:r>
      <w:r w:rsidR="00AC4B41">
        <w:rPr>
          <w:i/>
        </w:rPr>
        <w:t>Retainers – Sent v John Fairfax Publication; Village Roadshow v Blake Dawson</w:t>
      </w:r>
    </w:p>
    <w:p w14:paraId="51E9CAA9" w14:textId="655A7AE5" w:rsidR="0088097F" w:rsidRDefault="00811FF5" w:rsidP="00392BC9">
      <w:pPr>
        <w:pStyle w:val="NoSpacing"/>
        <w:numPr>
          <w:ilvl w:val="3"/>
          <w:numId w:val="70"/>
        </w:numPr>
      </w:pPr>
      <w:r>
        <w:rPr>
          <w:i/>
        </w:rPr>
        <w:t>‘Closely Related Retainers’</w:t>
      </w:r>
      <w:r>
        <w:t xml:space="preserve"> – The degree to which retainers are closely related</w:t>
      </w:r>
      <w:r w:rsidR="00EC516E">
        <w:t xml:space="preserve"> </w:t>
      </w:r>
      <w:r w:rsidR="00D96A48">
        <w:t>are o</w:t>
      </w:r>
      <w:r w:rsidR="001B4DE0">
        <w:t xml:space="preserve">f significant importance and the more a retainer is related the more likely there is a real </w:t>
      </w:r>
      <w:r w:rsidR="00A62082">
        <w:t>chance</w:t>
      </w:r>
      <w:r w:rsidR="006F76E0">
        <w:t xml:space="preserve"> of misuse and disclosure being related.</w:t>
      </w:r>
    </w:p>
    <w:p w14:paraId="71A9B2CC" w14:textId="3923FC17" w:rsidR="000D52AD" w:rsidRDefault="000D52AD" w:rsidP="00392BC9">
      <w:pPr>
        <w:pStyle w:val="NoSpacing"/>
        <w:numPr>
          <w:ilvl w:val="4"/>
          <w:numId w:val="70"/>
        </w:numPr>
      </w:pPr>
      <w:r>
        <w:rPr>
          <w:i/>
        </w:rPr>
        <w:t xml:space="preserve">Matters are likely to be closed related </w:t>
      </w:r>
      <w:r>
        <w:t>– where ‘significant’ issues in one matter arise in another.</w:t>
      </w:r>
    </w:p>
    <w:p w14:paraId="7B7FBF16" w14:textId="72AF891B" w:rsidR="003B650D" w:rsidRDefault="003B650D" w:rsidP="003B650D">
      <w:pPr>
        <w:pStyle w:val="NoSpacing"/>
        <w:ind w:left="2880"/>
      </w:pPr>
    </w:p>
    <w:p w14:paraId="2B239B26" w14:textId="77777777" w:rsidR="00BE0E45" w:rsidRDefault="006F76E0" w:rsidP="00392BC9">
      <w:pPr>
        <w:pStyle w:val="NoSpacing"/>
        <w:numPr>
          <w:ilvl w:val="3"/>
          <w:numId w:val="70"/>
        </w:numPr>
      </w:pPr>
      <w:r w:rsidRPr="006F76E0">
        <w:rPr>
          <w:i/>
        </w:rPr>
        <w:t>‘Unrelated Retainers’</w:t>
      </w:r>
      <w:r>
        <w:t xml:space="preserve"> –</w:t>
      </w:r>
      <w:r w:rsidR="00EF5D9C">
        <w:t xml:space="preserve"> </w:t>
      </w:r>
      <w:r w:rsidR="00BE0E45">
        <w:t>Where retainers are unrelated, then a disclosure to the detriment of the former client is much less likely.</w:t>
      </w:r>
    </w:p>
    <w:p w14:paraId="72D4DD9C" w14:textId="77777777" w:rsidR="00AC4B41" w:rsidRDefault="00AC4B41" w:rsidP="00AC4B41">
      <w:pPr>
        <w:pStyle w:val="NoSpacing"/>
      </w:pPr>
    </w:p>
    <w:p w14:paraId="450E76A0" w14:textId="63D4EF40" w:rsidR="00E36D51" w:rsidRPr="00E14383" w:rsidRDefault="00F311D0" w:rsidP="00AC4B41">
      <w:pPr>
        <w:pStyle w:val="NoSpacing"/>
        <w:rPr>
          <w:rFonts w:cs="Times New Roman"/>
          <w:b/>
          <w:i/>
          <w:szCs w:val="24"/>
          <w:u w:val="single"/>
        </w:rPr>
      </w:pPr>
      <w:r>
        <w:rPr>
          <w:rFonts w:cs="Times New Roman"/>
          <w:b/>
          <w:i/>
          <w:szCs w:val="24"/>
        </w:rPr>
        <w:t>**</w:t>
      </w:r>
      <w:r w:rsidR="00E36D51" w:rsidRPr="00AC4B41">
        <w:rPr>
          <w:rFonts w:cs="Times New Roman"/>
          <w:b/>
          <w:i/>
          <w:szCs w:val="24"/>
        </w:rPr>
        <w:t>[Point iii]</w:t>
      </w:r>
      <w:r w:rsidR="00BB58D3">
        <w:rPr>
          <w:rFonts w:cs="Times New Roman"/>
          <w:b/>
          <w:i/>
          <w:szCs w:val="24"/>
        </w:rPr>
        <w:t xml:space="preserve"> – Chinese Walls</w:t>
      </w:r>
      <w:r w:rsidR="00E44E89">
        <w:rPr>
          <w:rFonts w:cs="Times New Roman"/>
          <w:b/>
          <w:i/>
          <w:szCs w:val="24"/>
        </w:rPr>
        <w:t xml:space="preserve"> – </w:t>
      </w:r>
      <w:r w:rsidR="00E44E89" w:rsidRPr="00E14383">
        <w:rPr>
          <w:rFonts w:cs="Times New Roman"/>
          <w:b/>
          <w:i/>
          <w:szCs w:val="24"/>
          <w:u w:val="single"/>
        </w:rPr>
        <w:t>LIV Ethics Guidelines regarding Information Barriers</w:t>
      </w:r>
    </w:p>
    <w:p w14:paraId="1D51F083" w14:textId="77777777" w:rsidR="00BF2666" w:rsidRDefault="00BF2666" w:rsidP="009F752F">
      <w:pPr>
        <w:pStyle w:val="NoSpacing"/>
      </w:pPr>
    </w:p>
    <w:p w14:paraId="6D6422D1" w14:textId="757645CD" w:rsidR="009F752F" w:rsidRPr="00330713" w:rsidRDefault="0085425C" w:rsidP="00392BC9">
      <w:pPr>
        <w:pStyle w:val="NoSpacing"/>
        <w:numPr>
          <w:ilvl w:val="0"/>
          <w:numId w:val="72"/>
        </w:numPr>
      </w:pPr>
      <w:r>
        <w:rPr>
          <w:b/>
          <w:i/>
        </w:rPr>
        <w:t xml:space="preserve">Extension to the Firm </w:t>
      </w:r>
      <w:r>
        <w:t>–</w:t>
      </w:r>
      <w:r w:rsidR="00762AED">
        <w:t xml:space="preserve"> </w:t>
      </w:r>
      <w:r w:rsidR="00330713">
        <w:t xml:space="preserve">A lawyer in the possession of confidential information is prohibited from acting against a former client where the information has a ‘real risk’ of prejudicing the client. </w:t>
      </w:r>
      <w:r w:rsidR="00330713" w:rsidRPr="00BB58D3">
        <w:rPr>
          <w:i/>
          <w:u w:val="single"/>
        </w:rPr>
        <w:t>This extends to the members of the lawers firm also possessed with said information</w:t>
      </w:r>
      <w:r w:rsidR="00330713" w:rsidRPr="00BB58D3">
        <w:rPr>
          <w:u w:val="single"/>
        </w:rPr>
        <w:t>.</w:t>
      </w:r>
    </w:p>
    <w:p w14:paraId="5560BB4A" w14:textId="3020D948" w:rsidR="00330713" w:rsidRPr="00BB58D3" w:rsidRDefault="00330713" w:rsidP="00392BC9">
      <w:pPr>
        <w:pStyle w:val="NoSpacing"/>
        <w:numPr>
          <w:ilvl w:val="1"/>
          <w:numId w:val="72"/>
        </w:numPr>
      </w:pPr>
      <w:r w:rsidRPr="00BB58D3">
        <w:rPr>
          <w:i/>
        </w:rPr>
        <w:t>Re a Firm of Solicitiors</w:t>
      </w:r>
      <w:r w:rsidRPr="00330713">
        <w:t>;</w:t>
      </w:r>
      <w:r>
        <w:t xml:space="preserve"> </w:t>
      </w:r>
      <w:r w:rsidRPr="00330713">
        <w:rPr>
          <w:i/>
        </w:rPr>
        <w:t>Mallesons Stephen Jaques v KPMG</w:t>
      </w:r>
    </w:p>
    <w:p w14:paraId="0D8B968F" w14:textId="77777777" w:rsidR="00BB58D3" w:rsidRDefault="00BB58D3" w:rsidP="00BB58D3">
      <w:pPr>
        <w:pStyle w:val="NoSpacing"/>
        <w:ind w:left="1440"/>
      </w:pPr>
    </w:p>
    <w:p w14:paraId="53BCD030" w14:textId="3D176C18" w:rsidR="00BB58D3" w:rsidRDefault="00B94BCF" w:rsidP="00392BC9">
      <w:pPr>
        <w:pStyle w:val="NoSpacing"/>
        <w:numPr>
          <w:ilvl w:val="0"/>
          <w:numId w:val="72"/>
        </w:numPr>
      </w:pPr>
      <w:r w:rsidRPr="00B94BCF">
        <w:rPr>
          <w:b/>
          <w:i/>
        </w:rPr>
        <w:t>Disqualification of Firm</w:t>
      </w:r>
      <w:r>
        <w:rPr>
          <w:i/>
        </w:rPr>
        <w:t xml:space="preserve"> – ‘</w:t>
      </w:r>
      <w:r w:rsidR="00AF421A">
        <w:rPr>
          <w:i/>
        </w:rPr>
        <w:t xml:space="preserve">knowledge of one </w:t>
      </w:r>
      <w:r w:rsidR="00411E46">
        <w:rPr>
          <w:i/>
        </w:rPr>
        <w:t>partner</w:t>
      </w:r>
      <w:r>
        <w:rPr>
          <w:i/>
        </w:rPr>
        <w:t xml:space="preserve"> is</w:t>
      </w:r>
      <w:r w:rsidR="00AF421A">
        <w:rPr>
          <w:i/>
        </w:rPr>
        <w:t xml:space="preserve"> </w:t>
      </w:r>
      <w:r>
        <w:rPr>
          <w:i/>
        </w:rPr>
        <w:t>imputed</w:t>
      </w:r>
      <w:r w:rsidR="00AF421A">
        <w:rPr>
          <w:i/>
        </w:rPr>
        <w:t xml:space="preserve"> to another’ </w:t>
      </w:r>
      <w:r w:rsidR="00AF421A">
        <w:t xml:space="preserve">– PCPR 4 </w:t>
      </w:r>
      <w:r>
        <w:t>– thus inferring that the prohibition of a lawyer infers that the firm is also prohibited per PCPR 4.1.</w:t>
      </w:r>
    </w:p>
    <w:p w14:paraId="27D2BC63" w14:textId="6CB0BE04" w:rsidR="00686E8B" w:rsidRPr="00212618" w:rsidRDefault="00686E8B" w:rsidP="00686E8B">
      <w:pPr>
        <w:pStyle w:val="NoSpacing"/>
        <w:numPr>
          <w:ilvl w:val="1"/>
          <w:numId w:val="72"/>
        </w:numPr>
      </w:pPr>
      <w:r w:rsidRPr="00212618">
        <w:rPr>
          <w:i/>
        </w:rPr>
        <w:t>‘partner, director or employee of the practitioner or of the practitioners firm’</w:t>
      </w:r>
    </w:p>
    <w:p w14:paraId="36587EEF" w14:textId="77777777" w:rsidR="00B94BCF" w:rsidRDefault="00B94BCF" w:rsidP="00B94BCF">
      <w:pPr>
        <w:pStyle w:val="NoSpacing"/>
        <w:ind w:left="720"/>
      </w:pPr>
    </w:p>
    <w:p w14:paraId="1E18EC5B" w14:textId="4FF6E838" w:rsidR="008200DB" w:rsidRDefault="001848C3" w:rsidP="008200DB">
      <w:pPr>
        <w:pStyle w:val="NoSpacing"/>
        <w:numPr>
          <w:ilvl w:val="0"/>
          <w:numId w:val="72"/>
        </w:numPr>
      </w:pPr>
      <w:r w:rsidRPr="005275C4">
        <w:rPr>
          <w:b/>
          <w:i/>
        </w:rPr>
        <w:t xml:space="preserve">Burden </w:t>
      </w:r>
      <w:r w:rsidR="00450325" w:rsidRPr="005275C4">
        <w:rPr>
          <w:b/>
          <w:i/>
        </w:rPr>
        <w:t>Shifts to Solicitior</w:t>
      </w:r>
      <w:r>
        <w:rPr>
          <w:i/>
        </w:rPr>
        <w:t xml:space="preserve"> – </w:t>
      </w:r>
    </w:p>
    <w:p w14:paraId="66C3C8D4" w14:textId="45413E77" w:rsidR="001848C3" w:rsidRDefault="00450325" w:rsidP="00450325">
      <w:pPr>
        <w:pStyle w:val="NoSpacing"/>
        <w:numPr>
          <w:ilvl w:val="1"/>
          <w:numId w:val="72"/>
        </w:numPr>
      </w:pPr>
      <w:r>
        <w:t>‘</w:t>
      </w:r>
      <w:r w:rsidR="008200DB" w:rsidRPr="008200DB">
        <w:t xml:space="preserve">once it appears that a solicitor is in </w:t>
      </w:r>
      <w:r w:rsidR="008200DB" w:rsidRPr="00875537">
        <w:rPr>
          <w:b/>
        </w:rPr>
        <w:t>receipt of information imparted in confidence, the burden shifts to the solicitor to satisfy the Court on the basis of clear and convincing evidence that all effective measures have been taken to ensure that no disclosures will occur</w:t>
      </w:r>
      <w:r w:rsidRPr="00875537">
        <w:rPr>
          <w:b/>
        </w:rPr>
        <w:t>’</w:t>
      </w:r>
    </w:p>
    <w:p w14:paraId="086D69F5" w14:textId="6886854A" w:rsidR="007A64E2" w:rsidRPr="008200DB" w:rsidRDefault="007A64E2" w:rsidP="007A64E2">
      <w:pPr>
        <w:pStyle w:val="NoSpacing"/>
        <w:numPr>
          <w:ilvl w:val="2"/>
          <w:numId w:val="72"/>
        </w:numPr>
      </w:pPr>
      <w:r>
        <w:rPr>
          <w:i/>
        </w:rPr>
        <w:t>Village Roadshow v Blake Dawson Waldron</w:t>
      </w:r>
    </w:p>
    <w:p w14:paraId="3E44F848" w14:textId="77777777" w:rsidR="001848C3" w:rsidRDefault="001848C3" w:rsidP="001848C3">
      <w:pPr>
        <w:pStyle w:val="NoSpacing"/>
        <w:ind w:left="720"/>
      </w:pPr>
    </w:p>
    <w:p w14:paraId="621CCAF6" w14:textId="77777777" w:rsidR="00E32C84" w:rsidRDefault="00E32C84" w:rsidP="001848C3">
      <w:pPr>
        <w:pStyle w:val="NoSpacing"/>
        <w:ind w:left="720"/>
      </w:pPr>
    </w:p>
    <w:p w14:paraId="05A31D8E" w14:textId="77777777" w:rsidR="00E32C84" w:rsidRDefault="00E32C84" w:rsidP="001848C3">
      <w:pPr>
        <w:pStyle w:val="NoSpacing"/>
        <w:ind w:left="720"/>
      </w:pPr>
    </w:p>
    <w:p w14:paraId="5DB1906C" w14:textId="77777777" w:rsidR="00E32C84" w:rsidRDefault="00E32C84" w:rsidP="001848C3">
      <w:pPr>
        <w:pStyle w:val="NoSpacing"/>
        <w:ind w:left="720"/>
      </w:pPr>
    </w:p>
    <w:p w14:paraId="7FFE7624" w14:textId="77777777" w:rsidR="00E32C84" w:rsidRPr="001848C3" w:rsidRDefault="00E32C84" w:rsidP="001848C3">
      <w:pPr>
        <w:pStyle w:val="NoSpacing"/>
        <w:ind w:left="720"/>
      </w:pPr>
    </w:p>
    <w:p w14:paraId="469AA92A" w14:textId="5C95895D" w:rsidR="00B94BCF" w:rsidRPr="00544CDB" w:rsidRDefault="00FA417B" w:rsidP="00392BC9">
      <w:pPr>
        <w:pStyle w:val="NoSpacing"/>
        <w:numPr>
          <w:ilvl w:val="0"/>
          <w:numId w:val="72"/>
        </w:numPr>
      </w:pPr>
      <w:r w:rsidRPr="00544CDB">
        <w:rPr>
          <w:b/>
          <w:i/>
        </w:rPr>
        <w:lastRenderedPageBreak/>
        <w:t>Chinese Walls | Information Barriers</w:t>
      </w:r>
      <w:r>
        <w:rPr>
          <w:i/>
        </w:rPr>
        <w:t xml:space="preserve"> – </w:t>
      </w:r>
      <w:r w:rsidR="00552E78">
        <w:rPr>
          <w:i/>
        </w:rPr>
        <w:t>[</w:t>
      </w:r>
      <w:r w:rsidR="00552E78" w:rsidRPr="00290336">
        <w:rPr>
          <w:b/>
          <w:i/>
        </w:rPr>
        <w:t>see effective implementations next page</w:t>
      </w:r>
      <w:r w:rsidR="00552E78">
        <w:rPr>
          <w:i/>
        </w:rPr>
        <w:t>]</w:t>
      </w:r>
    </w:p>
    <w:p w14:paraId="4A3C9E7D" w14:textId="06484DE9" w:rsidR="00544CDB" w:rsidRDefault="0084728D" w:rsidP="00544CDB">
      <w:pPr>
        <w:pStyle w:val="NoSpacing"/>
        <w:numPr>
          <w:ilvl w:val="1"/>
          <w:numId w:val="72"/>
        </w:numPr>
      </w:pPr>
      <w:r>
        <w:rPr>
          <w:i/>
        </w:rPr>
        <w:t>‘</w:t>
      </w:r>
      <w:r w:rsidR="000D4885">
        <w:rPr>
          <w:i/>
        </w:rPr>
        <w:t>Presumption of Imputed Knowledge’</w:t>
      </w:r>
      <w:r>
        <w:rPr>
          <w:i/>
        </w:rPr>
        <w:t xml:space="preserve"> </w:t>
      </w:r>
      <w:r>
        <w:t xml:space="preserve">– The presumption of imputed knowledge </w:t>
      </w:r>
      <w:r w:rsidR="0042305C">
        <w:t>in large intra</w:t>
      </w:r>
      <w:r w:rsidR="00A75606">
        <w:t>state</w:t>
      </w:r>
      <w:r w:rsidR="0042305C">
        <w:t xml:space="preserve"> and </w:t>
      </w:r>
      <w:r w:rsidR="00255D9A">
        <w:t>interstate</w:t>
      </w:r>
      <w:r w:rsidR="0042305C">
        <w:t xml:space="preserve"> firms and even multi</w:t>
      </w:r>
      <w:r w:rsidR="00DF0AC6">
        <w:t>–</w:t>
      </w:r>
      <w:r w:rsidR="0042305C">
        <w:t xml:space="preserve">national firms </w:t>
      </w:r>
      <w:r w:rsidR="00FB2CDD">
        <w:t>is no longer a practical reality.</w:t>
      </w:r>
    </w:p>
    <w:p w14:paraId="45A8E5DE" w14:textId="741BB794" w:rsidR="00096170" w:rsidRPr="00E44E89" w:rsidRDefault="00096170" w:rsidP="00096170">
      <w:pPr>
        <w:pStyle w:val="NoSpacing"/>
        <w:numPr>
          <w:ilvl w:val="2"/>
          <w:numId w:val="72"/>
        </w:numPr>
      </w:pPr>
      <w:r w:rsidRPr="00096170">
        <w:rPr>
          <w:i/>
        </w:rPr>
        <w:t>Mallesons Stephen Jacques v KPMG</w:t>
      </w:r>
    </w:p>
    <w:p w14:paraId="207478B1" w14:textId="77777777" w:rsidR="00FB2CDD" w:rsidRDefault="00FB2CDD" w:rsidP="00FB2CDD">
      <w:pPr>
        <w:pStyle w:val="NoSpacing"/>
        <w:ind w:left="1440"/>
      </w:pPr>
    </w:p>
    <w:p w14:paraId="4F0A292B" w14:textId="18B0F93B" w:rsidR="00FB2CDD" w:rsidRDefault="008C13E1" w:rsidP="00544CDB">
      <w:pPr>
        <w:pStyle w:val="NoSpacing"/>
        <w:numPr>
          <w:ilvl w:val="1"/>
          <w:numId w:val="72"/>
        </w:numPr>
      </w:pPr>
      <w:r w:rsidRPr="00B425DF">
        <w:rPr>
          <w:i/>
        </w:rPr>
        <w:t>Test of Information Barriers</w:t>
      </w:r>
      <w:r>
        <w:t xml:space="preserve"> – </w:t>
      </w:r>
    </w:p>
    <w:p w14:paraId="372B0001" w14:textId="532489C0" w:rsidR="004A3674" w:rsidRPr="004A3674" w:rsidRDefault="0021656F" w:rsidP="004A3674">
      <w:pPr>
        <w:pStyle w:val="NoSpacing"/>
        <w:numPr>
          <w:ilvl w:val="2"/>
          <w:numId w:val="72"/>
        </w:numPr>
      </w:pPr>
      <w:r>
        <w:rPr>
          <w:i/>
        </w:rPr>
        <w:t xml:space="preserve">Real and Sensible Possibility – </w:t>
      </w:r>
      <w:r w:rsidR="004A3674" w:rsidRPr="004A3674">
        <w:t>The “</w:t>
      </w:r>
      <w:r w:rsidR="004A3674" w:rsidRPr="0050146D">
        <w:rPr>
          <w:b/>
        </w:rPr>
        <w:t>real</w:t>
      </w:r>
      <w:r w:rsidR="004A3674" w:rsidRPr="004A3674">
        <w:t xml:space="preserve"> </w:t>
      </w:r>
      <w:r w:rsidR="004A3674" w:rsidRPr="0050146D">
        <w:rPr>
          <w:b/>
        </w:rPr>
        <w:t>and sensible possibility</w:t>
      </w:r>
      <w:r w:rsidR="004A3674" w:rsidRPr="004A3674">
        <w:t xml:space="preserve">” test is now favoured by the Australian courts in commercial cases </w:t>
      </w:r>
    </w:p>
    <w:p w14:paraId="5356AF25" w14:textId="70F4A707" w:rsidR="00113CF7" w:rsidRDefault="004A3674" w:rsidP="004A3674">
      <w:pPr>
        <w:pStyle w:val="NoSpacing"/>
        <w:numPr>
          <w:ilvl w:val="3"/>
          <w:numId w:val="72"/>
        </w:numPr>
      </w:pPr>
      <w:r w:rsidRPr="004A3674">
        <w:rPr>
          <w:i/>
        </w:rPr>
        <w:t>Mallesons Stephen Jacques v KPMG; Australian Liquor Marketers Pty Ltd v Tasman Liquor Traders Pty Ltd</w:t>
      </w:r>
      <w:r w:rsidRPr="004A3674">
        <w:t xml:space="preserve"> </w:t>
      </w:r>
    </w:p>
    <w:p w14:paraId="1E172F49" w14:textId="77777777" w:rsidR="00FB6861" w:rsidRDefault="00FB6861" w:rsidP="00FB6861">
      <w:pPr>
        <w:pStyle w:val="NoSpacing"/>
        <w:ind w:left="2880"/>
      </w:pPr>
    </w:p>
    <w:p w14:paraId="40E9F6F2" w14:textId="77777777" w:rsidR="00480685" w:rsidRDefault="000A3949" w:rsidP="00480685">
      <w:pPr>
        <w:pStyle w:val="NoSpacing"/>
        <w:numPr>
          <w:ilvl w:val="1"/>
          <w:numId w:val="72"/>
        </w:numPr>
      </w:pPr>
      <w:r>
        <w:rPr>
          <w:i/>
        </w:rPr>
        <w:t>Small vs. Large Firms</w:t>
      </w:r>
      <w:r w:rsidR="00FB6861">
        <w:rPr>
          <w:i/>
        </w:rPr>
        <w:t xml:space="preserve"> – </w:t>
      </w:r>
    </w:p>
    <w:p w14:paraId="19847215" w14:textId="77777777" w:rsidR="0072762F" w:rsidRPr="0072762F" w:rsidRDefault="00480685" w:rsidP="00480685">
      <w:pPr>
        <w:pStyle w:val="NoSpacing"/>
        <w:numPr>
          <w:ilvl w:val="2"/>
          <w:numId w:val="72"/>
        </w:numPr>
      </w:pPr>
      <w:r>
        <w:rPr>
          <w:i/>
        </w:rPr>
        <w:t xml:space="preserve">Small Firms – </w:t>
      </w:r>
    </w:p>
    <w:p w14:paraId="7065B2CC" w14:textId="5BA96439" w:rsidR="00942AC5" w:rsidRDefault="0072762F" w:rsidP="0072762F">
      <w:pPr>
        <w:pStyle w:val="NoSpacing"/>
        <w:numPr>
          <w:ilvl w:val="3"/>
          <w:numId w:val="72"/>
        </w:numPr>
      </w:pPr>
      <w:r>
        <w:rPr>
          <w:i/>
        </w:rPr>
        <w:t xml:space="preserve">LIV Guidelines 2.10 – Difficult </w:t>
      </w:r>
      <w:r w:rsidR="00077C92">
        <w:rPr>
          <w:i/>
        </w:rPr>
        <w:t xml:space="preserve">for a Small Firm – </w:t>
      </w:r>
      <w:r w:rsidR="001C7F79" w:rsidRPr="00563A4D">
        <w:t>D</w:t>
      </w:r>
      <w:r w:rsidR="00480685">
        <w:t xml:space="preserve">ifficult for a small firm to demonstrate compliance with the guidelines as a question of fact, particularly the requirements to keep staff and files physically separate. </w:t>
      </w:r>
    </w:p>
    <w:p w14:paraId="4DD3C884" w14:textId="5DB0F939" w:rsidR="00FB6861" w:rsidRDefault="009926A2" w:rsidP="009926A2">
      <w:pPr>
        <w:pStyle w:val="NoSpacing"/>
        <w:numPr>
          <w:ilvl w:val="4"/>
          <w:numId w:val="72"/>
        </w:numPr>
      </w:pPr>
      <w:r>
        <w:rPr>
          <w:i/>
        </w:rPr>
        <w:t xml:space="preserve">Firm takes the risk – </w:t>
      </w:r>
      <w:r w:rsidR="00480685">
        <w:t>While the courts acknowledge the hardship this may cause for litigants, particularly in rural areas or in specialized areas of law with limited numbers of practitioners, that hardship is but one factor and it does not outweigh the importance of confidentiality.</w:t>
      </w:r>
    </w:p>
    <w:p w14:paraId="04F281B8" w14:textId="77777777" w:rsidR="003D13DB" w:rsidRPr="003D13DB" w:rsidRDefault="003D13DB" w:rsidP="005F00D3">
      <w:pPr>
        <w:pStyle w:val="NoSpacing"/>
        <w:numPr>
          <w:ilvl w:val="1"/>
          <w:numId w:val="72"/>
        </w:numPr>
      </w:pPr>
    </w:p>
    <w:p w14:paraId="3A1F2593" w14:textId="18705E01" w:rsidR="005F00D3" w:rsidRDefault="00821800" w:rsidP="005F00D3">
      <w:pPr>
        <w:pStyle w:val="NoSpacing"/>
        <w:numPr>
          <w:ilvl w:val="1"/>
          <w:numId w:val="72"/>
        </w:numPr>
      </w:pPr>
      <w:r w:rsidRPr="00E603A1">
        <w:rPr>
          <w:i/>
        </w:rPr>
        <w:t xml:space="preserve">Effective Implementations </w:t>
      </w:r>
      <w:r w:rsidR="00C424C7">
        <w:rPr>
          <w:i/>
        </w:rPr>
        <w:t xml:space="preserve">of Barriers </w:t>
      </w:r>
      <w:r w:rsidRPr="00E603A1">
        <w:rPr>
          <w:i/>
        </w:rPr>
        <w:t>require</w:t>
      </w:r>
      <w:r>
        <w:t xml:space="preserve"> – </w:t>
      </w:r>
    </w:p>
    <w:p w14:paraId="315EEF0A" w14:textId="77777777" w:rsidR="008E02DE" w:rsidRPr="008E02DE" w:rsidRDefault="008E02DE" w:rsidP="008E02DE">
      <w:pPr>
        <w:pStyle w:val="NoSpacing"/>
        <w:ind w:left="2160"/>
      </w:pPr>
    </w:p>
    <w:p w14:paraId="1D2D5845" w14:textId="4DAC063D" w:rsidR="00821800" w:rsidRDefault="00EB76EB" w:rsidP="00EB76EB">
      <w:pPr>
        <w:pStyle w:val="NoSpacing"/>
        <w:numPr>
          <w:ilvl w:val="2"/>
          <w:numId w:val="72"/>
        </w:numPr>
      </w:pPr>
      <w:r w:rsidRPr="007E5C05">
        <w:rPr>
          <w:i/>
          <w:u w:val="single"/>
        </w:rPr>
        <w:t>Documented Protocols in Place</w:t>
      </w:r>
      <w:r>
        <w:rPr>
          <w:b/>
          <w:i/>
        </w:rPr>
        <w:t xml:space="preserve"> </w:t>
      </w:r>
      <w:r w:rsidR="00DF0AC6">
        <w:rPr>
          <w:i/>
        </w:rPr>
        <w:t>–</w:t>
      </w:r>
      <w:r>
        <w:rPr>
          <w:i/>
        </w:rPr>
        <w:t xml:space="preserve"> </w:t>
      </w:r>
      <w:r>
        <w:t>The law practice should have established, documented protocols for setting up and maintaining information barriers. In all matters the law practice should carefully control access to any client information by personnel in the law practice in view of the possible requirement for an information barrier in the future.</w:t>
      </w:r>
    </w:p>
    <w:p w14:paraId="006722AB" w14:textId="0FA9BD69" w:rsidR="00364F25" w:rsidRPr="00364F25" w:rsidRDefault="00364F25" w:rsidP="00364F25">
      <w:pPr>
        <w:pStyle w:val="NoSpacing"/>
        <w:numPr>
          <w:ilvl w:val="3"/>
          <w:numId w:val="72"/>
        </w:numPr>
      </w:pPr>
      <w:r w:rsidRPr="00364F25">
        <w:rPr>
          <w:i/>
        </w:rPr>
        <w:t>Prince Jefri Bolkiah v KPMG</w:t>
      </w:r>
    </w:p>
    <w:p w14:paraId="73C51FFD" w14:textId="77777777" w:rsidR="00C95475" w:rsidRDefault="00C95475" w:rsidP="00C95475">
      <w:pPr>
        <w:pStyle w:val="NoSpacing"/>
        <w:ind w:left="2160"/>
      </w:pPr>
    </w:p>
    <w:p w14:paraId="70B76D96" w14:textId="074199B4" w:rsidR="00EB6A44" w:rsidRDefault="00072463" w:rsidP="00EB76EB">
      <w:pPr>
        <w:pStyle w:val="NoSpacing"/>
        <w:numPr>
          <w:ilvl w:val="2"/>
          <w:numId w:val="72"/>
        </w:numPr>
      </w:pPr>
      <w:r>
        <w:rPr>
          <w:i/>
          <w:u w:val="single"/>
        </w:rPr>
        <w:t>Nomination of Compliance Officer</w:t>
      </w:r>
      <w:r w:rsidRPr="00E554C9">
        <w:rPr>
          <w:i/>
        </w:rPr>
        <w:t xml:space="preserve"> </w:t>
      </w:r>
      <w:r w:rsidRPr="00E554C9">
        <w:t>– Nomination of a compliance officer experienced in law relating to confidentiality, conflict of interest and information barriers who will undertake continual monitoring.</w:t>
      </w:r>
    </w:p>
    <w:p w14:paraId="03C69169" w14:textId="77777777" w:rsidR="00C95475" w:rsidRDefault="00C95475" w:rsidP="00C95475">
      <w:pPr>
        <w:pStyle w:val="NoSpacing"/>
        <w:ind w:left="2160"/>
      </w:pPr>
    </w:p>
    <w:p w14:paraId="6DF78D07" w14:textId="296AB814" w:rsidR="00867E84" w:rsidRDefault="00D358D1" w:rsidP="00EB76EB">
      <w:pPr>
        <w:pStyle w:val="NoSpacing"/>
        <w:numPr>
          <w:ilvl w:val="2"/>
          <w:numId w:val="72"/>
        </w:numPr>
      </w:pPr>
      <w:r>
        <w:rPr>
          <w:i/>
          <w:u w:val="single"/>
        </w:rPr>
        <w:t xml:space="preserve">Disclosure of Prior Matter – </w:t>
      </w:r>
      <w:r>
        <w:t>Should ensure that the client in the current matter acknowledges the firms duty of disclosure does not extend to any confidential information from earlier matters and consents on this basis.</w:t>
      </w:r>
    </w:p>
    <w:p w14:paraId="61D39282" w14:textId="0DE0CA89" w:rsidR="00C95475" w:rsidRPr="00C95475" w:rsidRDefault="00C95475" w:rsidP="00C95475">
      <w:pPr>
        <w:pStyle w:val="NoSpacing"/>
        <w:numPr>
          <w:ilvl w:val="3"/>
          <w:numId w:val="72"/>
        </w:numPr>
      </w:pPr>
      <w:r w:rsidRPr="00C95475">
        <w:rPr>
          <w:i/>
        </w:rPr>
        <w:t>‘Informed Consent’ –</w:t>
      </w:r>
      <w:r>
        <w:t xml:space="preserve"> </w:t>
      </w:r>
      <w:r w:rsidRPr="00C95475">
        <w:rPr>
          <w:i/>
        </w:rPr>
        <w:t>Village Roadshow v Blake Dawson</w:t>
      </w:r>
    </w:p>
    <w:p w14:paraId="19BB05DF" w14:textId="77777777" w:rsidR="00C95475" w:rsidRPr="00C95475" w:rsidRDefault="00C95475" w:rsidP="00C95475">
      <w:pPr>
        <w:pStyle w:val="NoSpacing"/>
        <w:ind w:left="2880"/>
      </w:pPr>
    </w:p>
    <w:p w14:paraId="65267AD8" w14:textId="70D1CB04" w:rsidR="0048393F" w:rsidRDefault="009043E6" w:rsidP="00C95475">
      <w:pPr>
        <w:pStyle w:val="NoSpacing"/>
        <w:numPr>
          <w:ilvl w:val="2"/>
          <w:numId w:val="72"/>
        </w:numPr>
      </w:pPr>
      <w:r>
        <w:rPr>
          <w:i/>
          <w:u w:val="single"/>
        </w:rPr>
        <w:t xml:space="preserve">Record of Access – </w:t>
      </w:r>
      <w:r w:rsidR="00364F25" w:rsidRPr="009043E6">
        <w:t>All screened persons should be clearly identified and compliance officer must keep a record</w:t>
      </w:r>
      <w:r>
        <w:t>.</w:t>
      </w:r>
    </w:p>
    <w:p w14:paraId="5D31F9C6" w14:textId="77777777" w:rsidR="00DD4A6C" w:rsidRPr="00535DC3" w:rsidRDefault="00364F25" w:rsidP="0048393F">
      <w:pPr>
        <w:pStyle w:val="NoSpacing"/>
        <w:numPr>
          <w:ilvl w:val="3"/>
          <w:numId w:val="72"/>
        </w:numPr>
      </w:pPr>
      <w:r>
        <w:rPr>
          <w:i/>
        </w:rPr>
        <w:t xml:space="preserve"> </w:t>
      </w:r>
      <w:r w:rsidR="005F5FBE">
        <w:rPr>
          <w:i/>
        </w:rPr>
        <w:t xml:space="preserve">‘No Contact Rule’ </w:t>
      </w:r>
      <w:r w:rsidR="005F5FBE">
        <w:t xml:space="preserve">– </w:t>
      </w:r>
      <w:r w:rsidR="00DD4A6C">
        <w:rPr>
          <w:i/>
        </w:rPr>
        <w:t xml:space="preserve">Newman v </w:t>
      </w:r>
      <w:r w:rsidR="005F5FBE">
        <w:rPr>
          <w:i/>
        </w:rPr>
        <w:t>Phillips Fox</w:t>
      </w:r>
    </w:p>
    <w:p w14:paraId="487FE821" w14:textId="77777777" w:rsidR="00535DC3" w:rsidRPr="00DD4A6C" w:rsidRDefault="00535DC3" w:rsidP="00535DC3">
      <w:pPr>
        <w:pStyle w:val="NoSpacing"/>
        <w:ind w:left="2880"/>
      </w:pPr>
    </w:p>
    <w:p w14:paraId="6C692B9D" w14:textId="39D0A169" w:rsidR="00C95475" w:rsidRDefault="005F5FBE" w:rsidP="00DD4A6C">
      <w:pPr>
        <w:pStyle w:val="NoSpacing"/>
        <w:numPr>
          <w:ilvl w:val="2"/>
          <w:numId w:val="72"/>
        </w:numPr>
      </w:pPr>
      <w:r>
        <w:rPr>
          <w:i/>
        </w:rPr>
        <w:t xml:space="preserve"> </w:t>
      </w:r>
      <w:r w:rsidR="00E62E31" w:rsidRPr="00D77C91">
        <w:rPr>
          <w:i/>
          <w:u w:val="single"/>
        </w:rPr>
        <w:t>Not discuss matter with or seek any relevant confidential information</w:t>
      </w:r>
      <w:r w:rsidR="00E62E31">
        <w:rPr>
          <w:i/>
        </w:rPr>
        <w:t xml:space="preserve"> </w:t>
      </w:r>
      <w:r w:rsidR="00E62E31">
        <w:t xml:space="preserve">– </w:t>
      </w:r>
      <w:r w:rsidR="00D77C91">
        <w:t xml:space="preserve">Persons involved in the matter should not seek confidential </w:t>
      </w:r>
      <w:r w:rsidR="00D77C91">
        <w:lastRenderedPageBreak/>
        <w:t>information or receive any confindential information about the earlier matter and will notify of breach.</w:t>
      </w:r>
    </w:p>
    <w:p w14:paraId="1BC011D9" w14:textId="4EC64581" w:rsidR="00D77C91" w:rsidRPr="0054134D" w:rsidRDefault="00FF798B" w:rsidP="00D77C91">
      <w:pPr>
        <w:pStyle w:val="NoSpacing"/>
        <w:numPr>
          <w:ilvl w:val="3"/>
          <w:numId w:val="72"/>
        </w:numPr>
      </w:pPr>
      <w:r>
        <w:rPr>
          <w:i/>
        </w:rPr>
        <w:t>‘Undertakings of Confidence’ – Newman v Phillips Fox</w:t>
      </w:r>
      <w:r w:rsidR="005B3751">
        <w:rPr>
          <w:i/>
        </w:rPr>
        <w:t>; Prince Jefri Bolkiah v KPMG</w:t>
      </w:r>
    </w:p>
    <w:p w14:paraId="7BBB5708" w14:textId="77777777" w:rsidR="0054134D" w:rsidRPr="0054134D" w:rsidRDefault="0054134D" w:rsidP="0054134D">
      <w:pPr>
        <w:pStyle w:val="NoSpacing"/>
        <w:ind w:left="2880"/>
      </w:pPr>
    </w:p>
    <w:p w14:paraId="3321000C" w14:textId="6AD4DDB2" w:rsidR="0054134D" w:rsidRDefault="0054134D" w:rsidP="0054134D">
      <w:pPr>
        <w:pStyle w:val="NoSpacing"/>
        <w:numPr>
          <w:ilvl w:val="2"/>
          <w:numId w:val="72"/>
        </w:numPr>
      </w:pPr>
      <w:r w:rsidRPr="0054134D">
        <w:rPr>
          <w:i/>
          <w:u w:val="single"/>
        </w:rPr>
        <w:t>Protect confidentiality of all correspondence of earlier matter</w:t>
      </w:r>
      <w:r>
        <w:rPr>
          <w:i/>
        </w:rPr>
        <w:t xml:space="preserve"> – </w:t>
      </w:r>
      <w:r>
        <w:t>The law firm should ensure that all documentation related to the earlier matter is protected and stored in a secure place – preferably offsite.</w:t>
      </w:r>
    </w:p>
    <w:p w14:paraId="0468B782" w14:textId="77777777" w:rsidR="001A2E3C" w:rsidRDefault="001A2E3C" w:rsidP="001A2E3C">
      <w:pPr>
        <w:pStyle w:val="NoSpacing"/>
        <w:ind w:left="2160"/>
      </w:pPr>
    </w:p>
    <w:p w14:paraId="791DB9AA" w14:textId="38DC57CE" w:rsidR="001A2E3C" w:rsidRDefault="001A2E3C" w:rsidP="0054134D">
      <w:pPr>
        <w:pStyle w:val="NoSpacing"/>
        <w:numPr>
          <w:ilvl w:val="2"/>
          <w:numId w:val="72"/>
        </w:numPr>
      </w:pPr>
      <w:r>
        <w:rPr>
          <w:i/>
          <w:u w:val="single"/>
        </w:rPr>
        <w:t xml:space="preserve">Ongoing Education &amp; Discipline </w:t>
      </w:r>
      <w:r>
        <w:t>– Ensure that all staff are constantly trained and aware of their ongoing obligations in relation to the matter and their involvement in it and the duty of confidentiality.</w:t>
      </w:r>
    </w:p>
    <w:p w14:paraId="60B65025" w14:textId="77777777" w:rsidR="00266799" w:rsidRDefault="00266799" w:rsidP="00266799">
      <w:pPr>
        <w:pStyle w:val="ListParagraph"/>
      </w:pPr>
    </w:p>
    <w:p w14:paraId="237222E1" w14:textId="143528D9" w:rsidR="00266799" w:rsidRPr="00266799" w:rsidRDefault="00266799" w:rsidP="00266799">
      <w:pPr>
        <w:pStyle w:val="NoSpacing"/>
        <w:numPr>
          <w:ilvl w:val="0"/>
          <w:numId w:val="72"/>
        </w:numPr>
      </w:pPr>
      <w:r w:rsidRPr="00266799">
        <w:rPr>
          <w:b/>
          <w:i/>
        </w:rPr>
        <w:t>Rebut the Presumption through Effective Controls above</w:t>
      </w:r>
      <w:r>
        <w:rPr>
          <w:i/>
        </w:rPr>
        <w:t xml:space="preserve"> – </w:t>
      </w:r>
    </w:p>
    <w:p w14:paraId="566CCDA5" w14:textId="3856A8C8" w:rsidR="00266799" w:rsidRDefault="00FC5CF8" w:rsidP="00266799">
      <w:pPr>
        <w:pStyle w:val="NoSpacing"/>
        <w:numPr>
          <w:ilvl w:val="1"/>
          <w:numId w:val="72"/>
        </w:numPr>
      </w:pPr>
      <w:r>
        <w:rPr>
          <w:i/>
        </w:rPr>
        <w:t>Overcome Presumption</w:t>
      </w:r>
      <w:r w:rsidR="00266799">
        <w:rPr>
          <w:i/>
        </w:rPr>
        <w:t xml:space="preserve"> </w:t>
      </w:r>
      <w:r w:rsidR="00266799">
        <w:t>– Through clear and convincing evidence, the presumption can be rebutted through the relevantly evidenced measures that have been taken to ensure that no disclosure will – now or in the future.</w:t>
      </w:r>
    </w:p>
    <w:p w14:paraId="7E81273D" w14:textId="37B271C9" w:rsidR="00266799" w:rsidRDefault="00911CE8" w:rsidP="00266799">
      <w:pPr>
        <w:pStyle w:val="NoSpacing"/>
        <w:numPr>
          <w:ilvl w:val="2"/>
          <w:numId w:val="72"/>
        </w:numPr>
      </w:pPr>
      <w:r>
        <w:rPr>
          <w:b/>
          <w:i/>
        </w:rPr>
        <w:t>Newman as Trustee of Estate v Phillips Fox</w:t>
      </w:r>
    </w:p>
    <w:p w14:paraId="632F441A" w14:textId="77777777" w:rsidR="003A03F9" w:rsidRDefault="003A03F9" w:rsidP="00A77706">
      <w:pPr>
        <w:pStyle w:val="NoSpacing"/>
        <w:rPr>
          <w:rFonts w:cs="Times New Roman"/>
          <w:szCs w:val="24"/>
        </w:rPr>
      </w:pPr>
    </w:p>
    <w:p w14:paraId="56DDEAC3" w14:textId="77777777" w:rsidR="00B23314" w:rsidRDefault="00B23314" w:rsidP="00A77706">
      <w:pPr>
        <w:pStyle w:val="NoSpacing"/>
        <w:rPr>
          <w:rFonts w:cs="Times New Roman"/>
          <w:szCs w:val="24"/>
        </w:rPr>
      </w:pPr>
    </w:p>
    <w:p w14:paraId="3492290D" w14:textId="7E49FDF1" w:rsidR="00017DC1" w:rsidRPr="00E36D51" w:rsidRDefault="00B23314" w:rsidP="00A77706">
      <w:pPr>
        <w:pStyle w:val="NoSpacing"/>
        <w:rPr>
          <w:rFonts w:cs="Times New Roman"/>
          <w:b/>
          <w:i/>
          <w:szCs w:val="24"/>
        </w:rPr>
      </w:pPr>
      <w:r>
        <w:rPr>
          <w:rFonts w:cs="Times New Roman"/>
          <w:b/>
          <w:i/>
          <w:szCs w:val="24"/>
        </w:rPr>
        <w:t>*</w:t>
      </w:r>
      <w:proofErr w:type="gramStart"/>
      <w:r>
        <w:rPr>
          <w:rFonts w:cs="Times New Roman"/>
          <w:b/>
          <w:i/>
          <w:szCs w:val="24"/>
        </w:rPr>
        <w:t>*</w:t>
      </w:r>
      <w:r w:rsidR="00E36D51">
        <w:rPr>
          <w:rFonts w:cs="Times New Roman"/>
          <w:b/>
          <w:i/>
          <w:szCs w:val="24"/>
        </w:rPr>
        <w:t>[</w:t>
      </w:r>
      <w:proofErr w:type="gramEnd"/>
      <w:r w:rsidR="00E36D51">
        <w:rPr>
          <w:rFonts w:cs="Times New Roman"/>
          <w:b/>
          <w:i/>
          <w:szCs w:val="24"/>
        </w:rPr>
        <w:t>Point iv]</w:t>
      </w:r>
      <w:r>
        <w:rPr>
          <w:rFonts w:cs="Times New Roman"/>
          <w:b/>
          <w:i/>
          <w:szCs w:val="24"/>
        </w:rPr>
        <w:t xml:space="preserve"> – Grant Injunction</w:t>
      </w:r>
    </w:p>
    <w:p w14:paraId="663D9503" w14:textId="77777777" w:rsidR="00017DC1" w:rsidRDefault="00017DC1" w:rsidP="00A77706">
      <w:pPr>
        <w:pStyle w:val="NoSpacing"/>
        <w:rPr>
          <w:rFonts w:cs="Times New Roman"/>
          <w:szCs w:val="24"/>
        </w:rPr>
      </w:pPr>
    </w:p>
    <w:p w14:paraId="553E8308" w14:textId="77777777" w:rsidR="00E36D51" w:rsidRDefault="00E36D51" w:rsidP="00392BC9">
      <w:pPr>
        <w:pStyle w:val="NoSpacing"/>
        <w:numPr>
          <w:ilvl w:val="0"/>
          <w:numId w:val="71"/>
        </w:numPr>
      </w:pPr>
      <w:r w:rsidRPr="009D38EA">
        <w:rPr>
          <w:b/>
          <w:i/>
        </w:rPr>
        <w:t>Inherent Jurisdiction</w:t>
      </w:r>
      <w:r w:rsidRPr="009D38EA">
        <w:rPr>
          <w:i/>
        </w:rPr>
        <w:t xml:space="preserve"> </w:t>
      </w:r>
      <w:r>
        <w:rPr>
          <w:i/>
        </w:rPr>
        <w:t>[</w:t>
      </w:r>
      <w:r w:rsidRPr="003462A5">
        <w:rPr>
          <w:b/>
          <w:i/>
        </w:rPr>
        <w:t>permit injunction</w:t>
      </w:r>
      <w:r>
        <w:rPr>
          <w:i/>
        </w:rPr>
        <w:t xml:space="preserve">] </w:t>
      </w:r>
      <w:r w:rsidRPr="009D38EA">
        <w:rPr>
          <w:i/>
        </w:rPr>
        <w:t xml:space="preserve">– </w:t>
      </w:r>
      <w:r>
        <w:t xml:space="preserve">The Court has the inherent jurisdiction to determine which of its officers are allowed to represent parties to argue cases before it per </w:t>
      </w:r>
      <w:r w:rsidRPr="009D38EA">
        <w:rPr>
          <w:i/>
        </w:rPr>
        <w:t>Grimwade v Meagher</w:t>
      </w:r>
      <w:r>
        <w:t>.</w:t>
      </w:r>
    </w:p>
    <w:p w14:paraId="5A35B6DA" w14:textId="72EBA11C" w:rsidR="00E36D51" w:rsidRPr="009D38EA" w:rsidRDefault="00BA7702" w:rsidP="00392BC9">
      <w:pPr>
        <w:pStyle w:val="NoSpacing"/>
        <w:numPr>
          <w:ilvl w:val="1"/>
          <w:numId w:val="71"/>
        </w:numPr>
      </w:pPr>
      <w:r w:rsidRPr="00BA7702">
        <w:rPr>
          <w:b/>
          <w:i/>
        </w:rPr>
        <w:t>**</w:t>
      </w:r>
      <w:r w:rsidR="00E36D51" w:rsidRPr="00BA7702">
        <w:rPr>
          <w:b/>
          <w:i/>
        </w:rPr>
        <w:t>Test</w:t>
      </w:r>
      <w:r w:rsidR="00E36D51" w:rsidRPr="009D38EA">
        <w:rPr>
          <w:i/>
        </w:rPr>
        <w:t xml:space="preserve"> –</w:t>
      </w:r>
      <w:r w:rsidR="00E36D51" w:rsidRPr="009D38EA">
        <w:t xml:space="preserve"> </w:t>
      </w:r>
      <w:r w:rsidRPr="00BA7702">
        <w:rPr>
          <w:i/>
        </w:rPr>
        <w:t>‘</w:t>
      </w:r>
      <w:r w:rsidR="00E36D51" w:rsidRPr="00BA7702">
        <w:rPr>
          <w:i/>
        </w:rPr>
        <w:t>W</w:t>
      </w:r>
      <w:r w:rsidR="00E36D51" w:rsidRPr="00BA7702">
        <w:rPr>
          <w:rFonts w:cs="Times New Roman"/>
          <w:i/>
          <w:szCs w:val="24"/>
        </w:rPr>
        <w:t>hether a fair</w:t>
      </w:r>
      <w:r w:rsidR="00DF0AC6" w:rsidRPr="00BA7702">
        <w:rPr>
          <w:rFonts w:cs="Times New Roman"/>
          <w:i/>
          <w:szCs w:val="24"/>
        </w:rPr>
        <w:t>–</w:t>
      </w:r>
      <w:r w:rsidR="00E36D51" w:rsidRPr="00BA7702">
        <w:rPr>
          <w:rFonts w:cs="Times New Roman"/>
          <w:i/>
          <w:szCs w:val="24"/>
        </w:rPr>
        <w:t>minded reasonably informed member of the public would conclude that the proper administration of justice requires that a legal practitioner should be prevented from acting in the interests of the protection of the integrity of the judicial process and the due administration of justice, including the appearance of justice.</w:t>
      </w:r>
      <w:r w:rsidRPr="00BA7702">
        <w:rPr>
          <w:rFonts w:cs="Times New Roman"/>
          <w:i/>
          <w:szCs w:val="24"/>
        </w:rPr>
        <w:t>’</w:t>
      </w:r>
    </w:p>
    <w:p w14:paraId="59B4A714" w14:textId="77777777" w:rsidR="00E36D51" w:rsidRPr="00371D5A" w:rsidRDefault="00E36D51" w:rsidP="00392BC9">
      <w:pPr>
        <w:pStyle w:val="NoSpacing"/>
        <w:numPr>
          <w:ilvl w:val="2"/>
          <w:numId w:val="71"/>
        </w:numPr>
      </w:pPr>
      <w:r>
        <w:rPr>
          <w:i/>
        </w:rPr>
        <w:t>Newman v Phillips Fox;</w:t>
      </w:r>
      <w:r>
        <w:t xml:space="preserve"> </w:t>
      </w:r>
      <w:r>
        <w:rPr>
          <w:i/>
        </w:rPr>
        <w:t>Asia Pacific Telecommunications</w:t>
      </w:r>
    </w:p>
    <w:p w14:paraId="027A9AF6" w14:textId="77777777" w:rsidR="00E36D51" w:rsidRDefault="00E36D51" w:rsidP="00E36D51">
      <w:pPr>
        <w:pStyle w:val="ListParagraph"/>
      </w:pPr>
    </w:p>
    <w:p w14:paraId="34978A09" w14:textId="2F3ED317" w:rsidR="00E36D51" w:rsidRDefault="00E36D51" w:rsidP="00392BC9">
      <w:pPr>
        <w:pStyle w:val="NoSpacing"/>
        <w:numPr>
          <w:ilvl w:val="0"/>
          <w:numId w:val="71"/>
        </w:numPr>
      </w:pPr>
      <w:r>
        <w:t xml:space="preserve">Factors influencing – </w:t>
      </w:r>
      <w:r w:rsidR="00A8002B" w:rsidRPr="003D34AE">
        <w:rPr>
          <w:b/>
          <w:i/>
          <w:u w:val="single"/>
        </w:rPr>
        <w:t>[see also Spincode at start]</w:t>
      </w:r>
    </w:p>
    <w:p w14:paraId="34975DBB" w14:textId="77777777" w:rsidR="00E36D51" w:rsidRPr="00BB7288" w:rsidRDefault="00E36D51" w:rsidP="00E36D51">
      <w:pPr>
        <w:pStyle w:val="NoSpacing"/>
        <w:ind w:left="360"/>
      </w:pPr>
    </w:p>
    <w:p w14:paraId="2DF38CFA" w14:textId="77777777" w:rsidR="00E36D51" w:rsidRDefault="00E36D51" w:rsidP="00392BC9">
      <w:pPr>
        <w:pStyle w:val="NoSpacing"/>
        <w:numPr>
          <w:ilvl w:val="1"/>
          <w:numId w:val="71"/>
        </w:numPr>
      </w:pPr>
      <w:r w:rsidRPr="00A05025">
        <w:rPr>
          <w:b/>
          <w:i/>
        </w:rPr>
        <w:t>Interests of the Public</w:t>
      </w:r>
      <w:r>
        <w:rPr>
          <w:i/>
        </w:rPr>
        <w:t xml:space="preserve"> – </w:t>
      </w:r>
      <w:r>
        <w:t>The integrity of the legal profession and the perception of that integrity by the public is in large measure a consequence of the fidelity which a legal practitioner shows to his client and conduct which has a tendency to jeopardise that perception to faithful commitment to the interests of the client should be prevented.</w:t>
      </w:r>
    </w:p>
    <w:p w14:paraId="73741594" w14:textId="77777777" w:rsidR="00E36D51" w:rsidRPr="004A2E33" w:rsidRDefault="00E36D51" w:rsidP="00392BC9">
      <w:pPr>
        <w:pStyle w:val="NoSpacing"/>
        <w:numPr>
          <w:ilvl w:val="2"/>
          <w:numId w:val="71"/>
        </w:numPr>
      </w:pPr>
      <w:r w:rsidRPr="009833B9">
        <w:rPr>
          <w:i/>
        </w:rPr>
        <w:t xml:space="preserve">‘Justice should not only be done, but should appear to be done’ </w:t>
      </w:r>
      <w:r>
        <w:t xml:space="preserve">– </w:t>
      </w:r>
      <w:r w:rsidRPr="00AB768E">
        <w:rPr>
          <w:i/>
        </w:rPr>
        <w:t>Wan v McDonald</w:t>
      </w:r>
    </w:p>
    <w:p w14:paraId="476CC8E6" w14:textId="77777777" w:rsidR="00E36D51" w:rsidRPr="004A2E33" w:rsidRDefault="00E36D51" w:rsidP="00E36D51">
      <w:pPr>
        <w:pStyle w:val="NoSpacing"/>
        <w:ind w:left="1440"/>
      </w:pPr>
    </w:p>
    <w:p w14:paraId="3363FC3E" w14:textId="77777777" w:rsidR="00E36D51" w:rsidRDefault="00E36D51" w:rsidP="00392BC9">
      <w:pPr>
        <w:pStyle w:val="NoSpacing"/>
        <w:numPr>
          <w:ilvl w:val="1"/>
          <w:numId w:val="71"/>
        </w:numPr>
      </w:pPr>
      <w:r>
        <w:rPr>
          <w:b/>
          <w:i/>
        </w:rPr>
        <w:t xml:space="preserve">Efficient &amp; Speedy Resolution </w:t>
      </w:r>
      <w:r w:rsidRPr="00FD0583">
        <w:rPr>
          <w:i/>
        </w:rPr>
        <w:t xml:space="preserve">– </w:t>
      </w:r>
      <w:r>
        <w:t xml:space="preserve">Considerations in relation to delay and cost arising from a change in representation may influence the Court as to whether the interests of justice truly require a change. </w:t>
      </w:r>
    </w:p>
    <w:p w14:paraId="1DD0A474" w14:textId="77777777" w:rsidR="00E36D51" w:rsidRDefault="00E36D51" w:rsidP="00392BC9">
      <w:pPr>
        <w:pStyle w:val="NoSpacing"/>
        <w:numPr>
          <w:ilvl w:val="2"/>
          <w:numId w:val="71"/>
        </w:numPr>
      </w:pPr>
      <w:r>
        <w:rPr>
          <w:i/>
        </w:rPr>
        <w:t xml:space="preserve">Speculative Misuse – </w:t>
      </w:r>
      <w:r>
        <w:t>If a change in representation would adversely and significantly affect the client then it may cast doubt on the Courts decision to intervene particularly if the misuse is only speculative.</w:t>
      </w:r>
    </w:p>
    <w:p w14:paraId="6841A605" w14:textId="77777777" w:rsidR="00E36D51" w:rsidRDefault="00E36D51" w:rsidP="00392BC9">
      <w:pPr>
        <w:pStyle w:val="NoSpacing"/>
        <w:numPr>
          <w:ilvl w:val="3"/>
          <w:numId w:val="71"/>
        </w:numPr>
      </w:pPr>
      <w:r>
        <w:rPr>
          <w:i/>
        </w:rPr>
        <w:t>Re a Firm of Solicitors</w:t>
      </w:r>
    </w:p>
    <w:p w14:paraId="398AEA47" w14:textId="77777777" w:rsidR="00E36D51" w:rsidRDefault="00E36D51" w:rsidP="00E36D51">
      <w:pPr>
        <w:pStyle w:val="NoSpacing"/>
        <w:ind w:left="2160"/>
      </w:pPr>
    </w:p>
    <w:p w14:paraId="214A852E" w14:textId="77777777" w:rsidR="00E36D51" w:rsidRDefault="00E36D51" w:rsidP="00392BC9">
      <w:pPr>
        <w:pStyle w:val="NoSpacing"/>
        <w:numPr>
          <w:ilvl w:val="2"/>
          <w:numId w:val="71"/>
        </w:numPr>
      </w:pPr>
      <w:r w:rsidRPr="00BB7288">
        <w:rPr>
          <w:i/>
        </w:rPr>
        <w:lastRenderedPageBreak/>
        <w:t>Significant Misuse</w:t>
      </w:r>
      <w:r>
        <w:t xml:space="preserve"> – If the misuse of confidential is significant then judicial speediness and efficiency do not outweight the importance of the duty of confidentiality.</w:t>
      </w:r>
    </w:p>
    <w:p w14:paraId="42E3F1F4" w14:textId="77777777" w:rsidR="00E36D51" w:rsidRPr="00CB5501" w:rsidRDefault="00E36D51" w:rsidP="00392BC9">
      <w:pPr>
        <w:pStyle w:val="NoSpacing"/>
        <w:numPr>
          <w:ilvl w:val="3"/>
          <w:numId w:val="71"/>
        </w:numPr>
      </w:pPr>
      <w:r>
        <w:rPr>
          <w:i/>
        </w:rPr>
        <w:t>Magro v Magro</w:t>
      </w:r>
    </w:p>
    <w:p w14:paraId="3DC5F8FB" w14:textId="77777777" w:rsidR="00E36D51" w:rsidRPr="00CB5501" w:rsidRDefault="00E36D51" w:rsidP="00E36D51">
      <w:pPr>
        <w:pStyle w:val="NoSpacing"/>
        <w:ind w:left="2160"/>
      </w:pPr>
    </w:p>
    <w:p w14:paraId="6EED78C4" w14:textId="77777777" w:rsidR="00E36D51" w:rsidRPr="00E47B5D" w:rsidRDefault="00E36D51" w:rsidP="00392BC9">
      <w:pPr>
        <w:pStyle w:val="NoSpacing"/>
        <w:numPr>
          <w:ilvl w:val="1"/>
          <w:numId w:val="71"/>
        </w:numPr>
        <w:rPr>
          <w:szCs w:val="24"/>
        </w:rPr>
      </w:pPr>
      <w:r w:rsidRPr="00E47B5D">
        <w:rPr>
          <w:b/>
          <w:i/>
          <w:szCs w:val="24"/>
        </w:rPr>
        <w:t xml:space="preserve">The Confidential Information available to the practitioner which could </w:t>
      </w:r>
      <w:r>
        <w:rPr>
          <w:b/>
          <w:i/>
          <w:szCs w:val="24"/>
        </w:rPr>
        <w:t>assist</w:t>
      </w:r>
      <w:r w:rsidRPr="00E47B5D">
        <w:rPr>
          <w:b/>
          <w:i/>
          <w:szCs w:val="24"/>
        </w:rPr>
        <w:t xml:space="preserve"> the case against the former client</w:t>
      </w:r>
      <w:r w:rsidRPr="00E47B5D">
        <w:rPr>
          <w:i/>
          <w:szCs w:val="24"/>
        </w:rPr>
        <w:t xml:space="preserve"> </w:t>
      </w:r>
    </w:p>
    <w:p w14:paraId="273EF143" w14:textId="77777777" w:rsidR="00E36D51" w:rsidRPr="00E47B5D" w:rsidRDefault="00E36D51" w:rsidP="00392BC9">
      <w:pPr>
        <w:pStyle w:val="NoSpacing"/>
        <w:numPr>
          <w:ilvl w:val="2"/>
          <w:numId w:val="71"/>
        </w:numPr>
        <w:rPr>
          <w:szCs w:val="24"/>
        </w:rPr>
      </w:pPr>
      <w:r w:rsidRPr="00E47B5D">
        <w:rPr>
          <w:i/>
          <w:iCs/>
          <w:szCs w:val="24"/>
        </w:rPr>
        <w:t>Carindale Country Club Estate v Astill</w:t>
      </w:r>
    </w:p>
    <w:p w14:paraId="638A8441" w14:textId="77777777" w:rsidR="00017DC1" w:rsidRDefault="00017DC1" w:rsidP="00A77706">
      <w:pPr>
        <w:pStyle w:val="NoSpacing"/>
        <w:rPr>
          <w:rFonts w:cs="Times New Roman"/>
          <w:szCs w:val="24"/>
        </w:rPr>
      </w:pPr>
    </w:p>
    <w:p w14:paraId="1225AF43" w14:textId="568FFD08" w:rsidR="00955F2D" w:rsidRPr="00955F2D" w:rsidRDefault="00955F2D" w:rsidP="00955F2D">
      <w:pPr>
        <w:pStyle w:val="NoSpacing"/>
        <w:rPr>
          <w:b/>
          <w:i/>
          <w:iCs/>
          <w:u w:val="single"/>
        </w:rPr>
      </w:pPr>
      <w:r w:rsidRPr="00955F2D">
        <w:rPr>
          <w:b/>
          <w:i/>
          <w:u w:val="single"/>
        </w:rPr>
        <w:t>Family law matters</w:t>
      </w:r>
      <w:r w:rsidR="00495246">
        <w:rPr>
          <w:b/>
          <w:i/>
          <w:u w:val="single"/>
        </w:rPr>
        <w:t xml:space="preserve"> –</w:t>
      </w:r>
      <w:r w:rsidR="00A739C4">
        <w:rPr>
          <w:b/>
          <w:i/>
          <w:u w:val="single"/>
        </w:rPr>
        <w:t>**</w:t>
      </w:r>
      <w:r w:rsidR="00495246">
        <w:rPr>
          <w:b/>
          <w:i/>
          <w:u w:val="single"/>
        </w:rPr>
        <w:t xml:space="preserve"> stricter approach</w:t>
      </w:r>
    </w:p>
    <w:p w14:paraId="746641C4" w14:textId="24F45F67" w:rsidR="00AE7BAA" w:rsidRPr="00ED1E21" w:rsidRDefault="00AE7BAA" w:rsidP="000A1182">
      <w:pPr>
        <w:pStyle w:val="NoSpacing"/>
        <w:numPr>
          <w:ilvl w:val="0"/>
          <w:numId w:val="73"/>
        </w:numPr>
      </w:pPr>
      <w:r w:rsidRPr="00F93D8A">
        <w:rPr>
          <w:b/>
          <w:i/>
        </w:rPr>
        <w:t>Key Issue</w:t>
      </w:r>
      <w:r>
        <w:rPr>
          <w:i/>
        </w:rPr>
        <w:t xml:space="preserve"> – </w:t>
      </w:r>
      <w:r w:rsidRPr="00ED1E21">
        <w:t xml:space="preserve">The issue in family law proceedings is whether the former client </w:t>
      </w:r>
      <w:r w:rsidRPr="00ED1E21">
        <w:rPr>
          <w:u w:val="single"/>
        </w:rPr>
        <w:t>actually imparted</w:t>
      </w:r>
      <w:r w:rsidRPr="00ED1E21">
        <w:t xml:space="preserve"> confidential information to a person now employed by solicitors acting for the other side – </w:t>
      </w:r>
      <w:r w:rsidRPr="00ED1E21">
        <w:rPr>
          <w:i/>
          <w:iCs/>
        </w:rPr>
        <w:t xml:space="preserve">McMillan, </w:t>
      </w:r>
      <w:r w:rsidRPr="00ED1E21">
        <w:t>FCFCA, 2000.</w:t>
      </w:r>
    </w:p>
    <w:p w14:paraId="7E41725B" w14:textId="77777777" w:rsidR="00495246" w:rsidRDefault="00495246" w:rsidP="00495246">
      <w:pPr>
        <w:pStyle w:val="NoSpacing"/>
        <w:ind w:left="720"/>
      </w:pPr>
    </w:p>
    <w:p w14:paraId="762389A3" w14:textId="77777777" w:rsidR="00955F2D" w:rsidRPr="00ED1E21" w:rsidRDefault="00955F2D" w:rsidP="000A1182">
      <w:pPr>
        <w:pStyle w:val="NoSpacing"/>
        <w:numPr>
          <w:ilvl w:val="0"/>
          <w:numId w:val="73"/>
        </w:numPr>
      </w:pPr>
      <w:r w:rsidRPr="00ED1E21">
        <w:t>The approach of the Family Court differs from the general approach in two respects:</w:t>
      </w:r>
    </w:p>
    <w:p w14:paraId="4C64278D" w14:textId="0E5AB1B0" w:rsidR="00955F2D" w:rsidRPr="00ED1E21" w:rsidRDefault="00A739C4" w:rsidP="000A1182">
      <w:pPr>
        <w:pStyle w:val="NoSpacing"/>
        <w:numPr>
          <w:ilvl w:val="0"/>
          <w:numId w:val="74"/>
        </w:numPr>
      </w:pPr>
      <w:r w:rsidRPr="00F93D8A">
        <w:rPr>
          <w:b/>
          <w:i/>
        </w:rPr>
        <w:t>Former Client Affidavit</w:t>
      </w:r>
      <w:r>
        <w:rPr>
          <w:i/>
        </w:rPr>
        <w:t xml:space="preserve"> – </w:t>
      </w:r>
      <w:r w:rsidR="00955F2D" w:rsidRPr="00ED1E21">
        <w:t xml:space="preserve">The burden of proving possession of confidential information is discharged by the former client </w:t>
      </w:r>
      <w:r w:rsidR="00955F2D" w:rsidRPr="00ED1E21">
        <w:rPr>
          <w:u w:val="single"/>
        </w:rPr>
        <w:t>simply swearing</w:t>
      </w:r>
      <w:r w:rsidR="00955F2D" w:rsidRPr="00ED1E21">
        <w:t xml:space="preserve"> that the practitioner received confidential information </w:t>
      </w:r>
    </w:p>
    <w:p w14:paraId="08AC27BE" w14:textId="2B591F4C" w:rsidR="00955F2D" w:rsidRDefault="00C02C57" w:rsidP="000A1182">
      <w:pPr>
        <w:pStyle w:val="NoSpacing"/>
        <w:numPr>
          <w:ilvl w:val="0"/>
          <w:numId w:val="74"/>
        </w:numPr>
      </w:pPr>
      <w:r w:rsidRPr="00F93D8A">
        <w:rPr>
          <w:b/>
          <w:i/>
        </w:rPr>
        <w:t>Real Risk of Disclosure</w:t>
      </w:r>
      <w:r>
        <w:rPr>
          <w:i/>
        </w:rPr>
        <w:t xml:space="preserve"> – </w:t>
      </w:r>
      <w:r w:rsidR="00955F2D" w:rsidRPr="00ED1E21">
        <w:t xml:space="preserve">While the general approach is that there must be a </w:t>
      </w:r>
      <w:r w:rsidR="00955F2D" w:rsidRPr="001C4BE9">
        <w:rPr>
          <w:u w:val="single"/>
        </w:rPr>
        <w:t>real</w:t>
      </w:r>
      <w:r w:rsidR="00955F2D" w:rsidRPr="00ED1E21">
        <w:t xml:space="preserve"> risk of disclosure, the Family Court will intervene to restrain a practitioner</w:t>
      </w:r>
      <w:r w:rsidR="001C4BE9">
        <w:t xml:space="preserve"> </w:t>
      </w:r>
      <w:r w:rsidR="00955F2D" w:rsidRPr="00ED1E21">
        <w:t xml:space="preserve">from acting </w:t>
      </w:r>
      <w:r w:rsidR="00955F2D" w:rsidRPr="001C4BE9">
        <w:rPr>
          <w:u w:val="single"/>
        </w:rPr>
        <w:t>even if there is only a</w:t>
      </w:r>
      <w:r w:rsidR="00955F2D" w:rsidRPr="00ED1E21">
        <w:t xml:space="preserve"> </w:t>
      </w:r>
      <w:r w:rsidR="00955F2D" w:rsidRPr="001C4BE9">
        <w:rPr>
          <w:u w:val="single"/>
        </w:rPr>
        <w:t>theoretical</w:t>
      </w:r>
      <w:r w:rsidR="00955F2D" w:rsidRPr="00ED1E21">
        <w:t xml:space="preserve"> </w:t>
      </w:r>
      <w:r w:rsidR="00955F2D" w:rsidRPr="001C4BE9">
        <w:rPr>
          <w:u w:val="single"/>
        </w:rPr>
        <w:t>risk</w:t>
      </w:r>
      <w:r w:rsidR="00955F2D" w:rsidRPr="00ED1E21">
        <w:t xml:space="preserve"> that confidential information could be used against the former client</w:t>
      </w:r>
      <w:r w:rsidR="000E5C3C">
        <w:tab/>
      </w:r>
    </w:p>
    <w:p w14:paraId="15127DFB" w14:textId="071DC5AD" w:rsidR="000E5C3C" w:rsidRPr="00ED1E21" w:rsidRDefault="000E5C3C" w:rsidP="000A1182">
      <w:pPr>
        <w:pStyle w:val="NoSpacing"/>
        <w:numPr>
          <w:ilvl w:val="1"/>
          <w:numId w:val="74"/>
        </w:numPr>
      </w:pPr>
      <w:r>
        <w:rPr>
          <w:i/>
        </w:rPr>
        <w:t>Bracewell v Southall</w:t>
      </w:r>
      <w:r w:rsidR="00022B13">
        <w:rPr>
          <w:i/>
        </w:rPr>
        <w:t>; Murray v Macquarie</w:t>
      </w:r>
    </w:p>
    <w:p w14:paraId="4F7D624A" w14:textId="77777777" w:rsidR="00955F2D" w:rsidRPr="00ED1E21" w:rsidRDefault="00955F2D" w:rsidP="00955F2D">
      <w:pPr>
        <w:pStyle w:val="NoSpacing"/>
      </w:pPr>
    </w:p>
    <w:p w14:paraId="1830888D" w14:textId="127E7EB3" w:rsidR="00955F2D" w:rsidRDefault="007700B8" w:rsidP="000A1182">
      <w:pPr>
        <w:pStyle w:val="NoSpacing"/>
        <w:numPr>
          <w:ilvl w:val="0"/>
          <w:numId w:val="73"/>
        </w:numPr>
      </w:pPr>
      <w:r>
        <w:rPr>
          <w:i/>
        </w:rPr>
        <w:t>Access doesn’t constitute disqualification –</w:t>
      </w:r>
      <w:r w:rsidR="00955F2D" w:rsidRPr="00ED1E21">
        <w:t xml:space="preserve"> the mere fact that someone had access to confidential information is not sufficient to ground a restraining order.  </w:t>
      </w:r>
    </w:p>
    <w:p w14:paraId="4799ABF9" w14:textId="77777777" w:rsidR="006F2855" w:rsidRDefault="006F2855" w:rsidP="001D5485">
      <w:pPr>
        <w:pStyle w:val="NoSpacing"/>
        <w:rPr>
          <w:rFonts w:cs="Times New Roman"/>
          <w:b/>
          <w:sz w:val="36"/>
          <w:szCs w:val="36"/>
          <w:u w:val="single"/>
        </w:rPr>
      </w:pPr>
    </w:p>
    <w:p w14:paraId="60074D65" w14:textId="77777777" w:rsidR="00E32C84" w:rsidRDefault="00E32C84" w:rsidP="001D5485">
      <w:pPr>
        <w:pStyle w:val="NoSpacing"/>
        <w:rPr>
          <w:rFonts w:cs="Times New Roman"/>
          <w:b/>
          <w:sz w:val="36"/>
          <w:szCs w:val="36"/>
          <w:u w:val="single"/>
        </w:rPr>
      </w:pPr>
    </w:p>
    <w:p w14:paraId="1331015F" w14:textId="77777777" w:rsidR="00E32C84" w:rsidRDefault="00E32C84" w:rsidP="001D5485">
      <w:pPr>
        <w:pStyle w:val="NoSpacing"/>
        <w:rPr>
          <w:rFonts w:cs="Times New Roman"/>
          <w:b/>
          <w:sz w:val="36"/>
          <w:szCs w:val="36"/>
          <w:u w:val="single"/>
        </w:rPr>
      </w:pPr>
    </w:p>
    <w:p w14:paraId="5A0E5FA5" w14:textId="77777777" w:rsidR="00E32C84" w:rsidRDefault="00E32C84" w:rsidP="001D5485">
      <w:pPr>
        <w:pStyle w:val="NoSpacing"/>
        <w:rPr>
          <w:rFonts w:cs="Times New Roman"/>
          <w:b/>
          <w:sz w:val="36"/>
          <w:szCs w:val="36"/>
          <w:u w:val="single"/>
        </w:rPr>
      </w:pPr>
    </w:p>
    <w:p w14:paraId="74781761" w14:textId="77777777" w:rsidR="00E32C84" w:rsidRDefault="00E32C84" w:rsidP="001D5485">
      <w:pPr>
        <w:pStyle w:val="NoSpacing"/>
        <w:rPr>
          <w:rFonts w:cs="Times New Roman"/>
          <w:b/>
          <w:sz w:val="36"/>
          <w:szCs w:val="36"/>
          <w:u w:val="single"/>
        </w:rPr>
      </w:pPr>
    </w:p>
    <w:p w14:paraId="3E25C74B" w14:textId="77777777" w:rsidR="00E32C84" w:rsidRDefault="00E32C84" w:rsidP="001D5485">
      <w:pPr>
        <w:pStyle w:val="NoSpacing"/>
        <w:rPr>
          <w:rFonts w:cs="Times New Roman"/>
          <w:b/>
          <w:sz w:val="36"/>
          <w:szCs w:val="36"/>
          <w:u w:val="single"/>
        </w:rPr>
      </w:pPr>
    </w:p>
    <w:p w14:paraId="4A5B6708" w14:textId="77777777" w:rsidR="00E32C84" w:rsidRDefault="00E32C84" w:rsidP="001D5485">
      <w:pPr>
        <w:pStyle w:val="NoSpacing"/>
        <w:rPr>
          <w:rFonts w:cs="Times New Roman"/>
          <w:b/>
          <w:sz w:val="36"/>
          <w:szCs w:val="36"/>
          <w:u w:val="single"/>
        </w:rPr>
      </w:pPr>
    </w:p>
    <w:p w14:paraId="2F8C6F21" w14:textId="77777777" w:rsidR="00E32C84" w:rsidRDefault="00E32C84" w:rsidP="001D5485">
      <w:pPr>
        <w:pStyle w:val="NoSpacing"/>
        <w:rPr>
          <w:rFonts w:cs="Times New Roman"/>
          <w:b/>
          <w:sz w:val="36"/>
          <w:szCs w:val="36"/>
          <w:u w:val="single"/>
        </w:rPr>
      </w:pPr>
    </w:p>
    <w:p w14:paraId="39901AEF" w14:textId="77777777" w:rsidR="00E32C84" w:rsidRDefault="00E32C84" w:rsidP="001D5485">
      <w:pPr>
        <w:pStyle w:val="NoSpacing"/>
        <w:rPr>
          <w:rFonts w:cs="Times New Roman"/>
          <w:b/>
          <w:sz w:val="36"/>
          <w:szCs w:val="36"/>
          <w:u w:val="single"/>
        </w:rPr>
      </w:pPr>
    </w:p>
    <w:p w14:paraId="68660369" w14:textId="77777777" w:rsidR="00E32C84" w:rsidRDefault="00E32C84" w:rsidP="001D5485">
      <w:pPr>
        <w:pStyle w:val="NoSpacing"/>
        <w:rPr>
          <w:rFonts w:cs="Times New Roman"/>
          <w:b/>
          <w:sz w:val="36"/>
          <w:szCs w:val="36"/>
          <w:u w:val="single"/>
        </w:rPr>
      </w:pPr>
    </w:p>
    <w:p w14:paraId="2C9DC304" w14:textId="77777777" w:rsidR="00E32C84" w:rsidRDefault="00E32C84" w:rsidP="001D5485">
      <w:pPr>
        <w:pStyle w:val="NoSpacing"/>
        <w:rPr>
          <w:rFonts w:cs="Times New Roman"/>
          <w:b/>
          <w:sz w:val="36"/>
          <w:szCs w:val="36"/>
          <w:u w:val="single"/>
        </w:rPr>
      </w:pPr>
    </w:p>
    <w:p w14:paraId="3B4F2B33" w14:textId="77777777" w:rsidR="00E32C84" w:rsidRDefault="00E32C84" w:rsidP="001D5485">
      <w:pPr>
        <w:pStyle w:val="NoSpacing"/>
        <w:rPr>
          <w:rFonts w:cs="Times New Roman"/>
          <w:b/>
          <w:sz w:val="36"/>
          <w:szCs w:val="36"/>
          <w:u w:val="single"/>
        </w:rPr>
      </w:pPr>
    </w:p>
    <w:p w14:paraId="67390696" w14:textId="77777777" w:rsidR="00E32C84" w:rsidRDefault="00E32C84" w:rsidP="001D5485">
      <w:pPr>
        <w:pStyle w:val="NoSpacing"/>
        <w:rPr>
          <w:rFonts w:cs="Times New Roman"/>
          <w:b/>
          <w:sz w:val="36"/>
          <w:szCs w:val="36"/>
          <w:u w:val="single"/>
        </w:rPr>
      </w:pPr>
    </w:p>
    <w:p w14:paraId="11BE9823" w14:textId="77777777" w:rsidR="00E32C84" w:rsidRDefault="00E32C84" w:rsidP="001D5485">
      <w:pPr>
        <w:pStyle w:val="NoSpacing"/>
        <w:rPr>
          <w:rFonts w:cs="Times New Roman"/>
          <w:b/>
          <w:sz w:val="36"/>
          <w:szCs w:val="36"/>
          <w:u w:val="single"/>
        </w:rPr>
      </w:pPr>
    </w:p>
    <w:p w14:paraId="57DF42EA" w14:textId="77777777" w:rsidR="00E32C84" w:rsidRDefault="00E32C84" w:rsidP="001D5485">
      <w:pPr>
        <w:pStyle w:val="NoSpacing"/>
        <w:rPr>
          <w:rFonts w:cs="Times New Roman"/>
          <w:b/>
          <w:sz w:val="36"/>
          <w:szCs w:val="36"/>
          <w:u w:val="single"/>
        </w:rPr>
      </w:pPr>
    </w:p>
    <w:p w14:paraId="2B1700CC" w14:textId="77777777" w:rsidR="00E32C84" w:rsidRDefault="00E32C84" w:rsidP="001D5485">
      <w:pPr>
        <w:pStyle w:val="NoSpacing"/>
        <w:rPr>
          <w:rFonts w:cs="Times New Roman"/>
          <w:b/>
          <w:sz w:val="36"/>
          <w:szCs w:val="36"/>
          <w:u w:val="single"/>
        </w:rPr>
      </w:pPr>
    </w:p>
    <w:p w14:paraId="2C865A44" w14:textId="77777777" w:rsidR="00E32C84" w:rsidRDefault="00E32C84" w:rsidP="001D5485">
      <w:pPr>
        <w:pStyle w:val="NoSpacing"/>
        <w:rPr>
          <w:rFonts w:cs="Times New Roman"/>
          <w:b/>
          <w:sz w:val="36"/>
          <w:szCs w:val="36"/>
          <w:u w:val="single"/>
        </w:rPr>
      </w:pPr>
    </w:p>
    <w:p w14:paraId="3524EC34" w14:textId="7EC45FC5" w:rsidR="000E3C20" w:rsidRDefault="004A313E" w:rsidP="001D5485">
      <w:pPr>
        <w:pStyle w:val="NoSpacing"/>
        <w:rPr>
          <w:rFonts w:cs="Times New Roman"/>
          <w:b/>
          <w:sz w:val="36"/>
          <w:szCs w:val="36"/>
          <w:u w:val="single"/>
        </w:rPr>
      </w:pPr>
      <w:r>
        <w:rPr>
          <w:rFonts w:cs="Times New Roman"/>
          <w:b/>
          <w:sz w:val="36"/>
          <w:szCs w:val="36"/>
          <w:u w:val="single"/>
        </w:rPr>
        <w:lastRenderedPageBreak/>
        <w:t xml:space="preserve">Costs Disclosures </w:t>
      </w:r>
    </w:p>
    <w:p w14:paraId="4E9AFC68" w14:textId="77777777" w:rsidR="004A313E" w:rsidRPr="00352496" w:rsidRDefault="004A313E" w:rsidP="001D5485">
      <w:pPr>
        <w:pStyle w:val="NoSpacing"/>
        <w:rPr>
          <w:rFonts w:cs="Times New Roman"/>
          <w:szCs w:val="24"/>
        </w:rPr>
      </w:pPr>
    </w:p>
    <w:p w14:paraId="2AD1F494" w14:textId="77777777" w:rsidR="004A313E" w:rsidRDefault="004F6A2E" w:rsidP="00352496">
      <w:pPr>
        <w:pStyle w:val="NoSpacing"/>
        <w:rPr>
          <w:b/>
          <w:u w:val="single"/>
        </w:rPr>
      </w:pPr>
      <w:r>
        <w:rPr>
          <w:b/>
          <w:u w:val="single"/>
        </w:rPr>
        <w:t>General</w:t>
      </w:r>
    </w:p>
    <w:p w14:paraId="1A685A2A" w14:textId="5DFCF304" w:rsidR="004F6A2E" w:rsidRDefault="00385CBD" w:rsidP="0069421D">
      <w:pPr>
        <w:pStyle w:val="NoSpacing"/>
        <w:numPr>
          <w:ilvl w:val="0"/>
          <w:numId w:val="98"/>
        </w:numPr>
      </w:pPr>
      <w:r w:rsidRPr="00F51DDA">
        <w:rPr>
          <w:b/>
          <w:i/>
        </w:rPr>
        <w:t>Scope</w:t>
      </w:r>
      <w:r>
        <w:rPr>
          <w:i/>
        </w:rPr>
        <w:t xml:space="preserve"> – </w:t>
      </w:r>
      <w:r w:rsidR="00FE6497">
        <w:t>Legal work must be costed in accordance with script specified scales for both l</w:t>
      </w:r>
      <w:r w:rsidR="00170368">
        <w:t>itigious and non</w:t>
      </w:r>
      <w:r w:rsidR="00E42410">
        <w:t>–</w:t>
      </w:r>
      <w:r w:rsidR="00170368">
        <w:t>litigious work and is protected under Part 3.4 of the LPA 2004.</w:t>
      </w:r>
    </w:p>
    <w:p w14:paraId="694FFCF0" w14:textId="1FD92DAA" w:rsidR="00445BCF" w:rsidRDefault="00445BCF" w:rsidP="00445BCF">
      <w:pPr>
        <w:pStyle w:val="NoSpacing"/>
        <w:ind w:left="720"/>
      </w:pPr>
    </w:p>
    <w:p w14:paraId="27B0B10C" w14:textId="7AD10707" w:rsidR="009A7AF9" w:rsidRDefault="002E204D" w:rsidP="0069421D">
      <w:pPr>
        <w:pStyle w:val="NoSpacing"/>
        <w:numPr>
          <w:ilvl w:val="0"/>
          <w:numId w:val="98"/>
        </w:numPr>
      </w:pPr>
      <w:r>
        <w:rPr>
          <w:b/>
          <w:i/>
        </w:rPr>
        <w:t>Costs Disputes</w:t>
      </w:r>
      <w:r w:rsidR="00445BCF">
        <w:rPr>
          <w:b/>
          <w:i/>
        </w:rPr>
        <w:t xml:space="preserve"> </w:t>
      </w:r>
      <w:r w:rsidR="00445BCF">
        <w:t xml:space="preserve">– The relevant test in relation to costs disputes </w:t>
      </w:r>
      <w:r>
        <w:t xml:space="preserve">was provided in </w:t>
      </w:r>
      <w:r w:rsidR="009A7AF9">
        <w:rPr>
          <w:i/>
        </w:rPr>
        <w:t>Law Society of NSW v Foreman</w:t>
      </w:r>
      <w:r w:rsidR="009A7AF9">
        <w:t xml:space="preserve"> where Kirby J stated the test is generally</w:t>
      </w:r>
    </w:p>
    <w:p w14:paraId="7C4A23AB" w14:textId="77777777" w:rsidR="009A7AF9" w:rsidRDefault="009A7AF9" w:rsidP="009A7AF9">
      <w:pPr>
        <w:pStyle w:val="ListParagraph"/>
      </w:pPr>
    </w:p>
    <w:p w14:paraId="40078A1C" w14:textId="698D2762" w:rsidR="009A7AF9" w:rsidRDefault="009A7AF9" w:rsidP="0069421D">
      <w:pPr>
        <w:pStyle w:val="NoSpacing"/>
        <w:numPr>
          <w:ilvl w:val="1"/>
          <w:numId w:val="98"/>
        </w:numPr>
      </w:pPr>
      <w:r>
        <w:t>‘whether the lawyer has charged fees grossly in excess of those which would be charged by lawyers of good repute and competency’</w:t>
      </w:r>
    </w:p>
    <w:p w14:paraId="5190A57B" w14:textId="77777777" w:rsidR="009A7AF9" w:rsidRDefault="009A7AF9" w:rsidP="009A7AF9">
      <w:pPr>
        <w:pStyle w:val="ListParagraph"/>
      </w:pPr>
    </w:p>
    <w:p w14:paraId="7F27CE5E" w14:textId="77777777" w:rsidR="000E3C20" w:rsidRPr="005A7094" w:rsidRDefault="005A7094" w:rsidP="00352496">
      <w:pPr>
        <w:pStyle w:val="NoSpacing"/>
        <w:rPr>
          <w:b/>
          <w:u w:val="single"/>
        </w:rPr>
      </w:pPr>
      <w:r w:rsidRPr="005A7094">
        <w:rPr>
          <w:b/>
          <w:u w:val="single"/>
        </w:rPr>
        <w:t>Costs Disclosure Requirements</w:t>
      </w:r>
    </w:p>
    <w:p w14:paraId="1D1F477D" w14:textId="77777777" w:rsidR="005A7094" w:rsidRDefault="005A7094" w:rsidP="00352496">
      <w:pPr>
        <w:pStyle w:val="NoSpacing"/>
        <w:rPr>
          <w:u w:val="single"/>
        </w:rPr>
      </w:pPr>
    </w:p>
    <w:p w14:paraId="69A2401B" w14:textId="77777777" w:rsidR="00B7649B" w:rsidRPr="00B7649B" w:rsidRDefault="00B3340D" w:rsidP="0069421D">
      <w:pPr>
        <w:pStyle w:val="NoSpacing"/>
        <w:numPr>
          <w:ilvl w:val="0"/>
          <w:numId w:val="99"/>
        </w:numPr>
        <w:rPr>
          <w:u w:val="single"/>
        </w:rPr>
      </w:pPr>
      <w:r>
        <w:rPr>
          <w:b/>
          <w:i/>
        </w:rPr>
        <w:t xml:space="preserve">Clear &amp; Transparent Disclosure </w:t>
      </w:r>
      <w:r>
        <w:t xml:space="preserve">– </w:t>
      </w:r>
      <w:r w:rsidR="00403EAD" w:rsidRPr="00527EF1">
        <w:rPr>
          <w:i/>
        </w:rPr>
        <w:t>s3.4.15 LPA</w:t>
      </w:r>
      <w:r w:rsidR="00403EAD">
        <w:t xml:space="preserve"> – </w:t>
      </w:r>
      <w:r>
        <w:t>The key of cost disclosure agreements is that they are communicated to the client in</w:t>
      </w:r>
    </w:p>
    <w:p w14:paraId="581974D2" w14:textId="147AB9DB" w:rsidR="00B7649B" w:rsidRPr="00B7649B" w:rsidRDefault="00927901" w:rsidP="0069421D">
      <w:pPr>
        <w:pStyle w:val="NoSpacing"/>
        <w:numPr>
          <w:ilvl w:val="1"/>
          <w:numId w:val="99"/>
        </w:numPr>
        <w:rPr>
          <w:u w:val="single"/>
        </w:rPr>
      </w:pPr>
      <w:r w:rsidRPr="00927901">
        <w:rPr>
          <w:i/>
        </w:rPr>
        <w:t>S3.4.15(1)</w:t>
      </w:r>
      <w:r>
        <w:t xml:space="preserve"> – </w:t>
      </w:r>
      <w:r w:rsidR="00B7649B">
        <w:t>C</w:t>
      </w:r>
      <w:r w:rsidR="00B3340D">
        <w:t>lear</w:t>
      </w:r>
      <w:r w:rsidR="00B7649B">
        <w:t xml:space="preserve"> and</w:t>
      </w:r>
      <w:r w:rsidR="00B3340D">
        <w:t xml:space="preserve"> understandable </w:t>
      </w:r>
      <w:r w:rsidR="00B7649B">
        <w:t>language</w:t>
      </w:r>
    </w:p>
    <w:p w14:paraId="54065B01" w14:textId="47A9AE6D" w:rsidR="005A7094" w:rsidRPr="00B3340D" w:rsidRDefault="00927901" w:rsidP="0069421D">
      <w:pPr>
        <w:pStyle w:val="NoSpacing"/>
        <w:numPr>
          <w:ilvl w:val="1"/>
          <w:numId w:val="99"/>
        </w:numPr>
        <w:rPr>
          <w:u w:val="single"/>
        </w:rPr>
      </w:pPr>
      <w:r w:rsidRPr="00927901">
        <w:rPr>
          <w:i/>
        </w:rPr>
        <w:t>S3.4.15(2)</w:t>
      </w:r>
      <w:r>
        <w:t xml:space="preserve"> – </w:t>
      </w:r>
      <w:r w:rsidR="00B7649B">
        <w:t>T</w:t>
      </w:r>
      <w:r w:rsidR="00B3340D">
        <w:t xml:space="preserve">ransparent format so a client is able to reasonable ascertain the costs </w:t>
      </w:r>
      <w:r w:rsidR="00855593">
        <w:t>of contentious or non</w:t>
      </w:r>
      <w:r w:rsidR="00E42410">
        <w:t>–</w:t>
      </w:r>
      <w:r w:rsidR="00855593">
        <w:t>contentious legal advice</w:t>
      </w:r>
      <w:r w:rsidR="00B3340D">
        <w:t>.</w:t>
      </w:r>
    </w:p>
    <w:p w14:paraId="27DF9FB4" w14:textId="77777777" w:rsidR="00B3340D" w:rsidRPr="00B3340D" w:rsidRDefault="00B3340D" w:rsidP="00B3340D">
      <w:pPr>
        <w:pStyle w:val="NoSpacing"/>
        <w:ind w:left="720"/>
        <w:rPr>
          <w:u w:val="single"/>
        </w:rPr>
      </w:pPr>
    </w:p>
    <w:p w14:paraId="7BC9464D" w14:textId="77777777" w:rsidR="00FC0945" w:rsidRPr="00FC0945" w:rsidRDefault="00FC0945" w:rsidP="0069421D">
      <w:pPr>
        <w:pStyle w:val="NoSpacing"/>
        <w:numPr>
          <w:ilvl w:val="0"/>
          <w:numId w:val="99"/>
        </w:numPr>
        <w:rPr>
          <w:u w:val="single"/>
        </w:rPr>
      </w:pPr>
      <w:r>
        <w:rPr>
          <w:b/>
          <w:i/>
        </w:rPr>
        <w:t>How and when must disclosure be made?</w:t>
      </w:r>
      <w:r w:rsidR="00035374">
        <w:rPr>
          <w:b/>
          <w:i/>
        </w:rPr>
        <w:t xml:space="preserve"> </w:t>
      </w:r>
      <w:r w:rsidR="00035374">
        <w:t>–</w:t>
      </w:r>
      <w:r>
        <w:t xml:space="preserve"> </w:t>
      </w:r>
      <w:r>
        <w:rPr>
          <w:i/>
        </w:rPr>
        <w:t>3.4.11 LPA</w:t>
      </w:r>
    </w:p>
    <w:p w14:paraId="7BFEA25A" w14:textId="7A892E7C" w:rsidR="0032209D" w:rsidRPr="00563241" w:rsidRDefault="00035374" w:rsidP="0069421D">
      <w:pPr>
        <w:pStyle w:val="NoSpacing"/>
        <w:numPr>
          <w:ilvl w:val="1"/>
          <w:numId w:val="99"/>
        </w:numPr>
        <w:rPr>
          <w:u w:val="single"/>
        </w:rPr>
      </w:pPr>
      <w:r>
        <w:t xml:space="preserve"> </w:t>
      </w:r>
      <w:r w:rsidR="00BB6DFF">
        <w:t>Disclosure requirements must be met before a lawyer is retained to provide legal services per 3.4.11(1)</w:t>
      </w:r>
    </w:p>
    <w:p w14:paraId="265506E4" w14:textId="342A6A4B" w:rsidR="00563241" w:rsidRPr="00BB6DFF" w:rsidRDefault="00563241" w:rsidP="0069421D">
      <w:pPr>
        <w:pStyle w:val="NoSpacing"/>
        <w:numPr>
          <w:ilvl w:val="2"/>
          <w:numId w:val="99"/>
        </w:numPr>
        <w:rPr>
          <w:u w:val="single"/>
        </w:rPr>
      </w:pPr>
      <w:r>
        <w:rPr>
          <w:i/>
        </w:rPr>
        <w:t xml:space="preserve">Genuine Disclosure </w:t>
      </w:r>
      <w:r>
        <w:rPr>
          <w:i/>
        </w:rPr>
        <w:softHyphen/>
      </w:r>
      <w:r>
        <w:t xml:space="preserve">– Costs approximations with large ranges </w:t>
      </w:r>
      <w:r w:rsidR="00C92D74">
        <w:t xml:space="preserve">[$0 to $250K] are not ‘genuine attempts to inform the client as required by legislation’ per </w:t>
      </w:r>
      <w:r w:rsidR="00C92D74">
        <w:rPr>
          <w:i/>
        </w:rPr>
        <w:t>Casey v Quabba</w:t>
      </w:r>
    </w:p>
    <w:p w14:paraId="2A310425" w14:textId="77777777" w:rsidR="00BB6DFF" w:rsidRPr="00BB6DFF" w:rsidRDefault="00BB6DFF" w:rsidP="00BB6DFF">
      <w:pPr>
        <w:pStyle w:val="NoSpacing"/>
        <w:ind w:left="1440"/>
        <w:rPr>
          <w:u w:val="single"/>
        </w:rPr>
      </w:pPr>
    </w:p>
    <w:p w14:paraId="12D90211" w14:textId="233C4410" w:rsidR="00BB6DFF" w:rsidRDefault="00BB6DFF" w:rsidP="0069421D">
      <w:pPr>
        <w:pStyle w:val="NoSpacing"/>
        <w:numPr>
          <w:ilvl w:val="1"/>
          <w:numId w:val="99"/>
        </w:numPr>
      </w:pPr>
      <w:r w:rsidRPr="004A3D8B">
        <w:rPr>
          <w:i/>
        </w:rPr>
        <w:t>Non</w:t>
      </w:r>
      <w:r w:rsidR="00E42410">
        <w:rPr>
          <w:i/>
        </w:rPr>
        <w:t>–</w:t>
      </w:r>
      <w:r w:rsidRPr="004A3D8B">
        <w:rPr>
          <w:i/>
        </w:rPr>
        <w:t xml:space="preserve">English Speaking </w:t>
      </w:r>
      <w:r w:rsidR="004A3D8B">
        <w:rPr>
          <w:i/>
        </w:rPr>
        <w:t>–</w:t>
      </w:r>
      <w:r w:rsidRPr="004A3D8B">
        <w:rPr>
          <w:i/>
        </w:rPr>
        <w:t xml:space="preserve"> </w:t>
      </w:r>
      <w:r w:rsidR="004A3D8B" w:rsidRPr="004A3D8B">
        <w:t xml:space="preserve">Arrangement for the </w:t>
      </w:r>
      <w:r w:rsidR="004A3D8B">
        <w:t xml:space="preserve">disclosure of fees to poor English speaking clients must be ensured per </w:t>
      </w:r>
      <w:r w:rsidR="004A3D8B">
        <w:rPr>
          <w:i/>
        </w:rPr>
        <w:t xml:space="preserve"> Smirnios v Bryne (No 2)</w:t>
      </w:r>
    </w:p>
    <w:p w14:paraId="31AA5EA4" w14:textId="77777777" w:rsidR="00210473" w:rsidRDefault="00210473" w:rsidP="00210473">
      <w:pPr>
        <w:pStyle w:val="ListParagraph"/>
      </w:pPr>
    </w:p>
    <w:p w14:paraId="1F51E6F5" w14:textId="77777777" w:rsidR="00137F4D" w:rsidRPr="00137F4D" w:rsidRDefault="0096716C" w:rsidP="0069421D">
      <w:pPr>
        <w:pStyle w:val="NoSpacing"/>
        <w:numPr>
          <w:ilvl w:val="0"/>
          <w:numId w:val="99"/>
        </w:numPr>
      </w:pPr>
      <w:r w:rsidRPr="00137F4D">
        <w:rPr>
          <w:b/>
          <w:i/>
        </w:rPr>
        <w:t xml:space="preserve">When is disclosure not required </w:t>
      </w:r>
      <w:r w:rsidRPr="0096716C">
        <w:t xml:space="preserve">– </w:t>
      </w:r>
      <w:r w:rsidR="002B2774" w:rsidRPr="00137F4D">
        <w:rPr>
          <w:i/>
        </w:rPr>
        <w:t xml:space="preserve">3.4.12 LPA – </w:t>
      </w:r>
    </w:p>
    <w:p w14:paraId="0A5E3BB8" w14:textId="5961FDC9" w:rsidR="0096716C" w:rsidRDefault="002B2774" w:rsidP="0069421D">
      <w:pPr>
        <w:pStyle w:val="NoSpacing"/>
        <w:numPr>
          <w:ilvl w:val="1"/>
          <w:numId w:val="99"/>
        </w:numPr>
      </w:pPr>
      <w:r>
        <w:t xml:space="preserve">Disclosure requirements are not required </w:t>
      </w:r>
      <w:r w:rsidR="00513E36">
        <w:t>when:</w:t>
      </w:r>
    </w:p>
    <w:p w14:paraId="7AD3489E" w14:textId="4A9AC47F" w:rsidR="00E076FC" w:rsidRDefault="00B30572" w:rsidP="0069421D">
      <w:pPr>
        <w:pStyle w:val="NoSpacing"/>
        <w:numPr>
          <w:ilvl w:val="2"/>
          <w:numId w:val="99"/>
        </w:numPr>
      </w:pPr>
      <w:r>
        <w:rPr>
          <w:i/>
        </w:rPr>
        <w:t xml:space="preserve">Less than $750 – </w:t>
      </w:r>
      <w:r w:rsidRPr="00137F4D">
        <w:rPr>
          <w:i/>
        </w:rPr>
        <w:t>3.4.12</w:t>
      </w:r>
      <w:r>
        <w:rPr>
          <w:i/>
        </w:rPr>
        <w:t>(1)(a)</w:t>
      </w:r>
      <w:r w:rsidRPr="00137F4D">
        <w:rPr>
          <w:i/>
        </w:rPr>
        <w:t xml:space="preserve"> LPA </w:t>
      </w:r>
      <w:r>
        <w:rPr>
          <w:i/>
        </w:rPr>
        <w:t xml:space="preserve">– </w:t>
      </w:r>
      <w:r w:rsidR="00E076FC">
        <w:t xml:space="preserve">legal costs (excluding disbursements) do not exceed $750 </w:t>
      </w:r>
    </w:p>
    <w:p w14:paraId="614C631A" w14:textId="77777777" w:rsidR="005D4FFF" w:rsidRDefault="005D4FFF" w:rsidP="005D4FFF">
      <w:pPr>
        <w:pStyle w:val="NoSpacing"/>
        <w:ind w:left="2160"/>
      </w:pPr>
    </w:p>
    <w:p w14:paraId="1695C4AB" w14:textId="71623BC8" w:rsidR="00E076FC" w:rsidRDefault="00FA1408" w:rsidP="0069421D">
      <w:pPr>
        <w:pStyle w:val="NoSpacing"/>
        <w:numPr>
          <w:ilvl w:val="2"/>
          <w:numId w:val="99"/>
        </w:numPr>
      </w:pPr>
      <w:r>
        <w:rPr>
          <w:i/>
        </w:rPr>
        <w:t>Disclosure of costs in last 12 months</w:t>
      </w:r>
      <w:r w:rsidR="005D4FFF">
        <w:rPr>
          <w:i/>
        </w:rPr>
        <w:t xml:space="preserve"> – </w:t>
      </w:r>
      <w:r w:rsidR="005D4FFF" w:rsidRPr="00137F4D">
        <w:rPr>
          <w:i/>
        </w:rPr>
        <w:t>3.4.12</w:t>
      </w:r>
      <w:r w:rsidR="005D4FFF">
        <w:rPr>
          <w:i/>
        </w:rPr>
        <w:t>(1)(</w:t>
      </w:r>
      <w:r w:rsidR="00990C4D">
        <w:rPr>
          <w:i/>
        </w:rPr>
        <w:t>b</w:t>
      </w:r>
      <w:r w:rsidR="005D4FFF">
        <w:rPr>
          <w:i/>
        </w:rPr>
        <w:t>)</w:t>
      </w:r>
      <w:r w:rsidR="005D4FFF" w:rsidRPr="00137F4D">
        <w:rPr>
          <w:i/>
        </w:rPr>
        <w:t xml:space="preserve"> LPA </w:t>
      </w:r>
      <w:r w:rsidR="005D4FFF">
        <w:rPr>
          <w:i/>
        </w:rPr>
        <w:t xml:space="preserve">– </w:t>
      </w:r>
      <w:r w:rsidR="00E076FC">
        <w:t xml:space="preserve">the client </w:t>
      </w:r>
      <w:r w:rsidR="009274DC">
        <w:t xml:space="preserve">(i) </w:t>
      </w:r>
      <w:r w:rsidR="00E076FC">
        <w:t>has received disclosure in the previous 12 months</w:t>
      </w:r>
      <w:r w:rsidR="00E35CB4">
        <w:t>;</w:t>
      </w:r>
      <w:r w:rsidR="00E076FC">
        <w:t xml:space="preserve"> and </w:t>
      </w:r>
      <w:r w:rsidR="009274DC">
        <w:t xml:space="preserve">(ii) </w:t>
      </w:r>
      <w:r w:rsidR="00E076FC">
        <w:t>has agreed in writing to waive right to disclosure, and the</w:t>
      </w:r>
      <w:r w:rsidR="009274DC">
        <w:t xml:space="preserve"> (iii)</w:t>
      </w:r>
      <w:r w:rsidR="00E076FC">
        <w:t xml:space="preserve"> principal of the law practice decides, on reasonable grounds, that further disclosure is not warranted</w:t>
      </w:r>
      <w:r w:rsidR="003A0C08">
        <w:t>.</w:t>
      </w:r>
      <w:r w:rsidR="00E076FC">
        <w:t xml:space="preserve"> </w:t>
      </w:r>
    </w:p>
    <w:p w14:paraId="4A82C3C5" w14:textId="77777777" w:rsidR="005D4FFF" w:rsidRDefault="005D4FFF" w:rsidP="005D4FFF">
      <w:pPr>
        <w:pStyle w:val="NoSpacing"/>
        <w:ind w:left="2160"/>
      </w:pPr>
    </w:p>
    <w:p w14:paraId="0AA6A3EC" w14:textId="7C9876FE" w:rsidR="00E076FC" w:rsidRPr="00A05730" w:rsidRDefault="00A05730" w:rsidP="0069421D">
      <w:pPr>
        <w:pStyle w:val="NoSpacing"/>
        <w:numPr>
          <w:ilvl w:val="2"/>
          <w:numId w:val="99"/>
        </w:numPr>
      </w:pPr>
      <w:r>
        <w:rPr>
          <w:i/>
        </w:rPr>
        <w:t xml:space="preserve">Class Clients – </w:t>
      </w:r>
      <w:r w:rsidRPr="00137F4D">
        <w:rPr>
          <w:i/>
        </w:rPr>
        <w:t>3.4.12</w:t>
      </w:r>
      <w:r>
        <w:rPr>
          <w:i/>
        </w:rPr>
        <w:t>(1)(</w:t>
      </w:r>
      <w:r w:rsidR="00AE4738">
        <w:rPr>
          <w:i/>
        </w:rPr>
        <w:t>c</w:t>
      </w:r>
      <w:r>
        <w:rPr>
          <w:i/>
        </w:rPr>
        <w:t>)</w:t>
      </w:r>
      <w:r w:rsidRPr="00137F4D">
        <w:rPr>
          <w:i/>
        </w:rPr>
        <w:t xml:space="preserve"> LPA </w:t>
      </w:r>
      <w:r>
        <w:rPr>
          <w:i/>
        </w:rPr>
        <w:t xml:space="preserve">– </w:t>
      </w:r>
      <w:r w:rsidR="00E076FC" w:rsidRPr="00A05730">
        <w:t xml:space="preserve">the client is </w:t>
      </w:r>
    </w:p>
    <w:p w14:paraId="35EB595F" w14:textId="77777777" w:rsidR="00E076FC" w:rsidRDefault="00E076FC" w:rsidP="0069421D">
      <w:pPr>
        <w:pStyle w:val="NoSpacing"/>
        <w:numPr>
          <w:ilvl w:val="3"/>
          <w:numId w:val="99"/>
        </w:numPr>
      </w:pPr>
      <w:r>
        <w:t xml:space="preserve">an Australian law practice </w:t>
      </w:r>
    </w:p>
    <w:p w14:paraId="20D053AD" w14:textId="77777777" w:rsidR="00E076FC" w:rsidRDefault="00E076FC" w:rsidP="0069421D">
      <w:pPr>
        <w:pStyle w:val="NoSpacing"/>
        <w:numPr>
          <w:ilvl w:val="3"/>
          <w:numId w:val="99"/>
        </w:numPr>
      </w:pPr>
      <w:r>
        <w:t xml:space="preserve">a public company or its subsidiary </w:t>
      </w:r>
    </w:p>
    <w:p w14:paraId="7326D63B" w14:textId="77777777" w:rsidR="00E076FC" w:rsidRDefault="00E076FC" w:rsidP="0069421D">
      <w:pPr>
        <w:pStyle w:val="NoSpacing"/>
        <w:numPr>
          <w:ilvl w:val="3"/>
          <w:numId w:val="99"/>
        </w:numPr>
      </w:pPr>
      <w:r>
        <w:t xml:space="preserve">a foreign company or its subsidiary </w:t>
      </w:r>
    </w:p>
    <w:p w14:paraId="33F59317" w14:textId="77777777" w:rsidR="00E076FC" w:rsidRDefault="00E076FC" w:rsidP="0069421D">
      <w:pPr>
        <w:pStyle w:val="NoSpacing"/>
        <w:numPr>
          <w:ilvl w:val="3"/>
          <w:numId w:val="99"/>
        </w:numPr>
      </w:pPr>
      <w:r>
        <w:t xml:space="preserve">a </w:t>
      </w:r>
      <w:r>
        <w:rPr>
          <w:i/>
          <w:iCs/>
        </w:rPr>
        <w:t>Corporations Act</w:t>
      </w:r>
      <w:r>
        <w:t xml:space="preserve"> registered Australian body </w:t>
      </w:r>
    </w:p>
    <w:p w14:paraId="6F18A45B" w14:textId="77777777" w:rsidR="00E076FC" w:rsidRDefault="00E076FC" w:rsidP="0069421D">
      <w:pPr>
        <w:pStyle w:val="NoSpacing"/>
        <w:numPr>
          <w:ilvl w:val="3"/>
          <w:numId w:val="99"/>
        </w:numPr>
      </w:pPr>
      <w:r>
        <w:t xml:space="preserve">a financial services licensee </w:t>
      </w:r>
    </w:p>
    <w:p w14:paraId="1F663072" w14:textId="77777777" w:rsidR="00E076FC" w:rsidRDefault="00E076FC" w:rsidP="0069421D">
      <w:pPr>
        <w:pStyle w:val="NoSpacing"/>
        <w:numPr>
          <w:ilvl w:val="3"/>
          <w:numId w:val="99"/>
        </w:numPr>
      </w:pPr>
      <w:r>
        <w:t>a minister of the Crown, government department or public authority</w:t>
      </w:r>
    </w:p>
    <w:p w14:paraId="159D48EA" w14:textId="77777777" w:rsidR="005D4FFF" w:rsidRDefault="005D4FFF" w:rsidP="005D4FFF">
      <w:pPr>
        <w:pStyle w:val="NoSpacing"/>
        <w:ind w:left="2160"/>
      </w:pPr>
    </w:p>
    <w:p w14:paraId="2E5D42C8" w14:textId="119E648A" w:rsidR="00E076FC" w:rsidRDefault="009D03F5" w:rsidP="0069421D">
      <w:pPr>
        <w:pStyle w:val="NoSpacing"/>
        <w:numPr>
          <w:ilvl w:val="2"/>
          <w:numId w:val="99"/>
        </w:numPr>
      </w:pPr>
      <w:r>
        <w:rPr>
          <w:i/>
        </w:rPr>
        <w:t xml:space="preserve">Tender Process – </w:t>
      </w:r>
      <w:r w:rsidRPr="00137F4D">
        <w:rPr>
          <w:i/>
        </w:rPr>
        <w:t>3.4.12</w:t>
      </w:r>
      <w:r>
        <w:rPr>
          <w:i/>
        </w:rPr>
        <w:t>(1)(</w:t>
      </w:r>
      <w:r w:rsidR="00D13AD1">
        <w:rPr>
          <w:i/>
        </w:rPr>
        <w:t>d</w:t>
      </w:r>
      <w:r>
        <w:rPr>
          <w:i/>
        </w:rPr>
        <w:t>)</w:t>
      </w:r>
      <w:r w:rsidRPr="00137F4D">
        <w:rPr>
          <w:i/>
        </w:rPr>
        <w:t xml:space="preserve"> LPA </w:t>
      </w:r>
      <w:r>
        <w:rPr>
          <w:i/>
        </w:rPr>
        <w:t xml:space="preserve">– </w:t>
      </w:r>
      <w:r w:rsidR="00E076FC">
        <w:t xml:space="preserve">the legal costs are agreed as a result of a tender process </w:t>
      </w:r>
    </w:p>
    <w:p w14:paraId="4E030582" w14:textId="77777777" w:rsidR="005D4FFF" w:rsidRDefault="005D4FFF" w:rsidP="005D4FFF">
      <w:pPr>
        <w:pStyle w:val="NoSpacing"/>
        <w:ind w:left="2160"/>
      </w:pPr>
    </w:p>
    <w:p w14:paraId="4AD7C36E" w14:textId="2A7C4482" w:rsidR="00E076FC" w:rsidRDefault="00E37734" w:rsidP="0069421D">
      <w:pPr>
        <w:pStyle w:val="NoSpacing"/>
        <w:numPr>
          <w:ilvl w:val="2"/>
          <w:numId w:val="99"/>
        </w:numPr>
      </w:pPr>
      <w:r>
        <w:rPr>
          <w:i/>
        </w:rPr>
        <w:t>Pro Bono</w:t>
      </w:r>
      <w:r w:rsidR="00B86E20">
        <w:rPr>
          <w:i/>
        </w:rPr>
        <w:t xml:space="preserve"> – </w:t>
      </w:r>
      <w:r w:rsidR="00B86E20" w:rsidRPr="00137F4D">
        <w:rPr>
          <w:i/>
        </w:rPr>
        <w:t>3.4.12</w:t>
      </w:r>
      <w:r w:rsidR="00B86E20">
        <w:rPr>
          <w:i/>
        </w:rPr>
        <w:t>(1)(</w:t>
      </w:r>
      <w:r w:rsidR="00803403">
        <w:rPr>
          <w:i/>
        </w:rPr>
        <w:t>e</w:t>
      </w:r>
      <w:r w:rsidR="00B86E20">
        <w:rPr>
          <w:i/>
        </w:rPr>
        <w:t>)</w:t>
      </w:r>
      <w:r w:rsidR="00B86E20" w:rsidRPr="00137F4D">
        <w:rPr>
          <w:i/>
        </w:rPr>
        <w:t xml:space="preserve"> LPA </w:t>
      </w:r>
      <w:r w:rsidR="00B86E20">
        <w:rPr>
          <w:i/>
        </w:rPr>
        <w:t xml:space="preserve">– </w:t>
      </w:r>
      <w:r w:rsidR="00E076FC">
        <w:t xml:space="preserve">the client is not required to pay the legal costs or they will not otherwise be recovered by the law practice, for instance for pro bono work </w:t>
      </w:r>
    </w:p>
    <w:p w14:paraId="79F0D9C7" w14:textId="4D08EBC2" w:rsidR="00B3340D" w:rsidRPr="00087CED" w:rsidRDefault="003E2510" w:rsidP="0069421D">
      <w:pPr>
        <w:pStyle w:val="NoSpacing"/>
        <w:numPr>
          <w:ilvl w:val="0"/>
          <w:numId w:val="99"/>
        </w:numPr>
        <w:rPr>
          <w:u w:val="single"/>
        </w:rPr>
      </w:pPr>
      <w:r w:rsidRPr="00035374">
        <w:rPr>
          <w:b/>
          <w:i/>
        </w:rPr>
        <w:t>Information to be disclosed</w:t>
      </w:r>
      <w:r>
        <w:t xml:space="preserve"> – </w:t>
      </w:r>
      <w:r w:rsidR="00087CED" w:rsidRPr="00305178">
        <w:rPr>
          <w:b/>
        </w:rPr>
        <w:t>s3.4.9 LPA</w:t>
      </w:r>
      <w:r w:rsidR="00087CED">
        <w:t xml:space="preserve"> – The information to disclose to a client includes:</w:t>
      </w:r>
    </w:p>
    <w:p w14:paraId="52419C00" w14:textId="20F984A3" w:rsidR="00087CED" w:rsidRPr="00087CED" w:rsidRDefault="000A647E" w:rsidP="0069421D">
      <w:pPr>
        <w:pStyle w:val="NoSpacing"/>
        <w:numPr>
          <w:ilvl w:val="1"/>
          <w:numId w:val="99"/>
        </w:numPr>
        <w:rPr>
          <w:u w:val="single"/>
        </w:rPr>
      </w:pPr>
      <w:r w:rsidRPr="00305178">
        <w:rPr>
          <w:b/>
          <w:i/>
        </w:rPr>
        <w:t>Legal Costs Calculation</w:t>
      </w:r>
      <w:r>
        <w:rPr>
          <w:i/>
        </w:rPr>
        <w:t xml:space="preserve"> </w:t>
      </w:r>
      <w:r w:rsidR="00BD29C1">
        <w:rPr>
          <w:i/>
        </w:rPr>
        <w:t xml:space="preserve">– </w:t>
      </w:r>
      <w:r w:rsidR="00BD29C1" w:rsidRPr="00305178">
        <w:rPr>
          <w:i/>
        </w:rPr>
        <w:t>s3.4.9(1)(a)</w:t>
      </w:r>
      <w:r w:rsidR="00305178">
        <w:rPr>
          <w:i/>
        </w:rPr>
        <w:t xml:space="preserve"> LPA</w:t>
      </w:r>
      <w:r w:rsidR="00BD29C1">
        <w:rPr>
          <w:i/>
        </w:rPr>
        <w:t xml:space="preserve"> </w:t>
      </w:r>
      <w:r>
        <w:rPr>
          <w:i/>
        </w:rPr>
        <w:t xml:space="preserve">– </w:t>
      </w:r>
      <w:r w:rsidR="00087CED" w:rsidRPr="00087CED">
        <w:t>The basis on which the legal costs will be calculated, (whether a scale or equivalent applies to any costs);</w:t>
      </w:r>
    </w:p>
    <w:p w14:paraId="18FCC3C3" w14:textId="77777777" w:rsidR="007E364B" w:rsidRPr="007E364B" w:rsidRDefault="007E364B" w:rsidP="007E364B">
      <w:pPr>
        <w:pStyle w:val="NoSpacing"/>
        <w:ind w:left="1440"/>
        <w:rPr>
          <w:u w:val="single"/>
        </w:rPr>
      </w:pPr>
    </w:p>
    <w:p w14:paraId="3A0A9E1E" w14:textId="4B0BD728" w:rsidR="00087CED" w:rsidRPr="00087CED" w:rsidRDefault="002F119C" w:rsidP="0069421D">
      <w:pPr>
        <w:pStyle w:val="NoSpacing"/>
        <w:numPr>
          <w:ilvl w:val="1"/>
          <w:numId w:val="99"/>
        </w:numPr>
        <w:rPr>
          <w:u w:val="single"/>
        </w:rPr>
      </w:pPr>
      <w:r w:rsidRPr="00305178">
        <w:rPr>
          <w:b/>
          <w:i/>
        </w:rPr>
        <w:t xml:space="preserve">Right to Negotiate Costs </w:t>
      </w:r>
      <w:r w:rsidR="00305178" w:rsidRPr="00305178">
        <w:rPr>
          <w:b/>
          <w:i/>
        </w:rPr>
        <w:t>&amp; Ongoing Obligations</w:t>
      </w:r>
      <w:r w:rsidR="00305178">
        <w:rPr>
          <w:i/>
        </w:rPr>
        <w:t xml:space="preserve"> – </w:t>
      </w:r>
      <w:r w:rsidR="00C165D5">
        <w:rPr>
          <w:i/>
        </w:rPr>
        <w:t>s3.4.9(1)(b</w:t>
      </w:r>
      <w:r w:rsidR="00305178" w:rsidRPr="00305178">
        <w:rPr>
          <w:i/>
        </w:rPr>
        <w:t>)</w:t>
      </w:r>
      <w:r w:rsidR="00C165D5">
        <w:rPr>
          <w:i/>
        </w:rPr>
        <w:t>(i)</w:t>
      </w:r>
      <w:r w:rsidR="00FB3B07">
        <w:rPr>
          <w:i/>
        </w:rPr>
        <w:t>;s3.4.16</w:t>
      </w:r>
      <w:r w:rsidR="00305178">
        <w:rPr>
          <w:i/>
        </w:rPr>
        <w:t xml:space="preserve"> LPA – </w:t>
      </w:r>
      <w:r w:rsidR="00087CED" w:rsidRPr="00087CED">
        <w:t>The clients right to negotiate costs agreement, to receive a bill from law practice, (request of itemized bill), and be notified of any substantial changes to the matter</w:t>
      </w:r>
      <w:r w:rsidR="004C52C0">
        <w:t>.</w:t>
      </w:r>
    </w:p>
    <w:p w14:paraId="33EED466" w14:textId="77777777" w:rsidR="007E364B" w:rsidRPr="007E364B" w:rsidRDefault="007E364B" w:rsidP="007E364B">
      <w:pPr>
        <w:pStyle w:val="NoSpacing"/>
        <w:ind w:left="1440"/>
        <w:rPr>
          <w:u w:val="single"/>
        </w:rPr>
      </w:pPr>
    </w:p>
    <w:p w14:paraId="4460B0E0" w14:textId="23247E58" w:rsidR="00087CED" w:rsidRPr="00087CED" w:rsidRDefault="0058159F" w:rsidP="0069421D">
      <w:pPr>
        <w:pStyle w:val="NoSpacing"/>
        <w:numPr>
          <w:ilvl w:val="1"/>
          <w:numId w:val="99"/>
        </w:numPr>
        <w:rPr>
          <w:u w:val="single"/>
        </w:rPr>
      </w:pPr>
      <w:r w:rsidRPr="00756084">
        <w:rPr>
          <w:b/>
          <w:i/>
        </w:rPr>
        <w:t>Range of total legal costs</w:t>
      </w:r>
      <w:r>
        <w:rPr>
          <w:i/>
        </w:rPr>
        <w:t xml:space="preserve"> – s3.4.9(1)(</w:t>
      </w:r>
      <w:r w:rsidR="00756084">
        <w:rPr>
          <w:i/>
        </w:rPr>
        <w:t>c</w:t>
      </w:r>
      <w:r w:rsidRPr="00305178">
        <w:rPr>
          <w:i/>
        </w:rPr>
        <w:t>)</w:t>
      </w:r>
      <w:r>
        <w:rPr>
          <w:i/>
        </w:rPr>
        <w:t xml:space="preserve">(i) LPA – </w:t>
      </w:r>
      <w:r w:rsidR="00087CED" w:rsidRPr="00087CED">
        <w:t>If reasonably practicable an estimate of total legal costs, or otherwise a range of estimate and explanation of the major variable that will effect calculation;</w:t>
      </w:r>
    </w:p>
    <w:p w14:paraId="6C572E9C" w14:textId="77777777" w:rsidR="007E364B" w:rsidRPr="007E364B" w:rsidRDefault="007E364B" w:rsidP="007E364B">
      <w:pPr>
        <w:pStyle w:val="NoSpacing"/>
        <w:ind w:left="1440"/>
        <w:rPr>
          <w:u w:val="single"/>
        </w:rPr>
      </w:pPr>
    </w:p>
    <w:p w14:paraId="4C6E6242" w14:textId="736BF59F" w:rsidR="00087CED" w:rsidRPr="00087CED" w:rsidRDefault="003111DB" w:rsidP="0069421D">
      <w:pPr>
        <w:pStyle w:val="NoSpacing"/>
        <w:numPr>
          <w:ilvl w:val="1"/>
          <w:numId w:val="99"/>
        </w:numPr>
        <w:rPr>
          <w:u w:val="single"/>
        </w:rPr>
      </w:pPr>
      <w:r>
        <w:rPr>
          <w:b/>
          <w:i/>
        </w:rPr>
        <w:t xml:space="preserve">Billing Intervals </w:t>
      </w:r>
      <w:r w:rsidR="00DC12DB">
        <w:rPr>
          <w:i/>
        </w:rPr>
        <w:t>– s3.4.9(1)(</w:t>
      </w:r>
      <w:r w:rsidR="000E7F8E">
        <w:rPr>
          <w:i/>
        </w:rPr>
        <w:t>e</w:t>
      </w:r>
      <w:r w:rsidR="00DC12DB" w:rsidRPr="00305178">
        <w:rPr>
          <w:i/>
        </w:rPr>
        <w:t>)</w:t>
      </w:r>
      <w:r w:rsidR="00DC12DB">
        <w:rPr>
          <w:i/>
        </w:rPr>
        <w:t xml:space="preserve"> LPA – </w:t>
      </w:r>
      <w:r w:rsidR="00087CED" w:rsidRPr="00087CED">
        <w:t>Details of intervals at which the client will be billed;</w:t>
      </w:r>
    </w:p>
    <w:p w14:paraId="67A4038A" w14:textId="77777777" w:rsidR="007E364B" w:rsidRPr="007E364B" w:rsidRDefault="007E364B" w:rsidP="007E364B">
      <w:pPr>
        <w:pStyle w:val="NoSpacing"/>
        <w:ind w:left="1440"/>
        <w:rPr>
          <w:u w:val="single"/>
        </w:rPr>
      </w:pPr>
    </w:p>
    <w:p w14:paraId="41BC527F" w14:textId="5A00FB02" w:rsidR="00087CED" w:rsidRPr="00087CED" w:rsidRDefault="000E7F8E" w:rsidP="0069421D">
      <w:pPr>
        <w:pStyle w:val="NoSpacing"/>
        <w:numPr>
          <w:ilvl w:val="1"/>
          <w:numId w:val="99"/>
        </w:numPr>
        <w:rPr>
          <w:u w:val="single"/>
        </w:rPr>
      </w:pPr>
      <w:r w:rsidRPr="000E7F8E">
        <w:rPr>
          <w:b/>
          <w:i/>
        </w:rPr>
        <w:t>Interest Rates –</w:t>
      </w:r>
      <w:r>
        <w:rPr>
          <w:i/>
        </w:rPr>
        <w:t xml:space="preserve"> s3.4.9(1)(</w:t>
      </w:r>
      <w:r w:rsidR="007E16A4">
        <w:rPr>
          <w:i/>
        </w:rPr>
        <w:t>f</w:t>
      </w:r>
      <w:r w:rsidRPr="00305178">
        <w:rPr>
          <w:i/>
        </w:rPr>
        <w:t>)</w:t>
      </w:r>
      <w:r>
        <w:rPr>
          <w:i/>
        </w:rPr>
        <w:t xml:space="preserve"> LPA – </w:t>
      </w:r>
      <w:r w:rsidR="00087CED" w:rsidRPr="00087CED">
        <w:t>The rate of interest if any that the practice charges on overdue costs;</w:t>
      </w:r>
    </w:p>
    <w:p w14:paraId="1A28C27E" w14:textId="77777777" w:rsidR="007E364B" w:rsidRPr="007E364B" w:rsidRDefault="007E364B" w:rsidP="007E364B">
      <w:pPr>
        <w:pStyle w:val="NoSpacing"/>
        <w:ind w:left="1440"/>
        <w:rPr>
          <w:u w:val="single"/>
        </w:rPr>
      </w:pPr>
    </w:p>
    <w:p w14:paraId="70B5A7C7" w14:textId="14B7E010" w:rsidR="00087CED" w:rsidRPr="00087CED" w:rsidRDefault="00F4680A" w:rsidP="0069421D">
      <w:pPr>
        <w:pStyle w:val="NoSpacing"/>
        <w:numPr>
          <w:ilvl w:val="1"/>
          <w:numId w:val="99"/>
        </w:numPr>
        <w:rPr>
          <w:u w:val="single"/>
        </w:rPr>
      </w:pPr>
      <w:r w:rsidRPr="00BF1C8B">
        <w:rPr>
          <w:b/>
          <w:i/>
        </w:rPr>
        <w:t>Litigious</w:t>
      </w:r>
      <w:r w:rsidR="00066E65" w:rsidRPr="00BF1C8B">
        <w:rPr>
          <w:b/>
          <w:i/>
        </w:rPr>
        <w:t xml:space="preserve"> Cost Breakdown</w:t>
      </w:r>
      <w:r w:rsidR="00066E65">
        <w:rPr>
          <w:i/>
        </w:rPr>
        <w:t xml:space="preserve"> – s3.4.9(1)(g</w:t>
      </w:r>
      <w:r w:rsidR="00066E65" w:rsidRPr="00305178">
        <w:rPr>
          <w:i/>
        </w:rPr>
        <w:t>)</w:t>
      </w:r>
      <w:r w:rsidR="00066E65">
        <w:rPr>
          <w:i/>
        </w:rPr>
        <w:t xml:space="preserve"> LPA – </w:t>
      </w:r>
      <w:r w:rsidR="00087CED" w:rsidRPr="00087CED">
        <w:t>If litigious matter, an estimate of the range of costs that may be recovered if the client is successful in litigation, and that client may be ordered to pay if un</w:t>
      </w:r>
      <w:r w:rsidR="00E42410">
        <w:t>–</w:t>
      </w:r>
      <w:r w:rsidR="00087CED" w:rsidRPr="00087CED">
        <w:t>successful;</w:t>
      </w:r>
    </w:p>
    <w:p w14:paraId="28BA0AD5" w14:textId="77777777" w:rsidR="007E364B" w:rsidRPr="007E364B" w:rsidRDefault="007E364B" w:rsidP="007E364B">
      <w:pPr>
        <w:pStyle w:val="NoSpacing"/>
        <w:ind w:left="1440"/>
        <w:rPr>
          <w:u w:val="single"/>
        </w:rPr>
      </w:pPr>
    </w:p>
    <w:p w14:paraId="03F26EBD" w14:textId="7835B949" w:rsidR="00087CED" w:rsidRPr="00087CED" w:rsidRDefault="009608E3" w:rsidP="0069421D">
      <w:pPr>
        <w:pStyle w:val="NoSpacing"/>
        <w:numPr>
          <w:ilvl w:val="1"/>
          <w:numId w:val="99"/>
        </w:numPr>
        <w:rPr>
          <w:u w:val="single"/>
        </w:rPr>
      </w:pPr>
      <w:r>
        <w:rPr>
          <w:b/>
          <w:i/>
        </w:rPr>
        <w:t xml:space="preserve">Progress Reports – </w:t>
      </w:r>
      <w:r w:rsidR="0071726A">
        <w:rPr>
          <w:i/>
        </w:rPr>
        <w:t>s3.4.9(1)(h</w:t>
      </w:r>
      <w:r w:rsidR="0071726A" w:rsidRPr="00305178">
        <w:rPr>
          <w:i/>
        </w:rPr>
        <w:t>)</w:t>
      </w:r>
      <w:r w:rsidR="0071726A">
        <w:rPr>
          <w:i/>
        </w:rPr>
        <w:t xml:space="preserve">; s3.4.18 LPA – </w:t>
      </w:r>
      <w:r w:rsidR="00087CED" w:rsidRPr="00087CED">
        <w:t xml:space="preserve">The client’s right to progress </w:t>
      </w:r>
      <w:r w:rsidR="00CF1B1C">
        <w:t>reports.</w:t>
      </w:r>
    </w:p>
    <w:p w14:paraId="3ABB10D6" w14:textId="77777777" w:rsidR="00230BAE" w:rsidRPr="00230BAE" w:rsidRDefault="00230BAE" w:rsidP="00230BAE">
      <w:pPr>
        <w:pStyle w:val="NoSpacing"/>
        <w:ind w:left="1440"/>
        <w:rPr>
          <w:u w:val="single"/>
        </w:rPr>
      </w:pPr>
    </w:p>
    <w:p w14:paraId="36715C21" w14:textId="1BDEDC57" w:rsidR="00087CED" w:rsidRPr="00087CED" w:rsidRDefault="00513A27" w:rsidP="0069421D">
      <w:pPr>
        <w:pStyle w:val="NoSpacing"/>
        <w:numPr>
          <w:ilvl w:val="1"/>
          <w:numId w:val="99"/>
        </w:numPr>
        <w:rPr>
          <w:u w:val="single"/>
        </w:rPr>
      </w:pPr>
      <w:r>
        <w:rPr>
          <w:b/>
          <w:i/>
        </w:rPr>
        <w:t xml:space="preserve">Dispute Procedures </w:t>
      </w:r>
      <w:r>
        <w:rPr>
          <w:i/>
        </w:rPr>
        <w:t>– s3.4.9(1)(</w:t>
      </w:r>
      <w:r w:rsidR="00FC2688">
        <w:rPr>
          <w:i/>
        </w:rPr>
        <w:t>j</w:t>
      </w:r>
      <w:r w:rsidRPr="00305178">
        <w:rPr>
          <w:i/>
        </w:rPr>
        <w:t>)</w:t>
      </w:r>
      <w:r>
        <w:rPr>
          <w:i/>
        </w:rPr>
        <w:t xml:space="preserve"> LPA – </w:t>
      </w:r>
      <w:r w:rsidR="00087CED" w:rsidRPr="00087CED">
        <w:t>The avenues open to client in case of dispute in relation to costs (such as cost assessment, and setting aside of costs agreement t</w:t>
      </w:r>
      <w:r w:rsidR="00632EB7">
        <w:t>hat is not fair and reasonable)</w:t>
      </w:r>
    </w:p>
    <w:p w14:paraId="062CFBDB" w14:textId="77777777" w:rsidR="007E364B" w:rsidRPr="007E364B" w:rsidRDefault="007E364B" w:rsidP="007E364B">
      <w:pPr>
        <w:pStyle w:val="NoSpacing"/>
        <w:ind w:left="1440"/>
        <w:rPr>
          <w:u w:val="single"/>
        </w:rPr>
      </w:pPr>
    </w:p>
    <w:p w14:paraId="35E82F23" w14:textId="37063BA4" w:rsidR="00087CED" w:rsidRPr="00230BAE" w:rsidRDefault="00632EB7" w:rsidP="0069421D">
      <w:pPr>
        <w:pStyle w:val="NoSpacing"/>
        <w:numPr>
          <w:ilvl w:val="1"/>
          <w:numId w:val="99"/>
        </w:numPr>
        <w:rPr>
          <w:u w:val="single"/>
        </w:rPr>
      </w:pPr>
      <w:r>
        <w:rPr>
          <w:b/>
          <w:i/>
        </w:rPr>
        <w:t xml:space="preserve">Not all costs may be covered – </w:t>
      </w:r>
      <w:r w:rsidR="00087CED" w:rsidRPr="00087CED">
        <w:t>A statement that court order for payment of costs in favor of client may not necessarily cover all the client’</w:t>
      </w:r>
      <w:r w:rsidR="00230BAE">
        <w:t>s legal costs</w:t>
      </w:r>
    </w:p>
    <w:p w14:paraId="588D6416" w14:textId="77777777" w:rsidR="00230BAE" w:rsidRDefault="00230BAE" w:rsidP="00230BAE">
      <w:pPr>
        <w:pStyle w:val="ListParagraph"/>
        <w:rPr>
          <w:u w:val="single"/>
        </w:rPr>
      </w:pPr>
    </w:p>
    <w:p w14:paraId="052ADDD8" w14:textId="78E38EB2" w:rsidR="00230BAE" w:rsidRPr="00087CED" w:rsidRDefault="00230BAE" w:rsidP="0069421D">
      <w:pPr>
        <w:pStyle w:val="NoSpacing"/>
        <w:numPr>
          <w:ilvl w:val="1"/>
          <w:numId w:val="99"/>
        </w:numPr>
        <w:rPr>
          <w:u w:val="single"/>
        </w:rPr>
      </w:pPr>
      <w:r w:rsidRPr="00B87AF0">
        <w:rPr>
          <w:b/>
          <w:i/>
        </w:rPr>
        <w:t>Uplift Fees</w:t>
      </w:r>
      <w:r w:rsidRPr="003E4DB1">
        <w:rPr>
          <w:b/>
          <w:i/>
        </w:rPr>
        <w:t xml:space="preserve"> –</w:t>
      </w:r>
      <w:r w:rsidR="00BD4C33" w:rsidRPr="003E4DB1">
        <w:t xml:space="preserve"> </w:t>
      </w:r>
      <w:r w:rsidR="00BD4C33" w:rsidRPr="008D70FA">
        <w:rPr>
          <w:i/>
        </w:rPr>
        <w:t>s3.4.14</w:t>
      </w:r>
      <w:r w:rsidR="00BD4C33">
        <w:t xml:space="preserve"> </w:t>
      </w:r>
      <w:r w:rsidR="008D70FA">
        <w:rPr>
          <w:i/>
        </w:rPr>
        <w:t xml:space="preserve">LPA </w:t>
      </w:r>
      <w:r w:rsidR="00BD4C33">
        <w:t xml:space="preserve">– </w:t>
      </w:r>
      <w:r w:rsidR="00930EC3">
        <w:t>Must provide the uplift fee to the client.</w:t>
      </w:r>
    </w:p>
    <w:p w14:paraId="06C6A25B" w14:textId="77777777" w:rsidR="007E364B" w:rsidRDefault="007E364B" w:rsidP="007E364B">
      <w:pPr>
        <w:pStyle w:val="NoSpacing"/>
        <w:ind w:left="1440"/>
        <w:rPr>
          <w:u w:val="single"/>
        </w:rPr>
      </w:pPr>
    </w:p>
    <w:p w14:paraId="54FE97F9" w14:textId="25A32F7B" w:rsidR="00087CED" w:rsidRPr="00356EE4" w:rsidRDefault="00356EE4" w:rsidP="0069421D">
      <w:pPr>
        <w:pStyle w:val="NoSpacing"/>
        <w:numPr>
          <w:ilvl w:val="0"/>
          <w:numId w:val="99"/>
        </w:numPr>
      </w:pPr>
      <w:r w:rsidRPr="00DE4C6D">
        <w:rPr>
          <w:b/>
          <w:i/>
        </w:rPr>
        <w:t>What if another firm is retained?</w:t>
      </w:r>
      <w:r w:rsidR="005E0971">
        <w:rPr>
          <w:b/>
        </w:rPr>
        <w:t xml:space="preserve"> – </w:t>
      </w:r>
      <w:r w:rsidR="005E0971">
        <w:rPr>
          <w:i/>
        </w:rPr>
        <w:t>s3.4.10 LPA</w:t>
      </w:r>
    </w:p>
    <w:p w14:paraId="0E854A2D" w14:textId="18A404F2" w:rsidR="00C6685E" w:rsidRDefault="006D7FAC" w:rsidP="0069421D">
      <w:pPr>
        <w:pStyle w:val="NoSpacing"/>
        <w:numPr>
          <w:ilvl w:val="1"/>
          <w:numId w:val="99"/>
        </w:numPr>
      </w:pPr>
      <w:r>
        <w:rPr>
          <w:i/>
        </w:rPr>
        <w:t xml:space="preserve">Engage another practice – </w:t>
      </w:r>
      <w:r w:rsidR="00C6685E">
        <w:t xml:space="preserve">Practitioners must disclose to their client that they may retain another law practice (i.e. a barrister or agent). When a practitioner does retain another law practice they must disclose to the client: </w:t>
      </w:r>
    </w:p>
    <w:p w14:paraId="4F713D54" w14:textId="77777777" w:rsidR="006446E7" w:rsidRDefault="006446E7" w:rsidP="006446E7">
      <w:pPr>
        <w:pStyle w:val="NoSpacing"/>
        <w:ind w:left="2160"/>
      </w:pPr>
    </w:p>
    <w:p w14:paraId="2A7B68F4" w14:textId="77777777" w:rsidR="00C6685E" w:rsidRDefault="00C6685E" w:rsidP="0069421D">
      <w:pPr>
        <w:pStyle w:val="NoSpacing"/>
        <w:numPr>
          <w:ilvl w:val="2"/>
          <w:numId w:val="99"/>
        </w:numPr>
      </w:pPr>
      <w:r>
        <w:t xml:space="preserve">the basis of the fees to be charged by the other law practice </w:t>
      </w:r>
    </w:p>
    <w:p w14:paraId="5B7632DA" w14:textId="77777777" w:rsidR="00C6685E" w:rsidRDefault="00C6685E" w:rsidP="0069421D">
      <w:pPr>
        <w:pStyle w:val="NoSpacing"/>
        <w:numPr>
          <w:ilvl w:val="2"/>
          <w:numId w:val="99"/>
        </w:numPr>
      </w:pPr>
      <w:r>
        <w:t>an estimate of total costs or,</w:t>
      </w:r>
      <w:r>
        <w:rPr>
          <w:b/>
          <w:bCs/>
        </w:rPr>
        <w:t xml:space="preserve"> </w:t>
      </w:r>
      <w:r>
        <w:t xml:space="preserve">if not practicable, a range of estimates of total costs and an explanation of the variables that will affect its calculation </w:t>
      </w:r>
    </w:p>
    <w:p w14:paraId="6089C9B5" w14:textId="77777777" w:rsidR="00C6685E" w:rsidRDefault="00C6685E" w:rsidP="0069421D">
      <w:pPr>
        <w:pStyle w:val="NoSpacing"/>
        <w:numPr>
          <w:ilvl w:val="2"/>
          <w:numId w:val="99"/>
        </w:numPr>
      </w:pPr>
      <w:r>
        <w:t>details of billing intervals of the other law practice</w:t>
      </w:r>
    </w:p>
    <w:p w14:paraId="77D58288" w14:textId="77777777" w:rsidR="007375BE" w:rsidRDefault="007375BE" w:rsidP="007375BE">
      <w:pPr>
        <w:pStyle w:val="NoSpacing"/>
        <w:ind w:left="1440"/>
        <w:rPr>
          <w:u w:val="single"/>
        </w:rPr>
      </w:pPr>
    </w:p>
    <w:p w14:paraId="464AA977" w14:textId="4C8F0432" w:rsidR="006446E7" w:rsidRPr="000B2A28" w:rsidRDefault="00AD0EA4" w:rsidP="0069421D">
      <w:pPr>
        <w:pStyle w:val="NoSpacing"/>
        <w:numPr>
          <w:ilvl w:val="0"/>
          <w:numId w:val="99"/>
        </w:numPr>
        <w:rPr>
          <w:u w:val="single"/>
        </w:rPr>
      </w:pPr>
      <w:r>
        <w:rPr>
          <w:b/>
          <w:i/>
        </w:rPr>
        <w:t>**</w:t>
      </w:r>
      <w:r w:rsidR="00A4343E" w:rsidRPr="000B2A28">
        <w:rPr>
          <w:b/>
          <w:i/>
        </w:rPr>
        <w:t xml:space="preserve">Disclosure prior to Settlement? </w:t>
      </w:r>
    </w:p>
    <w:p w14:paraId="22985A61" w14:textId="011EB55C" w:rsidR="000B2A28" w:rsidRPr="00DC55A4" w:rsidRDefault="006D369F" w:rsidP="0069421D">
      <w:pPr>
        <w:pStyle w:val="NoSpacing"/>
        <w:numPr>
          <w:ilvl w:val="1"/>
          <w:numId w:val="99"/>
        </w:numPr>
        <w:rPr>
          <w:u w:val="single"/>
        </w:rPr>
      </w:pPr>
      <w:r>
        <w:rPr>
          <w:i/>
        </w:rPr>
        <w:lastRenderedPageBreak/>
        <w:t xml:space="preserve">Settlement Legal Costs </w:t>
      </w:r>
      <w:r>
        <w:t xml:space="preserve">– </w:t>
      </w:r>
      <w:r w:rsidRPr="006D369F">
        <w:rPr>
          <w:i/>
        </w:rPr>
        <w:t>s3.4.13 LPA</w:t>
      </w:r>
      <w:r>
        <w:t xml:space="preserve"> – Before a settlement is executed, a reasonable estimate of the legal costs payable by the client and any reasonable contribution from the other party.</w:t>
      </w:r>
      <w:r w:rsidR="003F1F2F">
        <w:t xml:space="preserve"> </w:t>
      </w:r>
    </w:p>
    <w:p w14:paraId="01C6C0D5" w14:textId="77777777" w:rsidR="00DC55A4" w:rsidRPr="00DC55A4" w:rsidRDefault="00DC55A4" w:rsidP="00DC55A4">
      <w:pPr>
        <w:pStyle w:val="NoSpacing"/>
        <w:ind w:left="1440"/>
        <w:rPr>
          <w:u w:val="single"/>
        </w:rPr>
      </w:pPr>
    </w:p>
    <w:p w14:paraId="37201D6B" w14:textId="2521B36B" w:rsidR="00DC55A4" w:rsidRPr="00C776BC" w:rsidRDefault="001F3311" w:rsidP="0069421D">
      <w:pPr>
        <w:pStyle w:val="NoSpacing"/>
        <w:numPr>
          <w:ilvl w:val="1"/>
          <w:numId w:val="99"/>
        </w:numPr>
        <w:rPr>
          <w:u w:val="single"/>
        </w:rPr>
      </w:pPr>
      <w:r>
        <w:rPr>
          <w:i/>
        </w:rPr>
        <w:t xml:space="preserve">Draw attention to legal aid </w:t>
      </w:r>
      <w:r>
        <w:t>– Lawyers should draw relevant client attention to legal aid per PCPR 39.2</w:t>
      </w:r>
    </w:p>
    <w:p w14:paraId="54D0D277" w14:textId="75366D4F" w:rsidR="00C776BC" w:rsidRPr="00AE1F38" w:rsidRDefault="00C776BC" w:rsidP="0069421D">
      <w:pPr>
        <w:pStyle w:val="NoSpacing"/>
        <w:numPr>
          <w:ilvl w:val="2"/>
          <w:numId w:val="99"/>
        </w:numPr>
      </w:pPr>
      <w:r w:rsidRPr="002C623D">
        <w:rPr>
          <w:i/>
        </w:rPr>
        <w:t>David Truex Solicitior v Kichin</w:t>
      </w:r>
    </w:p>
    <w:p w14:paraId="40297A24" w14:textId="77777777" w:rsidR="00AE1F38" w:rsidRPr="00AE1F38" w:rsidRDefault="00AE1F38" w:rsidP="00AE1F38">
      <w:pPr>
        <w:pStyle w:val="NoSpacing"/>
        <w:ind w:left="2160"/>
      </w:pPr>
    </w:p>
    <w:p w14:paraId="689F3E64" w14:textId="029D0CA9" w:rsidR="00AE1F38" w:rsidRPr="002C623D" w:rsidRDefault="00AE1F38" w:rsidP="00AE1F38">
      <w:pPr>
        <w:pStyle w:val="NoSpacing"/>
        <w:numPr>
          <w:ilvl w:val="1"/>
          <w:numId w:val="99"/>
        </w:numPr>
      </w:pPr>
      <w:r>
        <w:rPr>
          <w:i/>
        </w:rPr>
        <w:t>False Statements –</w:t>
      </w:r>
      <w:r w:rsidR="00732CFC">
        <w:rPr>
          <w:i/>
        </w:rPr>
        <w:t xml:space="preserve"> </w:t>
      </w:r>
      <w:r w:rsidR="00732CFC" w:rsidRPr="00732CFC">
        <w:rPr>
          <w:b/>
          <w:i/>
          <w:u w:val="single"/>
        </w:rPr>
        <w:t>[see misconduct in the course of practice]</w:t>
      </w:r>
    </w:p>
    <w:p w14:paraId="39540DED" w14:textId="77777777" w:rsidR="006446E7" w:rsidRDefault="006446E7" w:rsidP="006446E7">
      <w:pPr>
        <w:pStyle w:val="NoSpacing"/>
        <w:ind w:left="720"/>
        <w:rPr>
          <w:u w:val="single"/>
        </w:rPr>
      </w:pPr>
    </w:p>
    <w:p w14:paraId="18E5025F" w14:textId="11A065A3" w:rsidR="002C623D" w:rsidRPr="000B2A28" w:rsidRDefault="002C623D" w:rsidP="0069421D">
      <w:pPr>
        <w:pStyle w:val="NoSpacing"/>
        <w:numPr>
          <w:ilvl w:val="0"/>
          <w:numId w:val="99"/>
        </w:numPr>
        <w:rPr>
          <w:u w:val="single"/>
        </w:rPr>
      </w:pPr>
      <w:r w:rsidRPr="000B2A28">
        <w:rPr>
          <w:b/>
          <w:i/>
        </w:rPr>
        <w:t xml:space="preserve">Disclosure </w:t>
      </w:r>
      <w:r>
        <w:rPr>
          <w:b/>
          <w:i/>
        </w:rPr>
        <w:t>of Commission</w:t>
      </w:r>
    </w:p>
    <w:p w14:paraId="2498BB5F" w14:textId="103BB067" w:rsidR="002C623D" w:rsidRPr="004874E3" w:rsidRDefault="009462F8" w:rsidP="0069421D">
      <w:pPr>
        <w:pStyle w:val="NoSpacing"/>
        <w:numPr>
          <w:ilvl w:val="1"/>
          <w:numId w:val="99"/>
        </w:numPr>
        <w:rPr>
          <w:u w:val="single"/>
        </w:rPr>
      </w:pPr>
      <w:r>
        <w:rPr>
          <w:i/>
        </w:rPr>
        <w:t>Comission</w:t>
      </w:r>
      <w:r w:rsidR="00FA7277">
        <w:rPr>
          <w:i/>
        </w:rPr>
        <w:t xml:space="preserve"> – </w:t>
      </w:r>
      <w:r>
        <w:rPr>
          <w:i/>
        </w:rPr>
        <w:t xml:space="preserve">PCPR 10.1 – </w:t>
      </w:r>
      <w:r>
        <w:t xml:space="preserve">Must inform the client that the lawyer is entitled to claim a commission that they could appoint as executor someone who might make no claim for commission </w:t>
      </w:r>
    </w:p>
    <w:p w14:paraId="07F1784C" w14:textId="0FC2F82B" w:rsidR="004874E3" w:rsidRPr="004874E3" w:rsidRDefault="004874E3" w:rsidP="0069421D">
      <w:pPr>
        <w:pStyle w:val="NoSpacing"/>
        <w:numPr>
          <w:ilvl w:val="2"/>
          <w:numId w:val="99"/>
        </w:numPr>
      </w:pPr>
      <w:r w:rsidRPr="004874E3">
        <w:rPr>
          <w:i/>
        </w:rPr>
        <w:t>Re Smith; Re McClung</w:t>
      </w:r>
    </w:p>
    <w:p w14:paraId="2AF19BC9" w14:textId="77777777" w:rsidR="00517E16" w:rsidRPr="00517E16" w:rsidRDefault="00517E16" w:rsidP="00517E16">
      <w:pPr>
        <w:pStyle w:val="NoSpacing"/>
        <w:ind w:left="1440"/>
        <w:rPr>
          <w:u w:val="single"/>
        </w:rPr>
      </w:pPr>
    </w:p>
    <w:p w14:paraId="3AC41BCC" w14:textId="48DC1EA1" w:rsidR="007375BE" w:rsidRPr="000F2F33" w:rsidRDefault="000F2F33" w:rsidP="0069421D">
      <w:pPr>
        <w:pStyle w:val="NoSpacing"/>
        <w:numPr>
          <w:ilvl w:val="0"/>
          <w:numId w:val="99"/>
        </w:numPr>
        <w:rPr>
          <w:u w:val="single"/>
        </w:rPr>
      </w:pPr>
      <w:r>
        <w:rPr>
          <w:b/>
          <w:i/>
        </w:rPr>
        <w:t xml:space="preserve">Failure to Disclose [breach] – </w:t>
      </w:r>
      <w:r>
        <w:rPr>
          <w:i/>
        </w:rPr>
        <w:t xml:space="preserve">3.4.17 LPA – </w:t>
      </w:r>
    </w:p>
    <w:p w14:paraId="3F8FF3A9" w14:textId="77777777" w:rsidR="000F2F33" w:rsidRPr="00431128" w:rsidRDefault="00431128" w:rsidP="0069421D">
      <w:pPr>
        <w:pStyle w:val="NoSpacing"/>
        <w:numPr>
          <w:ilvl w:val="1"/>
          <w:numId w:val="99"/>
        </w:numPr>
        <w:rPr>
          <w:u w:val="single"/>
        </w:rPr>
      </w:pPr>
      <w:r>
        <w:t>Failure to fulfil the costs disclosure requirements include:</w:t>
      </w:r>
    </w:p>
    <w:p w14:paraId="360B291B" w14:textId="77777777" w:rsidR="00FE206D" w:rsidRPr="00FE206D" w:rsidRDefault="00FE206D" w:rsidP="00FE206D">
      <w:pPr>
        <w:pStyle w:val="NoSpacing"/>
        <w:ind w:left="2160"/>
        <w:rPr>
          <w:u w:val="single"/>
        </w:rPr>
      </w:pPr>
    </w:p>
    <w:p w14:paraId="4CED4EBB" w14:textId="527F4DD1" w:rsidR="00431128" w:rsidRPr="00BD07E1" w:rsidRDefault="00E94981" w:rsidP="0069421D">
      <w:pPr>
        <w:pStyle w:val="NoSpacing"/>
        <w:numPr>
          <w:ilvl w:val="2"/>
          <w:numId w:val="99"/>
        </w:numPr>
        <w:rPr>
          <w:u w:val="single"/>
        </w:rPr>
      </w:pPr>
      <w:r>
        <w:rPr>
          <w:i/>
        </w:rPr>
        <w:t xml:space="preserve">Client does not pay costs – </w:t>
      </w:r>
      <w:r w:rsidR="00FE206D">
        <w:rPr>
          <w:i/>
        </w:rPr>
        <w:t xml:space="preserve">3.4.17(1) LPA – </w:t>
      </w:r>
      <w:r w:rsidR="00BD07E1">
        <w:t xml:space="preserve">The lawyer cannot maintain proceedings for their </w:t>
      </w:r>
      <w:r w:rsidR="00452E5D">
        <w:t>re</w:t>
      </w:r>
      <w:r w:rsidR="00BD07E1">
        <w:t>covery unless those costs have been taxed or assessed</w:t>
      </w:r>
    </w:p>
    <w:p w14:paraId="7512EDF1" w14:textId="4DE91854" w:rsidR="00BD07E1" w:rsidRPr="00BD2E22" w:rsidRDefault="00BD07E1" w:rsidP="00BD2E22">
      <w:pPr>
        <w:pStyle w:val="NoSpacing"/>
        <w:ind w:left="2160"/>
        <w:rPr>
          <w:u w:val="single"/>
        </w:rPr>
      </w:pPr>
    </w:p>
    <w:p w14:paraId="0056F1E1" w14:textId="73AD9804" w:rsidR="00BD2E22" w:rsidRPr="00A27EA3" w:rsidRDefault="00444C45" w:rsidP="0069421D">
      <w:pPr>
        <w:pStyle w:val="NoSpacing"/>
        <w:numPr>
          <w:ilvl w:val="2"/>
          <w:numId w:val="99"/>
        </w:numPr>
        <w:rPr>
          <w:u w:val="single"/>
        </w:rPr>
      </w:pPr>
      <w:r>
        <w:rPr>
          <w:i/>
        </w:rPr>
        <w:t>Lawyer</w:t>
      </w:r>
      <w:r w:rsidR="003D7D61">
        <w:rPr>
          <w:i/>
        </w:rPr>
        <w:t xml:space="preserve"> cannot</w:t>
      </w:r>
      <w:r>
        <w:rPr>
          <w:i/>
        </w:rPr>
        <w:t xml:space="preserve"> recover</w:t>
      </w:r>
      <w:r w:rsidR="006B61FC">
        <w:rPr>
          <w:i/>
        </w:rPr>
        <w:t>– 3.4.17(</w:t>
      </w:r>
      <w:r w:rsidR="008C08F6">
        <w:rPr>
          <w:i/>
        </w:rPr>
        <w:t>4</w:t>
      </w:r>
      <w:r w:rsidR="006B61FC">
        <w:rPr>
          <w:i/>
        </w:rPr>
        <w:t>) LPA –</w:t>
      </w:r>
      <w:r w:rsidR="000D542D">
        <w:rPr>
          <w:i/>
        </w:rPr>
        <w:t xml:space="preserve"> </w:t>
      </w:r>
      <w:r w:rsidR="00A27EA3">
        <w:t>The amount of costs the lawyer recover may be reduced by an amount proportionate to the seriousness of the failure to disclosure.</w:t>
      </w:r>
    </w:p>
    <w:p w14:paraId="2F16D26E" w14:textId="77777777" w:rsidR="00A27EA3" w:rsidRDefault="00A27EA3" w:rsidP="00A27EA3">
      <w:pPr>
        <w:pStyle w:val="ListParagraph"/>
        <w:rPr>
          <w:u w:val="single"/>
        </w:rPr>
      </w:pPr>
    </w:p>
    <w:p w14:paraId="0C658E75" w14:textId="39B7C82E" w:rsidR="00A27EA3" w:rsidRDefault="0056428E" w:rsidP="0069421D">
      <w:pPr>
        <w:pStyle w:val="NoSpacing"/>
        <w:numPr>
          <w:ilvl w:val="2"/>
          <w:numId w:val="99"/>
        </w:numPr>
      </w:pPr>
      <w:r w:rsidRPr="0056428E">
        <w:rPr>
          <w:i/>
        </w:rPr>
        <w:t xml:space="preserve">Disciplinary Proceedings </w:t>
      </w:r>
      <w:r>
        <w:rPr>
          <w:i/>
        </w:rPr>
        <w:t>– 3.4.17(</w:t>
      </w:r>
      <w:r w:rsidR="005D512A">
        <w:rPr>
          <w:i/>
        </w:rPr>
        <w:t>6</w:t>
      </w:r>
      <w:r>
        <w:rPr>
          <w:i/>
        </w:rPr>
        <w:t xml:space="preserve">) LPA – </w:t>
      </w:r>
      <w:r w:rsidR="005D512A">
        <w:t>Disciplinary proceedings can be brought against the lawyer and/or the firm.</w:t>
      </w:r>
    </w:p>
    <w:p w14:paraId="58C2534C" w14:textId="77777777" w:rsidR="00452E5D" w:rsidRDefault="00452E5D" w:rsidP="00452E5D">
      <w:pPr>
        <w:pStyle w:val="NoSpacing"/>
      </w:pPr>
    </w:p>
    <w:p w14:paraId="78D91D0B" w14:textId="77777777" w:rsidR="00452E5D" w:rsidRPr="0056428E" w:rsidRDefault="00452E5D" w:rsidP="00AD0EB4">
      <w:pPr>
        <w:pStyle w:val="NoSpacing"/>
      </w:pPr>
    </w:p>
    <w:p w14:paraId="6A496012" w14:textId="77777777" w:rsidR="00087CED" w:rsidRPr="004050A1" w:rsidRDefault="00087CED" w:rsidP="00087CED">
      <w:pPr>
        <w:pStyle w:val="NoSpacing"/>
        <w:ind w:left="1080"/>
        <w:rPr>
          <w:u w:val="single"/>
        </w:rPr>
      </w:pPr>
    </w:p>
    <w:p w14:paraId="500D5C63" w14:textId="77777777" w:rsidR="00E90866" w:rsidRPr="00352496" w:rsidRDefault="00E90866" w:rsidP="00352496">
      <w:pPr>
        <w:pStyle w:val="NoSpacing"/>
      </w:pPr>
    </w:p>
    <w:p w14:paraId="316BCDBA" w14:textId="77777777" w:rsidR="00400DEB" w:rsidRPr="00352496" w:rsidRDefault="00400DEB" w:rsidP="00352496">
      <w:pPr>
        <w:pStyle w:val="NoSpacing"/>
      </w:pPr>
    </w:p>
    <w:p w14:paraId="0FC0174A" w14:textId="77777777" w:rsidR="00400DEB" w:rsidRPr="00352496" w:rsidRDefault="00400DEB" w:rsidP="00352496">
      <w:pPr>
        <w:pStyle w:val="NoSpacing"/>
      </w:pPr>
    </w:p>
    <w:p w14:paraId="574A26A2" w14:textId="77777777" w:rsidR="00400DEB" w:rsidRPr="00352496" w:rsidRDefault="00400DEB" w:rsidP="00352496">
      <w:pPr>
        <w:pStyle w:val="NoSpacing"/>
      </w:pPr>
    </w:p>
    <w:p w14:paraId="52B8E9E5" w14:textId="77777777" w:rsidR="00400DEB" w:rsidRPr="00352496" w:rsidRDefault="00400DEB" w:rsidP="00352496">
      <w:pPr>
        <w:pStyle w:val="NoSpacing"/>
      </w:pPr>
    </w:p>
    <w:p w14:paraId="1AF1D641" w14:textId="77777777" w:rsidR="00400DEB" w:rsidRPr="00352496" w:rsidRDefault="00400DEB" w:rsidP="00352496">
      <w:pPr>
        <w:pStyle w:val="NoSpacing"/>
      </w:pPr>
    </w:p>
    <w:p w14:paraId="4AB529D8" w14:textId="77777777" w:rsidR="00400DEB" w:rsidRPr="00352496" w:rsidRDefault="00400DEB" w:rsidP="00352496">
      <w:pPr>
        <w:pStyle w:val="NoSpacing"/>
      </w:pPr>
    </w:p>
    <w:p w14:paraId="23132015" w14:textId="77777777" w:rsidR="00400DEB" w:rsidRPr="00352496" w:rsidRDefault="00400DEB" w:rsidP="00352496">
      <w:pPr>
        <w:pStyle w:val="NoSpacing"/>
      </w:pPr>
    </w:p>
    <w:p w14:paraId="2FC28C96" w14:textId="77777777" w:rsidR="00400DEB" w:rsidRPr="00352496" w:rsidRDefault="00400DEB" w:rsidP="00352496">
      <w:pPr>
        <w:pStyle w:val="NoSpacing"/>
      </w:pPr>
    </w:p>
    <w:p w14:paraId="559830DB" w14:textId="77777777" w:rsidR="00400DEB" w:rsidRPr="00352496" w:rsidRDefault="00400DEB" w:rsidP="00352496">
      <w:pPr>
        <w:pStyle w:val="NoSpacing"/>
      </w:pPr>
    </w:p>
    <w:p w14:paraId="4A971DA5" w14:textId="77777777" w:rsidR="00400DEB" w:rsidRPr="00352496" w:rsidRDefault="00400DEB" w:rsidP="00352496">
      <w:pPr>
        <w:pStyle w:val="NoSpacing"/>
      </w:pPr>
    </w:p>
    <w:p w14:paraId="225925D9" w14:textId="77777777" w:rsidR="00400DEB" w:rsidRPr="00352496" w:rsidRDefault="00400DEB" w:rsidP="00352496">
      <w:pPr>
        <w:pStyle w:val="NoSpacing"/>
      </w:pPr>
    </w:p>
    <w:p w14:paraId="510DC6AE" w14:textId="77777777" w:rsidR="00400DEB" w:rsidRPr="00352496" w:rsidRDefault="00400DEB" w:rsidP="00352496">
      <w:pPr>
        <w:pStyle w:val="NoSpacing"/>
      </w:pPr>
    </w:p>
    <w:p w14:paraId="188BDAAE" w14:textId="77777777" w:rsidR="00400DEB" w:rsidRPr="00352496" w:rsidRDefault="00400DEB" w:rsidP="00352496">
      <w:pPr>
        <w:pStyle w:val="NoSpacing"/>
      </w:pPr>
    </w:p>
    <w:p w14:paraId="4850F40A" w14:textId="77777777" w:rsidR="00400DEB" w:rsidRPr="00352496" w:rsidRDefault="00400DEB" w:rsidP="00352496">
      <w:pPr>
        <w:pStyle w:val="NoSpacing"/>
      </w:pPr>
    </w:p>
    <w:p w14:paraId="64AF11A0" w14:textId="77777777" w:rsidR="00400DEB" w:rsidRPr="00352496" w:rsidRDefault="00400DEB" w:rsidP="00352496">
      <w:pPr>
        <w:pStyle w:val="NoSpacing"/>
      </w:pPr>
    </w:p>
    <w:p w14:paraId="2B4419D8" w14:textId="77777777" w:rsidR="00400DEB" w:rsidRPr="00352496" w:rsidRDefault="00400DEB" w:rsidP="00352496">
      <w:pPr>
        <w:pStyle w:val="NoSpacing"/>
      </w:pPr>
    </w:p>
    <w:p w14:paraId="6EA02A77" w14:textId="77777777" w:rsidR="00400DEB" w:rsidRPr="00352496" w:rsidRDefault="00400DEB" w:rsidP="00352496">
      <w:pPr>
        <w:pStyle w:val="NoSpacing"/>
      </w:pPr>
    </w:p>
    <w:p w14:paraId="1189FD83" w14:textId="77777777" w:rsidR="00400DEB" w:rsidRPr="00352496" w:rsidRDefault="00400DEB" w:rsidP="00352496">
      <w:pPr>
        <w:pStyle w:val="NoSpacing"/>
      </w:pPr>
    </w:p>
    <w:p w14:paraId="75CF3BD1" w14:textId="77777777" w:rsidR="00400DEB" w:rsidRDefault="00400DEB" w:rsidP="00352496">
      <w:pPr>
        <w:pStyle w:val="NoSpacing"/>
      </w:pPr>
    </w:p>
    <w:p w14:paraId="2F11917D" w14:textId="18CF2F56" w:rsidR="00AD0EB4" w:rsidRDefault="00B76265" w:rsidP="00AD0EB4">
      <w:pPr>
        <w:pStyle w:val="NoSpacing"/>
        <w:rPr>
          <w:b/>
          <w:u w:val="single"/>
        </w:rPr>
      </w:pPr>
      <w:r>
        <w:rPr>
          <w:b/>
          <w:u w:val="single"/>
        </w:rPr>
        <w:lastRenderedPageBreak/>
        <w:t xml:space="preserve">Standard </w:t>
      </w:r>
      <w:r w:rsidR="00AD0EB4" w:rsidRPr="005A7094">
        <w:rPr>
          <w:b/>
          <w:u w:val="single"/>
        </w:rPr>
        <w:t xml:space="preserve">Costs </w:t>
      </w:r>
      <w:r w:rsidR="000848E5">
        <w:rPr>
          <w:b/>
          <w:u w:val="single"/>
        </w:rPr>
        <w:t>Agreement</w:t>
      </w:r>
    </w:p>
    <w:p w14:paraId="4B5F3F09" w14:textId="77777777" w:rsidR="000848E5" w:rsidRDefault="000848E5" w:rsidP="00AD0EB4">
      <w:pPr>
        <w:pStyle w:val="NoSpacing"/>
        <w:rPr>
          <w:b/>
          <w:u w:val="single"/>
        </w:rPr>
      </w:pPr>
    </w:p>
    <w:p w14:paraId="20021703" w14:textId="39076E26" w:rsidR="000848E5" w:rsidRDefault="00215684" w:rsidP="0069421D">
      <w:pPr>
        <w:pStyle w:val="NoSpacing"/>
        <w:numPr>
          <w:ilvl w:val="0"/>
          <w:numId w:val="100"/>
        </w:numPr>
      </w:pPr>
      <w:r>
        <w:rPr>
          <w:b/>
          <w:i/>
        </w:rPr>
        <w:t xml:space="preserve">Standard Costs Agreement </w:t>
      </w:r>
      <w:r w:rsidR="00440ECB">
        <w:rPr>
          <w:i/>
        </w:rPr>
        <w:t>–</w:t>
      </w:r>
      <w:r w:rsidR="00E4205A">
        <w:rPr>
          <w:i/>
        </w:rPr>
        <w:t xml:space="preserve"> </w:t>
      </w:r>
      <w:r w:rsidR="00E42C8B">
        <w:rPr>
          <w:i/>
        </w:rPr>
        <w:t>3.4.</w:t>
      </w:r>
      <w:r w:rsidR="00053EED">
        <w:rPr>
          <w:i/>
        </w:rPr>
        <w:t>26</w:t>
      </w:r>
      <w:r w:rsidR="00E42C8B">
        <w:rPr>
          <w:i/>
        </w:rPr>
        <w:t>LPA –</w:t>
      </w:r>
      <w:r w:rsidR="00053EED">
        <w:rPr>
          <w:i/>
        </w:rPr>
        <w:t xml:space="preserve"> </w:t>
      </w:r>
      <w:r w:rsidR="00E4205A">
        <w:t xml:space="preserve">A costs agreement </w:t>
      </w:r>
      <w:r w:rsidR="00E4205A">
        <w:rPr>
          <w:u w:val="single"/>
        </w:rPr>
        <w:t>can form part of the</w:t>
      </w:r>
      <w:r w:rsidR="003D3D5F">
        <w:rPr>
          <w:u w:val="single"/>
        </w:rPr>
        <w:t xml:space="preserve"> retainer but does not have too</w:t>
      </w:r>
      <w:r w:rsidR="003D3D5F">
        <w:t>. Must meet both:</w:t>
      </w:r>
    </w:p>
    <w:p w14:paraId="6B8167D3" w14:textId="3E2DF707" w:rsidR="003D3D5F" w:rsidRPr="00E42C8B" w:rsidRDefault="003D3D5F" w:rsidP="0069421D">
      <w:pPr>
        <w:pStyle w:val="NoSpacing"/>
        <w:numPr>
          <w:ilvl w:val="1"/>
          <w:numId w:val="100"/>
        </w:numPr>
      </w:pPr>
      <w:r w:rsidRPr="00E42C8B">
        <w:rPr>
          <w:i/>
        </w:rPr>
        <w:t>General law requirements</w:t>
      </w:r>
    </w:p>
    <w:p w14:paraId="046A8F1A" w14:textId="07009DD5" w:rsidR="003D3D5F" w:rsidRPr="00875D75" w:rsidRDefault="003D3D5F" w:rsidP="0069421D">
      <w:pPr>
        <w:pStyle w:val="NoSpacing"/>
        <w:numPr>
          <w:ilvl w:val="1"/>
          <w:numId w:val="100"/>
        </w:numPr>
      </w:pPr>
      <w:r w:rsidRPr="00E42C8B">
        <w:rPr>
          <w:i/>
        </w:rPr>
        <w:t>Any formality requirements imposed by statute</w:t>
      </w:r>
    </w:p>
    <w:p w14:paraId="29A4456C" w14:textId="3E44A77A" w:rsidR="00875D75" w:rsidRPr="00D21523" w:rsidRDefault="00875D75" w:rsidP="0069421D">
      <w:pPr>
        <w:pStyle w:val="NoSpacing"/>
        <w:numPr>
          <w:ilvl w:val="1"/>
          <w:numId w:val="100"/>
        </w:numPr>
      </w:pPr>
      <w:r>
        <w:rPr>
          <w:i/>
        </w:rPr>
        <w:t>Enforced in the same manner as a contract – s</w:t>
      </w:r>
      <w:r w:rsidRPr="00025BA6">
        <w:rPr>
          <w:i/>
        </w:rPr>
        <w:t>3.4.30 LPA</w:t>
      </w:r>
    </w:p>
    <w:p w14:paraId="665507FB" w14:textId="77777777" w:rsidR="00D21523" w:rsidRPr="00D21523" w:rsidRDefault="00D21523" w:rsidP="00D21523">
      <w:pPr>
        <w:pStyle w:val="NoSpacing"/>
        <w:ind w:left="1440"/>
      </w:pPr>
    </w:p>
    <w:p w14:paraId="0F029AA2" w14:textId="034F99F4" w:rsidR="00D21523" w:rsidRPr="00FE5ADC" w:rsidRDefault="00025BA6" w:rsidP="0069421D">
      <w:pPr>
        <w:pStyle w:val="NoSpacing"/>
        <w:numPr>
          <w:ilvl w:val="0"/>
          <w:numId w:val="100"/>
        </w:numPr>
      </w:pPr>
      <w:r>
        <w:rPr>
          <w:b/>
          <w:i/>
        </w:rPr>
        <w:t xml:space="preserve">What is required in a Costs Agreement? </w:t>
      </w:r>
      <w:r w:rsidR="005D3676" w:rsidRPr="00E42410">
        <w:t>–</w:t>
      </w:r>
      <w:r w:rsidR="005D3676">
        <w:rPr>
          <w:b/>
          <w:i/>
        </w:rPr>
        <w:t xml:space="preserve"> </w:t>
      </w:r>
      <w:r w:rsidR="00BC2EF2">
        <w:rPr>
          <w:i/>
        </w:rPr>
        <w:t>s</w:t>
      </w:r>
      <w:r w:rsidRPr="00025BA6">
        <w:rPr>
          <w:i/>
        </w:rPr>
        <w:t>3.4.30 LPA</w:t>
      </w:r>
    </w:p>
    <w:p w14:paraId="35247E7D" w14:textId="4843AAE2" w:rsidR="00FE5ADC" w:rsidRDefault="00F617B6" w:rsidP="0069421D">
      <w:pPr>
        <w:pStyle w:val="NoSpacing"/>
        <w:numPr>
          <w:ilvl w:val="1"/>
          <w:numId w:val="100"/>
        </w:numPr>
      </w:pPr>
      <w:r w:rsidRPr="00BC2EF2">
        <w:rPr>
          <w:i/>
        </w:rPr>
        <w:t xml:space="preserve">State who </w:t>
      </w:r>
      <w:r w:rsidR="00D5736A">
        <w:rPr>
          <w:i/>
        </w:rPr>
        <w:t xml:space="preserve">cost agreement is </w:t>
      </w:r>
      <w:r w:rsidRPr="00BC2EF2">
        <w:rPr>
          <w:i/>
        </w:rPr>
        <w:t>between</w:t>
      </w:r>
      <w:r>
        <w:rPr>
          <w:b/>
          <w:i/>
        </w:rPr>
        <w:t xml:space="preserve"> – </w:t>
      </w:r>
      <w:r w:rsidR="00BC2EF2">
        <w:rPr>
          <w:i/>
        </w:rPr>
        <w:t>s</w:t>
      </w:r>
      <w:r w:rsidR="00BC2EF2" w:rsidRPr="00025BA6">
        <w:rPr>
          <w:i/>
        </w:rPr>
        <w:t>3</w:t>
      </w:r>
      <w:r w:rsidR="00AF0383">
        <w:rPr>
          <w:i/>
        </w:rPr>
        <w:t>.4.26(1)</w:t>
      </w:r>
      <w:r w:rsidR="00BC2EF2" w:rsidRPr="00025BA6">
        <w:rPr>
          <w:i/>
        </w:rPr>
        <w:t xml:space="preserve"> LPA</w:t>
      </w:r>
      <w:r w:rsidR="00BC2EF2">
        <w:rPr>
          <w:i/>
        </w:rPr>
        <w:t xml:space="preserve"> –</w:t>
      </w:r>
      <w:r w:rsidR="00A65A5D">
        <w:rPr>
          <w:i/>
        </w:rPr>
        <w:t xml:space="preserve"> </w:t>
      </w:r>
      <w:r w:rsidR="00A65A5D">
        <w:t>must state that the agreement is between a client and a firm etc</w:t>
      </w:r>
    </w:p>
    <w:p w14:paraId="66FF8C5F" w14:textId="0FAEB989" w:rsidR="00A65A5D" w:rsidRDefault="00A65A5D" w:rsidP="00A65A5D">
      <w:pPr>
        <w:pStyle w:val="NoSpacing"/>
        <w:ind w:left="1440"/>
      </w:pPr>
    </w:p>
    <w:p w14:paraId="78EAF932" w14:textId="1EDB8198" w:rsidR="00A65A5D" w:rsidRPr="00176A3F" w:rsidRDefault="005D0FE1" w:rsidP="0069421D">
      <w:pPr>
        <w:pStyle w:val="NoSpacing"/>
        <w:numPr>
          <w:ilvl w:val="1"/>
          <w:numId w:val="100"/>
        </w:numPr>
      </w:pPr>
      <w:r>
        <w:rPr>
          <w:i/>
        </w:rPr>
        <w:t>Evidenced in writing –</w:t>
      </w:r>
      <w:r w:rsidR="00176A3F">
        <w:rPr>
          <w:i/>
        </w:rPr>
        <w:t xml:space="preserve"> s</w:t>
      </w:r>
      <w:r w:rsidR="00176A3F" w:rsidRPr="00025BA6">
        <w:rPr>
          <w:i/>
        </w:rPr>
        <w:t>3</w:t>
      </w:r>
      <w:r w:rsidR="00176A3F">
        <w:rPr>
          <w:i/>
        </w:rPr>
        <w:t>.4.30(2)</w:t>
      </w:r>
      <w:r w:rsidR="00176A3F" w:rsidRPr="00025BA6">
        <w:rPr>
          <w:i/>
        </w:rPr>
        <w:t xml:space="preserve"> LPA</w:t>
      </w:r>
    </w:p>
    <w:p w14:paraId="5A1CFF2F" w14:textId="77777777" w:rsidR="00176A3F" w:rsidRDefault="00176A3F" w:rsidP="00176A3F">
      <w:pPr>
        <w:pStyle w:val="ListParagraph"/>
      </w:pPr>
    </w:p>
    <w:p w14:paraId="6C42CF70" w14:textId="6607797C" w:rsidR="00176A3F" w:rsidRPr="00176A3F" w:rsidRDefault="00176A3F" w:rsidP="0069421D">
      <w:pPr>
        <w:pStyle w:val="NoSpacing"/>
        <w:numPr>
          <w:ilvl w:val="1"/>
          <w:numId w:val="100"/>
        </w:numPr>
      </w:pPr>
      <w:r>
        <w:rPr>
          <w:i/>
        </w:rPr>
        <w:t>State conditions – s</w:t>
      </w:r>
      <w:r w:rsidRPr="00025BA6">
        <w:rPr>
          <w:i/>
        </w:rPr>
        <w:t>3.4.30</w:t>
      </w:r>
      <w:r>
        <w:rPr>
          <w:i/>
        </w:rPr>
        <w:t>(4)</w:t>
      </w:r>
      <w:r w:rsidRPr="00025BA6">
        <w:rPr>
          <w:i/>
        </w:rPr>
        <w:t xml:space="preserve"> LPA</w:t>
      </w:r>
    </w:p>
    <w:p w14:paraId="2458EE56" w14:textId="20727540" w:rsidR="00176A3F" w:rsidRPr="0016007C" w:rsidRDefault="0016007C" w:rsidP="0069421D">
      <w:pPr>
        <w:pStyle w:val="NoSpacing"/>
        <w:numPr>
          <w:ilvl w:val="2"/>
          <w:numId w:val="100"/>
        </w:numPr>
      </w:pPr>
      <w:r>
        <w:t xml:space="preserve">Offer to enter costs agreement </w:t>
      </w:r>
      <w:r w:rsidR="00E42410">
        <w:t>–</w:t>
      </w:r>
      <w:r>
        <w:t xml:space="preserve"> </w:t>
      </w:r>
      <w:r>
        <w:rPr>
          <w:i/>
        </w:rPr>
        <w:t>s</w:t>
      </w:r>
      <w:r w:rsidRPr="00025BA6">
        <w:rPr>
          <w:i/>
        </w:rPr>
        <w:t>3.4.30</w:t>
      </w:r>
      <w:r>
        <w:rPr>
          <w:i/>
        </w:rPr>
        <w:t>(4)(a)</w:t>
      </w:r>
      <w:r w:rsidRPr="00025BA6">
        <w:rPr>
          <w:i/>
        </w:rPr>
        <w:t xml:space="preserve"> LPA</w:t>
      </w:r>
    </w:p>
    <w:p w14:paraId="0060EEA0" w14:textId="08C1161F" w:rsidR="0016007C" w:rsidRPr="0016007C" w:rsidRDefault="0016007C" w:rsidP="0069421D">
      <w:pPr>
        <w:pStyle w:val="NoSpacing"/>
        <w:numPr>
          <w:ilvl w:val="2"/>
          <w:numId w:val="100"/>
        </w:numPr>
      </w:pPr>
      <w:r>
        <w:rPr>
          <w:i/>
        </w:rPr>
        <w:t xml:space="preserve">Client may accept in writing or by other conduct  </w:t>
      </w:r>
      <w:r w:rsidR="00E42410">
        <w:rPr>
          <w:i/>
        </w:rPr>
        <w:t>–</w:t>
      </w:r>
      <w:r w:rsidRPr="0016007C">
        <w:rPr>
          <w:i/>
        </w:rPr>
        <w:t xml:space="preserve"> </w:t>
      </w:r>
      <w:r>
        <w:rPr>
          <w:i/>
        </w:rPr>
        <w:t>s</w:t>
      </w:r>
      <w:r w:rsidRPr="00025BA6">
        <w:rPr>
          <w:i/>
        </w:rPr>
        <w:t>3.4.30</w:t>
      </w:r>
      <w:r>
        <w:rPr>
          <w:i/>
        </w:rPr>
        <w:t>(4)(b)</w:t>
      </w:r>
      <w:r w:rsidRPr="00025BA6">
        <w:rPr>
          <w:i/>
        </w:rPr>
        <w:t xml:space="preserve"> LPA</w:t>
      </w:r>
    </w:p>
    <w:p w14:paraId="3DA3BE4E" w14:textId="5C07CF31" w:rsidR="0016007C" w:rsidRPr="00D75A70" w:rsidRDefault="0016007C" w:rsidP="0069421D">
      <w:pPr>
        <w:pStyle w:val="NoSpacing"/>
        <w:numPr>
          <w:ilvl w:val="2"/>
          <w:numId w:val="100"/>
        </w:numPr>
      </w:pPr>
      <w:r>
        <w:rPr>
          <w:i/>
        </w:rPr>
        <w:t xml:space="preserve">Type of Conduct that will constitute acceptance </w:t>
      </w:r>
      <w:r w:rsidR="00E42410">
        <w:rPr>
          <w:i/>
        </w:rPr>
        <w:t>–</w:t>
      </w:r>
      <w:r>
        <w:rPr>
          <w:i/>
        </w:rPr>
        <w:t xml:space="preserve"> s</w:t>
      </w:r>
      <w:r w:rsidRPr="00025BA6">
        <w:rPr>
          <w:i/>
        </w:rPr>
        <w:t>3.4.30</w:t>
      </w:r>
      <w:r>
        <w:rPr>
          <w:i/>
        </w:rPr>
        <w:t>(4)</w:t>
      </w:r>
      <w:r w:rsidR="00E42410">
        <w:rPr>
          <w:i/>
        </w:rPr>
        <w:t>(c)</w:t>
      </w:r>
      <w:r w:rsidRPr="00025BA6">
        <w:rPr>
          <w:i/>
        </w:rPr>
        <w:t xml:space="preserve"> LPA</w:t>
      </w:r>
    </w:p>
    <w:p w14:paraId="22FDC453" w14:textId="77777777" w:rsidR="00D75A70" w:rsidRDefault="00D75A70" w:rsidP="00D75A70">
      <w:pPr>
        <w:pStyle w:val="NoSpacing"/>
        <w:ind w:left="2160"/>
      </w:pPr>
    </w:p>
    <w:p w14:paraId="53ACB08C" w14:textId="5BD58927" w:rsidR="00D75A70" w:rsidRDefault="00967DAE" w:rsidP="0069421D">
      <w:pPr>
        <w:pStyle w:val="NoSpacing"/>
        <w:numPr>
          <w:ilvl w:val="0"/>
          <w:numId w:val="100"/>
        </w:numPr>
      </w:pPr>
      <w:r>
        <w:rPr>
          <w:b/>
          <w:i/>
        </w:rPr>
        <w:t xml:space="preserve">Void on Uncertainty </w:t>
      </w:r>
      <w:r>
        <w:t xml:space="preserve">– </w:t>
      </w:r>
      <w:r w:rsidR="0017238B">
        <w:rPr>
          <w:i/>
        </w:rPr>
        <w:t>3.</w:t>
      </w:r>
      <w:r w:rsidR="008B57F0">
        <w:rPr>
          <w:i/>
        </w:rPr>
        <w:t>4</w:t>
      </w:r>
      <w:r w:rsidR="0017238B">
        <w:rPr>
          <w:i/>
        </w:rPr>
        <w:t xml:space="preserve">.31(1) LPA – </w:t>
      </w:r>
      <w:r>
        <w:t xml:space="preserve">A costs agreement will be void if it is so </w:t>
      </w:r>
      <w:r w:rsidR="00996FE1">
        <w:t>obscure</w:t>
      </w:r>
      <w:r>
        <w:t xml:space="preserve">, or so unclear, that a precise meaning cannot be adduced from it and it is unenforceable on the grounds of </w:t>
      </w:r>
      <w:r w:rsidR="00996FE1">
        <w:t>uncertainty</w:t>
      </w:r>
      <w:r>
        <w:t>.</w:t>
      </w:r>
    </w:p>
    <w:p w14:paraId="4EA49A35" w14:textId="77777777" w:rsidR="00967DAE" w:rsidRPr="00967DAE" w:rsidRDefault="00967DAE" w:rsidP="0069421D">
      <w:pPr>
        <w:pStyle w:val="NoSpacing"/>
        <w:numPr>
          <w:ilvl w:val="1"/>
          <w:numId w:val="100"/>
        </w:numPr>
      </w:pPr>
      <w:r w:rsidRPr="00967DAE">
        <w:rPr>
          <w:i/>
        </w:rPr>
        <w:t>McInnes v Twigg</w:t>
      </w:r>
    </w:p>
    <w:p w14:paraId="341C22F8" w14:textId="77777777" w:rsidR="00967DAE" w:rsidRPr="00967DAE" w:rsidRDefault="00967DAE" w:rsidP="00967DAE">
      <w:pPr>
        <w:pStyle w:val="NoSpacing"/>
        <w:ind w:left="1440"/>
      </w:pPr>
    </w:p>
    <w:p w14:paraId="1BBCC69D" w14:textId="53460BAF" w:rsidR="00967DAE" w:rsidRPr="007E183E" w:rsidRDefault="00B856B6" w:rsidP="0069421D">
      <w:pPr>
        <w:pStyle w:val="NoSpacing"/>
        <w:numPr>
          <w:ilvl w:val="0"/>
          <w:numId w:val="100"/>
        </w:numPr>
      </w:pPr>
      <w:r>
        <w:rPr>
          <w:b/>
          <w:i/>
        </w:rPr>
        <w:t xml:space="preserve">Effect of Costs Agreement </w:t>
      </w:r>
      <w:r>
        <w:t xml:space="preserve">– </w:t>
      </w:r>
      <w:r w:rsidR="00E00606">
        <w:t xml:space="preserve">If the costs agreement clearly stipulates the payment requirements then there is no possibility that the lawyer can subsequently claim costs on a </w:t>
      </w:r>
      <w:r w:rsidR="00E00606">
        <w:rPr>
          <w:i/>
        </w:rPr>
        <w:t xml:space="preserve">quantum meruit </w:t>
      </w:r>
      <w:r w:rsidR="005171AE">
        <w:t xml:space="preserve">basis per </w:t>
      </w:r>
      <w:r w:rsidR="005171AE">
        <w:rPr>
          <w:i/>
        </w:rPr>
        <w:t>Equuscorp Pty Ltd v Wilmoth Field</w:t>
      </w:r>
    </w:p>
    <w:p w14:paraId="2CE84782" w14:textId="77777777" w:rsidR="007E183E" w:rsidRDefault="007E183E" w:rsidP="007E183E">
      <w:pPr>
        <w:pStyle w:val="NoSpacing"/>
        <w:ind w:left="720"/>
      </w:pPr>
    </w:p>
    <w:p w14:paraId="413B2778" w14:textId="6EE73F1A" w:rsidR="005171AE" w:rsidRDefault="00BD47D9" w:rsidP="0069421D">
      <w:pPr>
        <w:pStyle w:val="NoSpacing"/>
        <w:numPr>
          <w:ilvl w:val="1"/>
          <w:numId w:val="100"/>
        </w:numPr>
      </w:pPr>
      <w:r>
        <w:rPr>
          <w:i/>
        </w:rPr>
        <w:t xml:space="preserve">No Agreement </w:t>
      </w:r>
      <w:r w:rsidR="006070EF">
        <w:rPr>
          <w:i/>
        </w:rPr>
        <w:t>–</w:t>
      </w:r>
      <w:r>
        <w:rPr>
          <w:i/>
        </w:rPr>
        <w:t xml:space="preserve"> </w:t>
      </w:r>
      <w:r w:rsidR="006070EF">
        <w:t xml:space="preserve">If there is no agreement in place then this does not expressly deny the lawyer </w:t>
      </w:r>
      <w:r w:rsidR="006070EF">
        <w:rPr>
          <w:u w:val="single"/>
        </w:rPr>
        <w:t>any claim</w:t>
      </w:r>
      <w:r w:rsidR="006070EF">
        <w:t xml:space="preserve"> but rather forces the lawyer to seek costs on a </w:t>
      </w:r>
      <w:r w:rsidR="006070EF" w:rsidRPr="006070EF">
        <w:rPr>
          <w:i/>
        </w:rPr>
        <w:t>quantum meruit</w:t>
      </w:r>
      <w:r w:rsidR="006070EF">
        <w:t xml:space="preserve"> basis to be quantified as necessary by the Court.</w:t>
      </w:r>
    </w:p>
    <w:p w14:paraId="02C0AF06" w14:textId="77777777" w:rsidR="006070EF" w:rsidRDefault="006070EF" w:rsidP="006070EF">
      <w:pPr>
        <w:pStyle w:val="NoSpacing"/>
        <w:ind w:left="1440"/>
      </w:pPr>
    </w:p>
    <w:p w14:paraId="01F68091" w14:textId="67DA9ECD" w:rsidR="006070EF" w:rsidRPr="00E42C8B" w:rsidRDefault="00B86D95" w:rsidP="0069421D">
      <w:pPr>
        <w:pStyle w:val="NoSpacing"/>
        <w:numPr>
          <w:ilvl w:val="1"/>
          <w:numId w:val="100"/>
        </w:numPr>
      </w:pPr>
      <w:r>
        <w:rPr>
          <w:i/>
        </w:rPr>
        <w:t xml:space="preserve">Cannot exceed reward </w:t>
      </w:r>
      <w:r>
        <w:t xml:space="preserve">– </w:t>
      </w:r>
      <w:r w:rsidRPr="00B2154C">
        <w:rPr>
          <w:i/>
        </w:rPr>
        <w:t xml:space="preserve">3.4.31(3)LPA </w:t>
      </w:r>
      <w:r>
        <w:t xml:space="preserve">– </w:t>
      </w:r>
      <w:r w:rsidR="00752AAA">
        <w:t>Cannot recover any amount in excess of the amount that the lawyer would have been entitled to recover if the costs agreement had not been void and must repay any excess.</w:t>
      </w:r>
    </w:p>
    <w:p w14:paraId="4B7B3B70" w14:textId="77777777" w:rsidR="00400DEB" w:rsidRDefault="00400DEB" w:rsidP="00352496">
      <w:pPr>
        <w:pStyle w:val="NoSpacing"/>
      </w:pPr>
    </w:p>
    <w:p w14:paraId="51A413C6" w14:textId="77777777" w:rsidR="00400DEB" w:rsidRDefault="00400DEB" w:rsidP="00352496">
      <w:pPr>
        <w:pStyle w:val="NoSpacing"/>
      </w:pPr>
    </w:p>
    <w:p w14:paraId="1E9775D6" w14:textId="77777777" w:rsidR="00400DEB" w:rsidRDefault="00400DEB" w:rsidP="00352496">
      <w:pPr>
        <w:pStyle w:val="NoSpacing"/>
      </w:pPr>
    </w:p>
    <w:p w14:paraId="33906397" w14:textId="77777777" w:rsidR="00400DEB" w:rsidRDefault="00400DEB" w:rsidP="00352496">
      <w:pPr>
        <w:pStyle w:val="NoSpacing"/>
      </w:pPr>
    </w:p>
    <w:p w14:paraId="45497152" w14:textId="77777777" w:rsidR="00400DEB" w:rsidRDefault="00400DEB" w:rsidP="00352496">
      <w:pPr>
        <w:pStyle w:val="NoSpacing"/>
      </w:pPr>
    </w:p>
    <w:p w14:paraId="2D8D2BFC" w14:textId="77777777" w:rsidR="00400DEB" w:rsidRDefault="00400DEB" w:rsidP="00352496">
      <w:pPr>
        <w:pStyle w:val="NoSpacing"/>
      </w:pPr>
    </w:p>
    <w:p w14:paraId="1BDD2A2E" w14:textId="77777777" w:rsidR="00400DEB" w:rsidRDefault="00400DEB" w:rsidP="00352496">
      <w:pPr>
        <w:pStyle w:val="NoSpacing"/>
      </w:pPr>
    </w:p>
    <w:p w14:paraId="0EA7F311" w14:textId="77777777" w:rsidR="00400DEB" w:rsidRDefault="00400DEB" w:rsidP="00352496">
      <w:pPr>
        <w:pStyle w:val="NoSpacing"/>
      </w:pPr>
    </w:p>
    <w:p w14:paraId="5C248A2C" w14:textId="77777777" w:rsidR="00400DEB" w:rsidRDefault="00400DEB" w:rsidP="00352496">
      <w:pPr>
        <w:pStyle w:val="NoSpacing"/>
      </w:pPr>
    </w:p>
    <w:p w14:paraId="00D5A044" w14:textId="77777777" w:rsidR="00400DEB" w:rsidRDefault="00400DEB" w:rsidP="00352496">
      <w:pPr>
        <w:pStyle w:val="NoSpacing"/>
      </w:pPr>
    </w:p>
    <w:p w14:paraId="1E7201DC" w14:textId="77777777" w:rsidR="00400DEB" w:rsidRDefault="00400DEB" w:rsidP="00352496">
      <w:pPr>
        <w:pStyle w:val="NoSpacing"/>
      </w:pPr>
    </w:p>
    <w:p w14:paraId="16BE0E65" w14:textId="77777777" w:rsidR="00400DEB" w:rsidRDefault="00400DEB" w:rsidP="00352496">
      <w:pPr>
        <w:pStyle w:val="NoSpacing"/>
      </w:pPr>
    </w:p>
    <w:p w14:paraId="143B03E3" w14:textId="77777777" w:rsidR="00400DEB" w:rsidRDefault="00400DEB" w:rsidP="00352496">
      <w:pPr>
        <w:pStyle w:val="NoSpacing"/>
      </w:pPr>
    </w:p>
    <w:p w14:paraId="3710C65D" w14:textId="77777777" w:rsidR="00400DEB" w:rsidRDefault="00400DEB" w:rsidP="00352496">
      <w:pPr>
        <w:pStyle w:val="NoSpacing"/>
      </w:pPr>
    </w:p>
    <w:p w14:paraId="1996A408" w14:textId="77777777" w:rsidR="00400DEB" w:rsidRDefault="00400DEB" w:rsidP="00352496">
      <w:pPr>
        <w:pStyle w:val="NoSpacing"/>
      </w:pPr>
    </w:p>
    <w:p w14:paraId="431F98A7" w14:textId="77777777" w:rsidR="00400DEB" w:rsidRDefault="00400DEB" w:rsidP="00352496">
      <w:pPr>
        <w:pStyle w:val="NoSpacing"/>
      </w:pPr>
    </w:p>
    <w:p w14:paraId="2E301F07" w14:textId="77777777" w:rsidR="00400DEB" w:rsidRDefault="00400DEB" w:rsidP="00352496">
      <w:pPr>
        <w:pStyle w:val="NoSpacing"/>
      </w:pPr>
    </w:p>
    <w:p w14:paraId="2050212B" w14:textId="38774B59" w:rsidR="00CF1B64" w:rsidRDefault="00CF1B64" w:rsidP="00CF1B64">
      <w:pPr>
        <w:pStyle w:val="NoSpacing"/>
        <w:rPr>
          <w:b/>
          <w:u w:val="single"/>
        </w:rPr>
      </w:pPr>
      <w:r>
        <w:rPr>
          <w:b/>
          <w:u w:val="single"/>
        </w:rPr>
        <w:lastRenderedPageBreak/>
        <w:t xml:space="preserve">Contingent </w:t>
      </w:r>
      <w:r w:rsidRPr="005A7094">
        <w:rPr>
          <w:b/>
          <w:u w:val="single"/>
        </w:rPr>
        <w:t xml:space="preserve">Costs </w:t>
      </w:r>
      <w:r>
        <w:rPr>
          <w:b/>
          <w:u w:val="single"/>
        </w:rPr>
        <w:t>Agreement</w:t>
      </w:r>
    </w:p>
    <w:p w14:paraId="3D657AD3" w14:textId="77777777" w:rsidR="00CF1B64" w:rsidRDefault="00CF1B64" w:rsidP="00352496">
      <w:pPr>
        <w:pStyle w:val="NoSpacing"/>
      </w:pPr>
    </w:p>
    <w:p w14:paraId="4670AA4D" w14:textId="48B9CA8A" w:rsidR="00CC3464" w:rsidRDefault="005E6279" w:rsidP="0069421D">
      <w:pPr>
        <w:pStyle w:val="NoSpacing"/>
        <w:numPr>
          <w:ilvl w:val="0"/>
          <w:numId w:val="101"/>
        </w:numPr>
      </w:pPr>
      <w:r>
        <w:rPr>
          <w:b/>
          <w:i/>
        </w:rPr>
        <w:t>Contingent</w:t>
      </w:r>
      <w:r w:rsidR="00CC3464">
        <w:rPr>
          <w:b/>
          <w:i/>
        </w:rPr>
        <w:t xml:space="preserve"> Costs Agreement </w:t>
      </w:r>
      <w:r w:rsidR="00CC3464">
        <w:rPr>
          <w:i/>
        </w:rPr>
        <w:t>– 3.4.</w:t>
      </w:r>
      <w:r w:rsidR="00A76106">
        <w:rPr>
          <w:i/>
        </w:rPr>
        <w:t>2</w:t>
      </w:r>
      <w:r w:rsidR="00E4030A">
        <w:rPr>
          <w:i/>
        </w:rPr>
        <w:t>7</w:t>
      </w:r>
      <w:r w:rsidR="00CC3464">
        <w:rPr>
          <w:i/>
        </w:rPr>
        <w:t xml:space="preserve">LPA – </w:t>
      </w:r>
      <w:r w:rsidR="00117965">
        <w:t>A contingent costs arrangement is based on the reward of payment to the lawyer only if a specified event occurs – usually litigation success.</w:t>
      </w:r>
    </w:p>
    <w:p w14:paraId="0A4BF3FD" w14:textId="77777777" w:rsidR="00D842A9" w:rsidRPr="00D842A9" w:rsidRDefault="00D842A9" w:rsidP="00D842A9">
      <w:pPr>
        <w:pStyle w:val="NoSpacing"/>
        <w:ind w:left="1440"/>
      </w:pPr>
    </w:p>
    <w:p w14:paraId="658A2DDA" w14:textId="77777777" w:rsidR="0022209D" w:rsidRPr="0022209D" w:rsidRDefault="0022209D" w:rsidP="0069421D">
      <w:pPr>
        <w:pStyle w:val="NoSpacing"/>
        <w:numPr>
          <w:ilvl w:val="1"/>
          <w:numId w:val="101"/>
        </w:numPr>
      </w:pPr>
      <w:r w:rsidRPr="0022209D">
        <w:rPr>
          <w:i/>
        </w:rPr>
        <w:t>Three Types</w:t>
      </w:r>
    </w:p>
    <w:p w14:paraId="0E141989" w14:textId="7107E5B2" w:rsidR="0022209D" w:rsidRPr="0022209D" w:rsidRDefault="001C5289" w:rsidP="0069421D">
      <w:pPr>
        <w:pStyle w:val="NoSpacing"/>
        <w:numPr>
          <w:ilvl w:val="2"/>
          <w:numId w:val="101"/>
        </w:numPr>
      </w:pPr>
      <w:r w:rsidRPr="001C5289">
        <w:rPr>
          <w:i/>
        </w:rPr>
        <w:t>Conditional</w:t>
      </w:r>
      <w:r w:rsidR="0022209D">
        <w:t xml:space="preserve"> –</w:t>
      </w:r>
      <w:r w:rsidR="00D842A9">
        <w:t xml:space="preserve"> </w:t>
      </w:r>
      <w:r>
        <w:t>Lawyer takes fee in event of a successful defined action</w:t>
      </w:r>
    </w:p>
    <w:p w14:paraId="58289901" w14:textId="77777777" w:rsidR="001C5289" w:rsidRDefault="001C5289" w:rsidP="001C5289">
      <w:pPr>
        <w:pStyle w:val="NoSpacing"/>
        <w:ind w:left="2160"/>
      </w:pPr>
    </w:p>
    <w:p w14:paraId="34246527" w14:textId="3407931B" w:rsidR="0022209D" w:rsidRDefault="0022209D" w:rsidP="0069421D">
      <w:pPr>
        <w:pStyle w:val="NoSpacing"/>
        <w:numPr>
          <w:ilvl w:val="2"/>
          <w:numId w:val="101"/>
        </w:numPr>
      </w:pPr>
      <w:r w:rsidRPr="001C5289">
        <w:rPr>
          <w:i/>
        </w:rPr>
        <w:t>Uplift</w:t>
      </w:r>
      <w:r>
        <w:t xml:space="preserve"> – </w:t>
      </w:r>
      <w:r w:rsidR="001C5289">
        <w:t>Lawyer receives, in addition to their normal fee, an agreed flat amount or ‘uplift’ of their normal fee.</w:t>
      </w:r>
    </w:p>
    <w:p w14:paraId="28829CEC" w14:textId="77777777" w:rsidR="001C5289" w:rsidRDefault="001C5289" w:rsidP="001C5289">
      <w:pPr>
        <w:pStyle w:val="NoSpacing"/>
        <w:ind w:left="2160"/>
      </w:pPr>
    </w:p>
    <w:p w14:paraId="734959FA" w14:textId="443F0DD5" w:rsidR="0022209D" w:rsidRDefault="0022209D" w:rsidP="0069421D">
      <w:pPr>
        <w:pStyle w:val="NoSpacing"/>
        <w:numPr>
          <w:ilvl w:val="2"/>
          <w:numId w:val="101"/>
        </w:numPr>
      </w:pPr>
      <w:r w:rsidRPr="001C5289">
        <w:rPr>
          <w:i/>
        </w:rPr>
        <w:t>Percentage</w:t>
      </w:r>
      <w:r w:rsidR="00932227">
        <w:rPr>
          <w:i/>
        </w:rPr>
        <w:t xml:space="preserve"> – </w:t>
      </w:r>
      <w:r w:rsidR="00932227" w:rsidRPr="000C42EF">
        <w:rPr>
          <w:i/>
          <w:u w:val="single"/>
        </w:rPr>
        <w:t>Denied under statute by 3.4.29</w:t>
      </w:r>
      <w:r>
        <w:t xml:space="preserve"> – </w:t>
      </w:r>
      <w:r w:rsidR="001C5289">
        <w:t>Lawyer receives fees a percent</w:t>
      </w:r>
      <w:r w:rsidR="00932227">
        <w:t xml:space="preserve">age of the total amount secured </w:t>
      </w:r>
    </w:p>
    <w:p w14:paraId="1C4D6F10" w14:textId="77777777" w:rsidR="007F1F95" w:rsidRPr="00FB718F" w:rsidRDefault="007F1F95" w:rsidP="00FB718F">
      <w:pPr>
        <w:pStyle w:val="NoSpacing"/>
      </w:pPr>
    </w:p>
    <w:p w14:paraId="53D48DB6" w14:textId="321C7650" w:rsidR="007F1F95" w:rsidRDefault="00DB2238" w:rsidP="0069421D">
      <w:pPr>
        <w:pStyle w:val="NoSpacing"/>
        <w:numPr>
          <w:ilvl w:val="0"/>
          <w:numId w:val="101"/>
        </w:numPr>
      </w:pPr>
      <w:r>
        <w:rPr>
          <w:b/>
          <w:i/>
        </w:rPr>
        <w:t xml:space="preserve">Rationale &amp; Problems </w:t>
      </w:r>
      <w:r>
        <w:t>– The rationale of such costs agreements are that:</w:t>
      </w:r>
    </w:p>
    <w:p w14:paraId="3C649965" w14:textId="7380FB1B" w:rsidR="00DB2238" w:rsidRDefault="00DB2238" w:rsidP="0069421D">
      <w:pPr>
        <w:pStyle w:val="NoSpacing"/>
        <w:numPr>
          <w:ilvl w:val="1"/>
          <w:numId w:val="101"/>
        </w:numPr>
      </w:pPr>
      <w:r w:rsidRPr="00DB2238">
        <w:rPr>
          <w:i/>
        </w:rPr>
        <w:t>Incentive</w:t>
      </w:r>
      <w:r>
        <w:rPr>
          <w:b/>
          <w:i/>
        </w:rPr>
        <w:t xml:space="preserve"> </w:t>
      </w:r>
      <w:r>
        <w:t>– They act as an incentive for the lawyer to make a realistic prospect of success and to purse a strong case for the client.</w:t>
      </w:r>
    </w:p>
    <w:p w14:paraId="682016ED" w14:textId="77777777" w:rsidR="00DB2238" w:rsidRPr="00DB2238" w:rsidRDefault="00DB2238" w:rsidP="00DB2238">
      <w:pPr>
        <w:pStyle w:val="NoSpacing"/>
        <w:ind w:left="1440"/>
      </w:pPr>
    </w:p>
    <w:p w14:paraId="362E305F" w14:textId="1AE0926D" w:rsidR="00DB2238" w:rsidRDefault="008E427A" w:rsidP="0069421D">
      <w:pPr>
        <w:pStyle w:val="NoSpacing"/>
        <w:numPr>
          <w:ilvl w:val="1"/>
          <w:numId w:val="101"/>
        </w:numPr>
      </w:pPr>
      <w:r>
        <w:rPr>
          <w:i/>
          <w:u w:val="single"/>
        </w:rPr>
        <w:t>**</w:t>
      </w:r>
      <w:r w:rsidR="00DB2238" w:rsidRPr="008E427A">
        <w:rPr>
          <w:i/>
          <w:u w:val="single"/>
        </w:rPr>
        <w:t>Conflict of Interests</w:t>
      </w:r>
      <w:r w:rsidR="00DB2238">
        <w:rPr>
          <w:b/>
          <w:i/>
        </w:rPr>
        <w:t xml:space="preserve"> </w:t>
      </w:r>
      <w:r w:rsidR="00DB2238">
        <w:t xml:space="preserve">– The lawyer may settle at a time that suits the lawyer and maximums the fees they are able to recoup instead of maintaining the </w:t>
      </w:r>
      <w:r w:rsidR="00B2612B">
        <w:t>clients’</w:t>
      </w:r>
      <w:r w:rsidR="00DB2238">
        <w:t xml:space="preserve"> interests.</w:t>
      </w:r>
    </w:p>
    <w:p w14:paraId="08F3AA57" w14:textId="7ED69244" w:rsidR="00DB2238" w:rsidRPr="00544C20" w:rsidRDefault="00B2612B" w:rsidP="0069421D">
      <w:pPr>
        <w:pStyle w:val="NoSpacing"/>
        <w:numPr>
          <w:ilvl w:val="2"/>
          <w:numId w:val="101"/>
        </w:numPr>
      </w:pPr>
      <w:r>
        <w:rPr>
          <w:i/>
        </w:rPr>
        <w:t>Wallersteiner v Moir; Trendtex Trading Corp v Credit Suisse</w:t>
      </w:r>
    </w:p>
    <w:p w14:paraId="4484F20E" w14:textId="77777777" w:rsidR="00544C20" w:rsidRDefault="00544C20" w:rsidP="00544C20">
      <w:pPr>
        <w:pStyle w:val="NoSpacing"/>
        <w:ind w:left="2160"/>
      </w:pPr>
    </w:p>
    <w:p w14:paraId="39351E56" w14:textId="77777777" w:rsidR="00544C20" w:rsidRPr="00DA2537" w:rsidRDefault="00DA2537" w:rsidP="0069421D">
      <w:pPr>
        <w:pStyle w:val="NoSpacing"/>
        <w:numPr>
          <w:ilvl w:val="0"/>
          <w:numId w:val="101"/>
        </w:numPr>
      </w:pPr>
      <w:r>
        <w:rPr>
          <w:b/>
          <w:i/>
        </w:rPr>
        <w:t>What is required in a Conditional Costs Agreement?</w:t>
      </w:r>
    </w:p>
    <w:p w14:paraId="1570F1D9" w14:textId="3C1A43ED" w:rsidR="00EE3E69" w:rsidRDefault="00EE3E69" w:rsidP="0069421D">
      <w:pPr>
        <w:pStyle w:val="NoSpacing"/>
        <w:numPr>
          <w:ilvl w:val="1"/>
          <w:numId w:val="101"/>
        </w:numPr>
      </w:pPr>
      <w:r w:rsidRPr="00BD3350">
        <w:rPr>
          <w:i/>
        </w:rPr>
        <w:t>Circumstances and matter it relates to</w:t>
      </w:r>
      <w:r w:rsidR="00BE13B4">
        <w:t xml:space="preserve"> </w:t>
      </w:r>
      <w:r w:rsidR="00236AE0">
        <w:t>–</w:t>
      </w:r>
      <w:r w:rsidR="00BE13B4">
        <w:t xml:space="preserve"> </w:t>
      </w:r>
      <w:r w:rsidR="00236AE0" w:rsidRPr="008D1C71">
        <w:rPr>
          <w:i/>
        </w:rPr>
        <w:t>3.4.27</w:t>
      </w:r>
      <w:r w:rsidRPr="008D1C71">
        <w:rPr>
          <w:i/>
        </w:rPr>
        <w:t>(</w:t>
      </w:r>
      <w:r w:rsidR="00236AE0" w:rsidRPr="008D1C71">
        <w:rPr>
          <w:i/>
        </w:rPr>
        <w:t>3)(a)</w:t>
      </w:r>
      <w:r w:rsidR="00BD3350">
        <w:rPr>
          <w:i/>
        </w:rPr>
        <w:t xml:space="preserve"> LPA</w:t>
      </w:r>
    </w:p>
    <w:p w14:paraId="4AF190FD" w14:textId="14520787" w:rsidR="00EE3E69" w:rsidRDefault="00EE3E69" w:rsidP="0069421D">
      <w:pPr>
        <w:pStyle w:val="NoSpacing"/>
        <w:numPr>
          <w:ilvl w:val="1"/>
          <w:numId w:val="101"/>
        </w:numPr>
      </w:pPr>
      <w:r w:rsidRPr="00BD3350">
        <w:rPr>
          <w:i/>
        </w:rPr>
        <w:t>Provide for the relevant disbursements to be paid regardless of the outcome</w:t>
      </w:r>
      <w:r>
        <w:t xml:space="preserve"> – </w:t>
      </w:r>
      <w:r w:rsidRPr="008D1C71">
        <w:rPr>
          <w:i/>
        </w:rPr>
        <w:t>3.4.27(3)(b)</w:t>
      </w:r>
      <w:r w:rsidR="00BD3350" w:rsidRPr="00BD3350">
        <w:rPr>
          <w:i/>
        </w:rPr>
        <w:t xml:space="preserve"> </w:t>
      </w:r>
      <w:r w:rsidR="00BD3350">
        <w:rPr>
          <w:i/>
        </w:rPr>
        <w:t>LPA</w:t>
      </w:r>
    </w:p>
    <w:p w14:paraId="682FDA6B" w14:textId="29F789EE" w:rsidR="00FE1499" w:rsidRPr="00D21523" w:rsidRDefault="00FE1499" w:rsidP="0069421D">
      <w:pPr>
        <w:pStyle w:val="NoSpacing"/>
        <w:numPr>
          <w:ilvl w:val="1"/>
          <w:numId w:val="101"/>
        </w:numPr>
      </w:pPr>
      <w:r w:rsidRPr="00046E5D">
        <w:rPr>
          <w:i/>
        </w:rPr>
        <w:t>Clear writing, Plain language &amp; Signed</w:t>
      </w:r>
      <w:r>
        <w:t xml:space="preserve"> – </w:t>
      </w:r>
      <w:r w:rsidRPr="008D1C71">
        <w:rPr>
          <w:i/>
        </w:rPr>
        <w:t>3.4.27</w:t>
      </w:r>
      <w:r w:rsidR="00EE3E69" w:rsidRPr="008D1C71">
        <w:rPr>
          <w:i/>
        </w:rPr>
        <w:t>(</w:t>
      </w:r>
      <w:r w:rsidRPr="008D1C71">
        <w:rPr>
          <w:i/>
        </w:rPr>
        <w:t>3)(</w:t>
      </w:r>
      <w:r w:rsidR="00046E5D" w:rsidRPr="008D1C71">
        <w:rPr>
          <w:i/>
        </w:rPr>
        <w:t>c</w:t>
      </w:r>
      <w:r w:rsidRPr="008D1C71">
        <w:rPr>
          <w:i/>
        </w:rPr>
        <w:t xml:space="preserve">) </w:t>
      </w:r>
      <w:r w:rsidR="00BD3350">
        <w:rPr>
          <w:i/>
        </w:rPr>
        <w:t>LPA</w:t>
      </w:r>
    </w:p>
    <w:p w14:paraId="03278D28" w14:textId="1751BD5C" w:rsidR="00D90FCF" w:rsidRDefault="00D90FCF" w:rsidP="0069421D">
      <w:pPr>
        <w:pStyle w:val="NoSpacing"/>
        <w:numPr>
          <w:ilvl w:val="1"/>
          <w:numId w:val="101"/>
        </w:numPr>
      </w:pPr>
      <w:r w:rsidRPr="00BD3350">
        <w:rPr>
          <w:i/>
        </w:rPr>
        <w:t xml:space="preserve">Provide that client has been informed of the right to </w:t>
      </w:r>
      <w:r w:rsidRPr="00575ADA">
        <w:rPr>
          <w:i/>
          <w:u w:val="single"/>
        </w:rPr>
        <w:t>seek independent legal advice</w:t>
      </w:r>
      <w:r w:rsidRPr="00575ADA">
        <w:rPr>
          <w:u w:val="single"/>
        </w:rPr>
        <w:t xml:space="preserve"> </w:t>
      </w:r>
      <w:r>
        <w:t xml:space="preserve">– </w:t>
      </w:r>
      <w:r w:rsidRPr="008D1C71">
        <w:rPr>
          <w:i/>
        </w:rPr>
        <w:t>3.4.27(3)(</w:t>
      </w:r>
      <w:r w:rsidR="008D1C71" w:rsidRPr="008D1C71">
        <w:rPr>
          <w:i/>
        </w:rPr>
        <w:t>d</w:t>
      </w:r>
      <w:r w:rsidRPr="008D1C71">
        <w:rPr>
          <w:i/>
        </w:rPr>
        <w:t>)</w:t>
      </w:r>
      <w:r w:rsidR="00BD3350" w:rsidRPr="00BD3350">
        <w:rPr>
          <w:i/>
        </w:rPr>
        <w:t xml:space="preserve"> </w:t>
      </w:r>
      <w:r w:rsidR="00BD3350">
        <w:rPr>
          <w:i/>
        </w:rPr>
        <w:t>LPA</w:t>
      </w:r>
    </w:p>
    <w:p w14:paraId="5F35EF98" w14:textId="0BFB4518" w:rsidR="00D90FCF" w:rsidRPr="00BD3350" w:rsidRDefault="00D90FCF" w:rsidP="0069421D">
      <w:pPr>
        <w:pStyle w:val="NoSpacing"/>
        <w:numPr>
          <w:ilvl w:val="1"/>
          <w:numId w:val="101"/>
        </w:numPr>
      </w:pPr>
      <w:r w:rsidRPr="00BD3350">
        <w:rPr>
          <w:i/>
        </w:rPr>
        <w:t>Cooling off period of 5 business days</w:t>
      </w:r>
      <w:r>
        <w:t xml:space="preserve"> – 3</w:t>
      </w:r>
      <w:r w:rsidRPr="008D1C71">
        <w:rPr>
          <w:i/>
        </w:rPr>
        <w:t>.4.27(3)(</w:t>
      </w:r>
      <w:r w:rsidR="008D1C71" w:rsidRPr="008D1C71">
        <w:rPr>
          <w:i/>
        </w:rPr>
        <w:t>e</w:t>
      </w:r>
      <w:r w:rsidRPr="008D1C71">
        <w:rPr>
          <w:i/>
        </w:rPr>
        <w:t>)</w:t>
      </w:r>
      <w:r w:rsidR="00BD3350" w:rsidRPr="00BD3350">
        <w:rPr>
          <w:i/>
        </w:rPr>
        <w:t xml:space="preserve"> </w:t>
      </w:r>
      <w:r w:rsidR="00BD3350">
        <w:rPr>
          <w:i/>
        </w:rPr>
        <w:t>LPA</w:t>
      </w:r>
    </w:p>
    <w:p w14:paraId="41965DA5" w14:textId="77777777" w:rsidR="00BD3350" w:rsidRDefault="00BD3350" w:rsidP="00BD3350">
      <w:pPr>
        <w:pStyle w:val="NoSpacing"/>
        <w:ind w:left="1440"/>
      </w:pPr>
    </w:p>
    <w:p w14:paraId="7FF76224" w14:textId="6A5E4C1A" w:rsidR="00046E5D" w:rsidRDefault="001E2F4C" w:rsidP="0069421D">
      <w:pPr>
        <w:pStyle w:val="NoSpacing"/>
        <w:numPr>
          <w:ilvl w:val="0"/>
          <w:numId w:val="101"/>
        </w:numPr>
      </w:pPr>
      <w:r>
        <w:rPr>
          <w:b/>
          <w:i/>
        </w:rPr>
        <w:t xml:space="preserve">Lawyer must explain and ensure clients understands – </w:t>
      </w:r>
      <w:r>
        <w:t>PCPR 2A3 – Lawyer must ensure they explain:</w:t>
      </w:r>
    </w:p>
    <w:p w14:paraId="3E9A81B9" w14:textId="77777777" w:rsidR="001E2F4C" w:rsidRPr="001E2F4C" w:rsidRDefault="001E2F4C" w:rsidP="0069421D">
      <w:pPr>
        <w:pStyle w:val="NoSpacing"/>
        <w:numPr>
          <w:ilvl w:val="1"/>
          <w:numId w:val="101"/>
        </w:numPr>
      </w:pPr>
      <w:r w:rsidRPr="001E2F4C">
        <w:t>The conditional costs agreement the client is signing</w:t>
      </w:r>
    </w:p>
    <w:p w14:paraId="486F6ED9" w14:textId="77777777" w:rsidR="001E2F4C" w:rsidRPr="001E2F4C" w:rsidRDefault="001E2F4C" w:rsidP="0069421D">
      <w:pPr>
        <w:pStyle w:val="NoSpacing"/>
        <w:numPr>
          <w:ilvl w:val="1"/>
          <w:numId w:val="101"/>
        </w:numPr>
      </w:pPr>
      <w:r w:rsidRPr="001E2F4C">
        <w:t>That the client understands clearly</w:t>
      </w:r>
    </w:p>
    <w:p w14:paraId="75FC5019" w14:textId="6B99C40B" w:rsidR="001E2F4C" w:rsidRDefault="001E2F4C" w:rsidP="0069421D">
      <w:pPr>
        <w:pStyle w:val="NoSpacing"/>
        <w:numPr>
          <w:ilvl w:val="1"/>
          <w:numId w:val="101"/>
        </w:numPr>
      </w:pPr>
      <w:r w:rsidRPr="001E2F4C">
        <w:t>That the client signs that they understand</w:t>
      </w:r>
    </w:p>
    <w:p w14:paraId="0B404D7F" w14:textId="77777777" w:rsidR="00886EC2" w:rsidRDefault="00886EC2" w:rsidP="00886EC2">
      <w:pPr>
        <w:pStyle w:val="NoSpacing"/>
        <w:ind w:left="1440"/>
      </w:pPr>
    </w:p>
    <w:p w14:paraId="3D76E6B0" w14:textId="77777777" w:rsidR="00E641FC" w:rsidRDefault="000747C1" w:rsidP="0069421D">
      <w:pPr>
        <w:pStyle w:val="NoSpacing"/>
        <w:numPr>
          <w:ilvl w:val="0"/>
          <w:numId w:val="101"/>
        </w:numPr>
      </w:pPr>
      <w:r>
        <w:rPr>
          <w:b/>
          <w:i/>
        </w:rPr>
        <w:t xml:space="preserve">Uplift Fee </w:t>
      </w:r>
      <w:r>
        <w:t>–</w:t>
      </w:r>
      <w:r w:rsidR="00024733">
        <w:t xml:space="preserve"> </w:t>
      </w:r>
      <w:r w:rsidR="00024733">
        <w:rPr>
          <w:i/>
        </w:rPr>
        <w:t>3.4.2</w:t>
      </w:r>
      <w:r w:rsidR="003B6DC9">
        <w:rPr>
          <w:i/>
        </w:rPr>
        <w:t>8</w:t>
      </w:r>
      <w:r w:rsidR="00024733">
        <w:rPr>
          <w:i/>
        </w:rPr>
        <w:t xml:space="preserve"> </w:t>
      </w:r>
      <w:r w:rsidR="00024733">
        <w:t>–</w:t>
      </w:r>
      <w:r w:rsidR="003B6DC9">
        <w:t xml:space="preserve"> </w:t>
      </w:r>
    </w:p>
    <w:p w14:paraId="5ED1D918" w14:textId="11982D9E" w:rsidR="004706A7" w:rsidRDefault="004706A7" w:rsidP="0069421D">
      <w:pPr>
        <w:pStyle w:val="NoSpacing"/>
        <w:numPr>
          <w:ilvl w:val="1"/>
          <w:numId w:val="101"/>
        </w:numPr>
      </w:pPr>
      <w:r>
        <w:rPr>
          <w:i/>
        </w:rPr>
        <w:t xml:space="preserve">Must be separately identified </w:t>
      </w:r>
      <w:r>
        <w:t xml:space="preserve">– </w:t>
      </w:r>
      <w:r w:rsidRPr="00C22F5F">
        <w:rPr>
          <w:i/>
        </w:rPr>
        <w:t>S3.4.28(4)(b)</w:t>
      </w:r>
      <w:r>
        <w:rPr>
          <w:i/>
        </w:rPr>
        <w:t xml:space="preserve"> LPA – </w:t>
      </w:r>
      <w:r w:rsidR="0096686B">
        <w:t>Calculation of the uplift fee must be separately identified in the agreement.</w:t>
      </w:r>
    </w:p>
    <w:p w14:paraId="78B65BD6" w14:textId="77777777" w:rsidR="00281FE6" w:rsidRPr="00281FE6" w:rsidRDefault="00281FE6" w:rsidP="00281FE6">
      <w:pPr>
        <w:pStyle w:val="NoSpacing"/>
        <w:ind w:left="1440"/>
      </w:pPr>
    </w:p>
    <w:p w14:paraId="6D1A3D1C" w14:textId="77777777" w:rsidR="00281FE6" w:rsidRDefault="002B0C11" w:rsidP="0069421D">
      <w:pPr>
        <w:pStyle w:val="NoSpacing"/>
        <w:numPr>
          <w:ilvl w:val="1"/>
          <w:numId w:val="101"/>
        </w:numPr>
      </w:pPr>
      <w:r>
        <w:rPr>
          <w:i/>
        </w:rPr>
        <w:t>Must contain an estaimte of the uplift fee</w:t>
      </w:r>
      <w:r w:rsidR="00805085">
        <w:rPr>
          <w:i/>
        </w:rPr>
        <w:t xml:space="preserve"> </w:t>
      </w:r>
      <w:r w:rsidR="00805085">
        <w:t xml:space="preserve">– </w:t>
      </w:r>
      <w:r w:rsidR="00805085" w:rsidRPr="00C22F5F">
        <w:rPr>
          <w:i/>
        </w:rPr>
        <w:t>S3.4.28(</w:t>
      </w:r>
      <w:r w:rsidR="00805085">
        <w:rPr>
          <w:i/>
        </w:rPr>
        <w:t>3</w:t>
      </w:r>
      <w:r w:rsidR="00805085" w:rsidRPr="00C22F5F">
        <w:rPr>
          <w:i/>
        </w:rPr>
        <w:t>)(</w:t>
      </w:r>
      <w:r w:rsidR="00805085">
        <w:rPr>
          <w:i/>
        </w:rPr>
        <w:t>a</w:t>
      </w:r>
      <w:r w:rsidR="00805085" w:rsidRPr="00C22F5F">
        <w:rPr>
          <w:i/>
        </w:rPr>
        <w:t>)</w:t>
      </w:r>
      <w:r w:rsidR="00805085">
        <w:rPr>
          <w:i/>
        </w:rPr>
        <w:t xml:space="preserve"> LPA –</w:t>
      </w:r>
      <w:r w:rsidR="00805085">
        <w:t xml:space="preserve"> </w:t>
      </w:r>
    </w:p>
    <w:p w14:paraId="48663690" w14:textId="1FB187E0" w:rsidR="00281FE6" w:rsidRDefault="00805085" w:rsidP="0069421D">
      <w:pPr>
        <w:pStyle w:val="NoSpacing"/>
        <w:numPr>
          <w:ilvl w:val="2"/>
          <w:numId w:val="101"/>
        </w:numPr>
      </w:pPr>
      <w:r>
        <w:t>Range of estimates of the upload fee</w:t>
      </w:r>
      <w:r w:rsidR="00281FE6">
        <w:t>;</w:t>
      </w:r>
      <w:r>
        <w:t xml:space="preserve"> and </w:t>
      </w:r>
    </w:p>
    <w:p w14:paraId="1B9758AB" w14:textId="78C7AFD5" w:rsidR="002B0C11" w:rsidRDefault="00281FE6" w:rsidP="0069421D">
      <w:pPr>
        <w:pStyle w:val="NoSpacing"/>
        <w:numPr>
          <w:ilvl w:val="2"/>
          <w:numId w:val="101"/>
        </w:numPr>
      </w:pPr>
      <w:r>
        <w:t>M</w:t>
      </w:r>
      <w:r w:rsidR="00805085">
        <w:t>ajor variables that will affect it.</w:t>
      </w:r>
    </w:p>
    <w:p w14:paraId="161AC3B1" w14:textId="77777777" w:rsidR="0096686B" w:rsidRPr="004706A7" w:rsidRDefault="0096686B" w:rsidP="0096686B">
      <w:pPr>
        <w:pStyle w:val="NoSpacing"/>
        <w:ind w:left="1440"/>
      </w:pPr>
    </w:p>
    <w:p w14:paraId="55C5404A" w14:textId="70A53C8A" w:rsidR="00886EC2" w:rsidRDefault="00E641FC" w:rsidP="0069421D">
      <w:pPr>
        <w:pStyle w:val="NoSpacing"/>
        <w:numPr>
          <w:ilvl w:val="1"/>
          <w:numId w:val="101"/>
        </w:numPr>
      </w:pPr>
      <w:r>
        <w:rPr>
          <w:i/>
        </w:rPr>
        <w:t xml:space="preserve">Maximum Uplift Fee </w:t>
      </w:r>
      <w:r w:rsidR="00FF0792">
        <w:rPr>
          <w:i/>
        </w:rPr>
        <w:t>–</w:t>
      </w:r>
      <w:r>
        <w:rPr>
          <w:i/>
        </w:rPr>
        <w:t xml:space="preserve"> </w:t>
      </w:r>
      <w:r w:rsidRPr="00C22F5F">
        <w:rPr>
          <w:i/>
        </w:rPr>
        <w:t>S3.4.28(4)(b)</w:t>
      </w:r>
      <w:r w:rsidR="004706A7">
        <w:rPr>
          <w:i/>
        </w:rPr>
        <w:t xml:space="preserve"> LPA</w:t>
      </w:r>
      <w:r>
        <w:t xml:space="preserve"> – </w:t>
      </w:r>
      <w:r w:rsidR="003B6DC9">
        <w:t xml:space="preserve">Uplift fee arrangements cannot provide for a payment premium which exists 25% of the costs payable on the successful outcome of the matter </w:t>
      </w:r>
    </w:p>
    <w:p w14:paraId="77955F8A" w14:textId="77777777" w:rsidR="00281FE6" w:rsidRDefault="00281FE6" w:rsidP="00281FE6">
      <w:pPr>
        <w:pStyle w:val="NoSpacing"/>
        <w:ind w:left="1440"/>
      </w:pPr>
    </w:p>
    <w:p w14:paraId="31DB0E4E" w14:textId="77777777" w:rsidR="00C8139D" w:rsidRDefault="00C8139D" w:rsidP="00281FE6">
      <w:pPr>
        <w:pStyle w:val="NoSpacing"/>
        <w:ind w:left="1440"/>
      </w:pPr>
    </w:p>
    <w:p w14:paraId="06EE1B2E" w14:textId="554E14AE" w:rsidR="00281FE6" w:rsidRDefault="00281FE6" w:rsidP="0069421D">
      <w:pPr>
        <w:pStyle w:val="NoSpacing"/>
        <w:numPr>
          <w:ilvl w:val="0"/>
          <w:numId w:val="101"/>
        </w:numPr>
      </w:pPr>
      <w:r>
        <w:rPr>
          <w:b/>
          <w:i/>
        </w:rPr>
        <w:lastRenderedPageBreak/>
        <w:t xml:space="preserve">Reasonable and Fair Agreement </w:t>
      </w:r>
      <w:r>
        <w:t xml:space="preserve">– </w:t>
      </w:r>
      <w:r w:rsidR="00E23127" w:rsidRPr="00E23127">
        <w:rPr>
          <w:i/>
        </w:rPr>
        <w:t>s</w:t>
      </w:r>
      <w:r w:rsidR="00FB054C" w:rsidRPr="00E23127">
        <w:rPr>
          <w:i/>
        </w:rPr>
        <w:t>3.3.32(1) LPA</w:t>
      </w:r>
      <w:r w:rsidR="00FB054C">
        <w:t xml:space="preserve"> –</w:t>
      </w:r>
      <w:r w:rsidR="00AA0956">
        <w:t xml:space="preserve"> Determining whether the agreement was one which is reasonable and fair – the following can be regarded:</w:t>
      </w:r>
    </w:p>
    <w:p w14:paraId="47350571" w14:textId="34686831" w:rsidR="00AA0956" w:rsidRDefault="00E23127" w:rsidP="00AA0956">
      <w:pPr>
        <w:pStyle w:val="NoSpacing"/>
        <w:numPr>
          <w:ilvl w:val="1"/>
          <w:numId w:val="101"/>
        </w:numPr>
      </w:pPr>
      <w:r w:rsidRPr="00E23127">
        <w:rPr>
          <w:i/>
        </w:rPr>
        <w:t>s3.3.32(</w:t>
      </w:r>
      <w:r>
        <w:rPr>
          <w:i/>
        </w:rPr>
        <w:t>2</w:t>
      </w:r>
      <w:r w:rsidRPr="00E23127">
        <w:rPr>
          <w:i/>
        </w:rPr>
        <w:t>) LPA</w:t>
      </w:r>
      <w:r>
        <w:rPr>
          <w:i/>
        </w:rPr>
        <w:t xml:space="preserve"> </w:t>
      </w:r>
      <w:r>
        <w:t xml:space="preserve">– </w:t>
      </w:r>
    </w:p>
    <w:p w14:paraId="2471ED5B" w14:textId="2A20E9BA" w:rsidR="00E23127" w:rsidRDefault="00EF44FB" w:rsidP="00E23127">
      <w:pPr>
        <w:pStyle w:val="NoSpacing"/>
        <w:numPr>
          <w:ilvl w:val="2"/>
          <w:numId w:val="101"/>
        </w:numPr>
      </w:pPr>
      <w:r>
        <w:rPr>
          <w:i/>
        </w:rPr>
        <w:t xml:space="preserve">Induced to enter agreement </w:t>
      </w:r>
      <w:r>
        <w:t xml:space="preserve">– </w:t>
      </w:r>
      <w:r w:rsidRPr="00E23127">
        <w:rPr>
          <w:i/>
        </w:rPr>
        <w:t>s3.3.32(</w:t>
      </w:r>
      <w:r>
        <w:rPr>
          <w:i/>
        </w:rPr>
        <w:t>2</w:t>
      </w:r>
      <w:r w:rsidRPr="00E23127">
        <w:rPr>
          <w:i/>
        </w:rPr>
        <w:t>)</w:t>
      </w:r>
      <w:r>
        <w:rPr>
          <w:i/>
        </w:rPr>
        <w:t>(a)</w:t>
      </w:r>
      <w:r w:rsidRPr="00E23127">
        <w:rPr>
          <w:i/>
        </w:rPr>
        <w:t xml:space="preserve"> LPA</w:t>
      </w:r>
    </w:p>
    <w:p w14:paraId="6D3FA880" w14:textId="1BBFDD97" w:rsidR="00EF44FB" w:rsidRPr="008E0000" w:rsidRDefault="008E0000" w:rsidP="00E23127">
      <w:pPr>
        <w:pStyle w:val="NoSpacing"/>
        <w:numPr>
          <w:ilvl w:val="2"/>
          <w:numId w:val="101"/>
        </w:numPr>
      </w:pPr>
      <w:r>
        <w:rPr>
          <w:i/>
        </w:rPr>
        <w:t xml:space="preserve">Guilty of Unsatisfactory Professional conduct </w:t>
      </w:r>
      <w:r>
        <w:t xml:space="preserve">– </w:t>
      </w:r>
      <w:r w:rsidRPr="00E23127">
        <w:rPr>
          <w:i/>
        </w:rPr>
        <w:t>s3.3.32(</w:t>
      </w:r>
      <w:r>
        <w:rPr>
          <w:i/>
        </w:rPr>
        <w:t>2</w:t>
      </w:r>
      <w:r w:rsidRPr="00E23127">
        <w:rPr>
          <w:i/>
        </w:rPr>
        <w:t>)</w:t>
      </w:r>
      <w:r>
        <w:rPr>
          <w:i/>
        </w:rPr>
        <w:t>(b)</w:t>
      </w:r>
      <w:r w:rsidRPr="00E23127">
        <w:rPr>
          <w:i/>
        </w:rPr>
        <w:t xml:space="preserve"> LPA</w:t>
      </w:r>
    </w:p>
    <w:p w14:paraId="28C8D5B8" w14:textId="0A4F8136" w:rsidR="008E0000" w:rsidRDefault="008E0000" w:rsidP="008E0000">
      <w:pPr>
        <w:pStyle w:val="NoSpacing"/>
        <w:numPr>
          <w:ilvl w:val="2"/>
          <w:numId w:val="101"/>
        </w:numPr>
      </w:pPr>
      <w:r>
        <w:rPr>
          <w:i/>
        </w:rPr>
        <w:t xml:space="preserve">Law practice failed to make any disclosures </w:t>
      </w:r>
      <w:r>
        <w:t xml:space="preserve">– </w:t>
      </w:r>
      <w:r w:rsidRPr="00E23127">
        <w:rPr>
          <w:i/>
        </w:rPr>
        <w:t>s3.3.32(</w:t>
      </w:r>
      <w:r>
        <w:rPr>
          <w:i/>
        </w:rPr>
        <w:t>2</w:t>
      </w:r>
      <w:r w:rsidRPr="00E23127">
        <w:rPr>
          <w:i/>
        </w:rPr>
        <w:t>)</w:t>
      </w:r>
      <w:r>
        <w:rPr>
          <w:i/>
        </w:rPr>
        <w:t>(c)</w:t>
      </w:r>
      <w:r w:rsidRPr="00E23127">
        <w:rPr>
          <w:i/>
        </w:rPr>
        <w:t xml:space="preserve"> LPA</w:t>
      </w:r>
    </w:p>
    <w:p w14:paraId="0D08E1BD" w14:textId="235748EF" w:rsidR="008E0000" w:rsidRPr="008E0000" w:rsidRDefault="008E0000" w:rsidP="00E23127">
      <w:pPr>
        <w:pStyle w:val="NoSpacing"/>
        <w:numPr>
          <w:ilvl w:val="2"/>
          <w:numId w:val="101"/>
        </w:numPr>
      </w:pPr>
      <w:r>
        <w:rPr>
          <w:i/>
        </w:rPr>
        <w:t xml:space="preserve">Circumstances of the parties </w:t>
      </w:r>
      <w:r w:rsidRPr="008E0000">
        <w:rPr>
          <w:i/>
          <w:u w:val="single"/>
        </w:rPr>
        <w:t>when the agreement</w:t>
      </w:r>
      <w:r>
        <w:rPr>
          <w:i/>
        </w:rPr>
        <w:t xml:space="preserve"> was made – </w:t>
      </w:r>
      <w:r w:rsidRPr="00E23127">
        <w:rPr>
          <w:i/>
        </w:rPr>
        <w:t>s3.3.32(</w:t>
      </w:r>
      <w:r>
        <w:rPr>
          <w:i/>
        </w:rPr>
        <w:t>2</w:t>
      </w:r>
      <w:r w:rsidRPr="00E23127">
        <w:rPr>
          <w:i/>
        </w:rPr>
        <w:t>)</w:t>
      </w:r>
      <w:r>
        <w:rPr>
          <w:i/>
        </w:rPr>
        <w:t>(d)</w:t>
      </w:r>
      <w:r w:rsidRPr="00E23127">
        <w:rPr>
          <w:i/>
        </w:rPr>
        <w:t xml:space="preserve"> LPA</w:t>
      </w:r>
    </w:p>
    <w:p w14:paraId="397C09FB" w14:textId="10CC4FE8" w:rsidR="008E0000" w:rsidRPr="008E0000" w:rsidRDefault="008E0000" w:rsidP="008E0000">
      <w:pPr>
        <w:pStyle w:val="NoSpacing"/>
        <w:numPr>
          <w:ilvl w:val="2"/>
          <w:numId w:val="101"/>
        </w:numPr>
      </w:pPr>
      <w:r>
        <w:rPr>
          <w:i/>
        </w:rPr>
        <w:t xml:space="preserve">Circumstances of the parties </w:t>
      </w:r>
      <w:r>
        <w:rPr>
          <w:i/>
          <w:u w:val="single"/>
        </w:rPr>
        <w:t>after</w:t>
      </w:r>
      <w:r w:rsidRPr="008E0000">
        <w:rPr>
          <w:i/>
          <w:u w:val="single"/>
        </w:rPr>
        <w:t xml:space="preserve"> the agreement</w:t>
      </w:r>
      <w:r>
        <w:rPr>
          <w:i/>
        </w:rPr>
        <w:t xml:space="preserve"> was made – </w:t>
      </w:r>
      <w:r w:rsidRPr="00E23127">
        <w:rPr>
          <w:i/>
        </w:rPr>
        <w:t>s3.3.32(</w:t>
      </w:r>
      <w:r>
        <w:rPr>
          <w:i/>
        </w:rPr>
        <w:t>2</w:t>
      </w:r>
      <w:r w:rsidRPr="00E23127">
        <w:rPr>
          <w:i/>
        </w:rPr>
        <w:t>)</w:t>
      </w:r>
      <w:r>
        <w:rPr>
          <w:i/>
        </w:rPr>
        <w:t>(</w:t>
      </w:r>
      <w:r w:rsidR="00C92579">
        <w:rPr>
          <w:i/>
        </w:rPr>
        <w:t>e</w:t>
      </w:r>
      <w:r>
        <w:rPr>
          <w:i/>
        </w:rPr>
        <w:t>)</w:t>
      </w:r>
      <w:r w:rsidRPr="00E23127">
        <w:rPr>
          <w:i/>
        </w:rPr>
        <w:t xml:space="preserve"> LPA</w:t>
      </w:r>
    </w:p>
    <w:p w14:paraId="6695D030" w14:textId="6181EA2B" w:rsidR="008E0000" w:rsidRPr="008E0000" w:rsidRDefault="008E0000" w:rsidP="00E23127">
      <w:pPr>
        <w:pStyle w:val="NoSpacing"/>
        <w:numPr>
          <w:ilvl w:val="2"/>
          <w:numId w:val="101"/>
        </w:numPr>
      </w:pPr>
      <w:r>
        <w:rPr>
          <w:i/>
        </w:rPr>
        <w:t xml:space="preserve">When and how the agreement came into effect and the nature of the legal services provided – </w:t>
      </w:r>
      <w:r w:rsidRPr="00E23127">
        <w:rPr>
          <w:i/>
        </w:rPr>
        <w:t>s3.3.32(</w:t>
      </w:r>
      <w:r>
        <w:rPr>
          <w:i/>
        </w:rPr>
        <w:t>2</w:t>
      </w:r>
      <w:r w:rsidRPr="00E23127">
        <w:rPr>
          <w:i/>
        </w:rPr>
        <w:t>)</w:t>
      </w:r>
      <w:r>
        <w:rPr>
          <w:i/>
        </w:rPr>
        <w:t>(</w:t>
      </w:r>
      <w:r w:rsidR="00B852AA">
        <w:rPr>
          <w:i/>
        </w:rPr>
        <w:t>f</w:t>
      </w:r>
      <w:r>
        <w:rPr>
          <w:i/>
        </w:rPr>
        <w:t>)</w:t>
      </w:r>
      <w:r w:rsidRPr="00E23127">
        <w:rPr>
          <w:i/>
        </w:rPr>
        <w:t xml:space="preserve"> LPA</w:t>
      </w:r>
    </w:p>
    <w:p w14:paraId="2A376523" w14:textId="3ECD0524" w:rsidR="00D67B8D" w:rsidRPr="00A74EDF" w:rsidRDefault="00DF1CCC" w:rsidP="00D67B8D">
      <w:pPr>
        <w:pStyle w:val="NoSpacing"/>
        <w:numPr>
          <w:ilvl w:val="2"/>
          <w:numId w:val="101"/>
        </w:numPr>
      </w:pPr>
      <w:r>
        <w:rPr>
          <w:i/>
        </w:rPr>
        <w:t>Billing agreement changes circumstances of the legal services provided</w:t>
      </w:r>
      <w:r w:rsidR="00D67B8D">
        <w:rPr>
          <w:i/>
        </w:rPr>
        <w:t xml:space="preserve"> – </w:t>
      </w:r>
      <w:r w:rsidR="00D67B8D" w:rsidRPr="00E23127">
        <w:rPr>
          <w:i/>
        </w:rPr>
        <w:t>s3.3.32(</w:t>
      </w:r>
      <w:r w:rsidR="00D67B8D">
        <w:rPr>
          <w:i/>
        </w:rPr>
        <w:t>2</w:t>
      </w:r>
      <w:r w:rsidR="00D67B8D" w:rsidRPr="00E23127">
        <w:rPr>
          <w:i/>
        </w:rPr>
        <w:t>)</w:t>
      </w:r>
      <w:r w:rsidR="00D67B8D">
        <w:rPr>
          <w:i/>
        </w:rPr>
        <w:t>(</w:t>
      </w:r>
      <w:r w:rsidR="00C664E2">
        <w:rPr>
          <w:i/>
        </w:rPr>
        <w:t>g</w:t>
      </w:r>
      <w:r w:rsidR="00D67B8D">
        <w:rPr>
          <w:i/>
        </w:rPr>
        <w:t>)</w:t>
      </w:r>
      <w:r w:rsidR="00D67B8D" w:rsidRPr="00E23127">
        <w:rPr>
          <w:i/>
        </w:rPr>
        <w:t xml:space="preserve"> LPA</w:t>
      </w:r>
    </w:p>
    <w:p w14:paraId="00A7D7E4" w14:textId="77777777" w:rsidR="00A74EDF" w:rsidRPr="008E0000" w:rsidRDefault="00A74EDF" w:rsidP="00A74EDF">
      <w:pPr>
        <w:pStyle w:val="NoSpacing"/>
        <w:ind w:left="2160"/>
      </w:pPr>
    </w:p>
    <w:p w14:paraId="75702588" w14:textId="77777777" w:rsidR="001108BF" w:rsidRDefault="0034255C" w:rsidP="00A74EDF">
      <w:pPr>
        <w:pStyle w:val="NoSpacing"/>
        <w:numPr>
          <w:ilvl w:val="0"/>
          <w:numId w:val="101"/>
        </w:numPr>
      </w:pPr>
      <w:r>
        <w:rPr>
          <w:b/>
          <w:i/>
        </w:rPr>
        <w:t xml:space="preserve">‘Fairness’ in respect to the agreement </w:t>
      </w:r>
      <w:r>
        <w:t xml:space="preserve">– </w:t>
      </w:r>
      <w:r w:rsidR="001108BF">
        <w:t xml:space="preserve">Fairness refers to the mode of obtaining the agreement and reflects the requirement that a lawyer </w:t>
      </w:r>
    </w:p>
    <w:p w14:paraId="57EABF9E" w14:textId="77777777" w:rsidR="001108BF" w:rsidRDefault="001108BF" w:rsidP="001108BF">
      <w:pPr>
        <w:pStyle w:val="NoSpacing"/>
        <w:ind w:left="1440"/>
      </w:pPr>
    </w:p>
    <w:p w14:paraId="6237A0E3" w14:textId="019344F6" w:rsidR="008E0000" w:rsidRDefault="001744B0" w:rsidP="001744B0">
      <w:pPr>
        <w:pStyle w:val="NoSpacing"/>
        <w:numPr>
          <w:ilvl w:val="1"/>
          <w:numId w:val="101"/>
        </w:numPr>
      </w:pPr>
      <w:r>
        <w:rPr>
          <w:i/>
        </w:rPr>
        <w:t xml:space="preserve">No Advantage – </w:t>
      </w:r>
      <w:r w:rsidR="001108BF">
        <w:t>‘does not take advantage of the relationship between the client and himself or receive any benefit from an agreement to which the client has been induced to enter by reason of his reliance upon the lawyer’</w:t>
      </w:r>
    </w:p>
    <w:p w14:paraId="0DCE72B9" w14:textId="3B00D7B3" w:rsidR="001108BF" w:rsidRDefault="001108BF" w:rsidP="001108BF">
      <w:pPr>
        <w:pStyle w:val="NoSpacing"/>
        <w:numPr>
          <w:ilvl w:val="2"/>
          <w:numId w:val="101"/>
        </w:numPr>
      </w:pPr>
      <w:r>
        <w:rPr>
          <w:i/>
        </w:rPr>
        <w:t>Emeritus v Mobbs</w:t>
      </w:r>
      <w:r w:rsidR="00C118EF">
        <w:rPr>
          <w:i/>
        </w:rPr>
        <w:t xml:space="preserve">; </w:t>
      </w:r>
      <w:r w:rsidR="00D74C5C">
        <w:rPr>
          <w:i/>
        </w:rPr>
        <w:t>Brown v Talbot &amp; Olivier</w:t>
      </w:r>
    </w:p>
    <w:p w14:paraId="28441BC9" w14:textId="77777777" w:rsidR="001108BF" w:rsidRPr="00E54E91" w:rsidRDefault="001108BF" w:rsidP="00E54E91">
      <w:pPr>
        <w:pStyle w:val="NoSpacing"/>
      </w:pPr>
    </w:p>
    <w:p w14:paraId="57EF548F" w14:textId="77777777" w:rsidR="008B4494" w:rsidRDefault="00BE1FED" w:rsidP="008B4494">
      <w:pPr>
        <w:pStyle w:val="NoSpacing"/>
        <w:numPr>
          <w:ilvl w:val="2"/>
          <w:numId w:val="101"/>
        </w:numPr>
      </w:pPr>
      <w:r>
        <w:rPr>
          <w:i/>
        </w:rPr>
        <w:t xml:space="preserve">Clear Disclosure &amp; Understanding </w:t>
      </w:r>
      <w:r>
        <w:t xml:space="preserve">– </w:t>
      </w:r>
      <w:r w:rsidR="002E3BC7">
        <w:t>It is critical to a reasonable and fair costs agreement that the client clearly understands it and illustrates this understanding in writi</w:t>
      </w:r>
      <w:r w:rsidR="008B4494">
        <w:t xml:space="preserve">ng and by signing the agreement per </w:t>
      </w:r>
      <w:r w:rsidR="008B4494">
        <w:rPr>
          <w:i/>
        </w:rPr>
        <w:t>Council of QLD Law Society v Roche</w:t>
      </w:r>
    </w:p>
    <w:p w14:paraId="138BC858" w14:textId="77777777" w:rsidR="008B4494" w:rsidRDefault="008B4494" w:rsidP="008B4494">
      <w:pPr>
        <w:pStyle w:val="NoSpacing"/>
        <w:ind w:left="1440"/>
      </w:pPr>
    </w:p>
    <w:p w14:paraId="7F69FABC" w14:textId="73BA94E7" w:rsidR="002E3BC7" w:rsidRDefault="002E3BC7" w:rsidP="002E3BC7">
      <w:pPr>
        <w:pStyle w:val="NoSpacing"/>
        <w:numPr>
          <w:ilvl w:val="1"/>
          <w:numId w:val="101"/>
        </w:numPr>
      </w:pPr>
      <w:r>
        <w:t xml:space="preserve"> Lawyers </w:t>
      </w:r>
      <w:r>
        <w:rPr>
          <w:u w:val="single"/>
        </w:rPr>
        <w:t>must</w:t>
      </w:r>
      <w:r>
        <w:t xml:space="preserve"> ensure that they</w:t>
      </w:r>
    </w:p>
    <w:p w14:paraId="7AEF59FF" w14:textId="15CBFA5B" w:rsidR="002E3BC7" w:rsidRPr="008B4494" w:rsidRDefault="002E3BC7" w:rsidP="002E3BC7">
      <w:pPr>
        <w:pStyle w:val="NoSpacing"/>
        <w:numPr>
          <w:ilvl w:val="2"/>
          <w:numId w:val="101"/>
        </w:numPr>
      </w:pPr>
      <w:r>
        <w:rPr>
          <w:i/>
        </w:rPr>
        <w:t>Articulate and carefully explain</w:t>
      </w:r>
    </w:p>
    <w:p w14:paraId="38A15093" w14:textId="416B6E10" w:rsidR="008B4494" w:rsidRPr="002E3BC7" w:rsidRDefault="00D66139" w:rsidP="008B4494">
      <w:pPr>
        <w:pStyle w:val="NoSpacing"/>
        <w:numPr>
          <w:ilvl w:val="3"/>
          <w:numId w:val="101"/>
        </w:numPr>
      </w:pPr>
      <w:r>
        <w:rPr>
          <w:i/>
        </w:rPr>
        <w:t>Stoddart v Jovetic</w:t>
      </w:r>
    </w:p>
    <w:p w14:paraId="0C6B3BC8" w14:textId="77777777" w:rsidR="008B4494" w:rsidRDefault="008B4494" w:rsidP="008B4494">
      <w:pPr>
        <w:pStyle w:val="NoSpacing"/>
        <w:ind w:left="2160"/>
      </w:pPr>
    </w:p>
    <w:p w14:paraId="7B1030DC" w14:textId="635DCB86" w:rsidR="002E3BC7" w:rsidRDefault="002E3BC7" w:rsidP="002E3BC7">
      <w:pPr>
        <w:pStyle w:val="NoSpacing"/>
        <w:numPr>
          <w:ilvl w:val="2"/>
          <w:numId w:val="101"/>
        </w:numPr>
      </w:pPr>
      <w:r w:rsidRPr="00BE4443">
        <w:rPr>
          <w:i/>
        </w:rPr>
        <w:t>Detail the level of work involved</w:t>
      </w:r>
      <w:r w:rsidR="008B4494">
        <w:t xml:space="preserve"> – This must be ‘scaled’ to the </w:t>
      </w:r>
      <w:r w:rsidR="00BE4443">
        <w:t>sophistication</w:t>
      </w:r>
      <w:r w:rsidR="008B4494">
        <w:t xml:space="preserve"> of the client and their relevant understanding.</w:t>
      </w:r>
    </w:p>
    <w:p w14:paraId="111AA982" w14:textId="71D02182" w:rsidR="008B4494" w:rsidRPr="00BE4443" w:rsidRDefault="008B4494" w:rsidP="008B4494">
      <w:pPr>
        <w:pStyle w:val="NoSpacing"/>
        <w:numPr>
          <w:ilvl w:val="3"/>
          <w:numId w:val="101"/>
        </w:numPr>
      </w:pPr>
      <w:r w:rsidRPr="008B4494">
        <w:rPr>
          <w:rFonts w:cs="Times New Roman"/>
          <w:i/>
          <w:szCs w:val="24"/>
        </w:rPr>
        <w:t>Computer Accounting &amp; Tax v Bowen Buchbinder</w:t>
      </w:r>
    </w:p>
    <w:p w14:paraId="0CDC5C95" w14:textId="77777777" w:rsidR="00710A52" w:rsidRPr="00710A52" w:rsidRDefault="00BE4443" w:rsidP="00BE4443">
      <w:pPr>
        <w:pStyle w:val="NoSpacing"/>
        <w:numPr>
          <w:ilvl w:val="4"/>
          <w:numId w:val="101"/>
        </w:numPr>
      </w:pPr>
      <w:r>
        <w:rPr>
          <w:rFonts w:cs="Times New Roman"/>
          <w:i/>
          <w:szCs w:val="24"/>
        </w:rPr>
        <w:t xml:space="preserve">Court won’t tolerate ‘wilful client ignorance’ </w:t>
      </w:r>
      <w:r>
        <w:rPr>
          <w:rFonts w:cs="Times New Roman"/>
          <w:szCs w:val="24"/>
        </w:rPr>
        <w:t xml:space="preserve">– </w:t>
      </w:r>
    </w:p>
    <w:p w14:paraId="2055D216" w14:textId="7144B47B" w:rsidR="00BE4443" w:rsidRPr="008B4494" w:rsidRDefault="00BE4443" w:rsidP="00710A52">
      <w:pPr>
        <w:pStyle w:val="NoSpacing"/>
        <w:numPr>
          <w:ilvl w:val="5"/>
          <w:numId w:val="101"/>
        </w:numPr>
      </w:pPr>
      <w:r>
        <w:rPr>
          <w:rFonts w:cs="Times New Roman"/>
          <w:szCs w:val="24"/>
        </w:rPr>
        <w:t xml:space="preserve">Particuarly in experienced business clients per </w:t>
      </w:r>
      <w:r w:rsidR="005D0CA3">
        <w:rPr>
          <w:rFonts w:cs="Times New Roman"/>
          <w:i/>
          <w:szCs w:val="24"/>
        </w:rPr>
        <w:t>Cerini v McLeods</w:t>
      </w:r>
    </w:p>
    <w:p w14:paraId="75DD6804" w14:textId="77777777" w:rsidR="008B4494" w:rsidRDefault="008B4494" w:rsidP="008B4494">
      <w:pPr>
        <w:pStyle w:val="NoSpacing"/>
        <w:ind w:left="2160"/>
      </w:pPr>
    </w:p>
    <w:p w14:paraId="0EB41826" w14:textId="77777777" w:rsidR="002E3BC7" w:rsidRDefault="002E3BC7" w:rsidP="002E3BC7">
      <w:pPr>
        <w:pStyle w:val="NoSpacing"/>
        <w:numPr>
          <w:ilvl w:val="2"/>
          <w:numId w:val="101"/>
        </w:numPr>
      </w:pPr>
      <w:r>
        <w:t>Justify the reasons for the costs</w:t>
      </w:r>
    </w:p>
    <w:p w14:paraId="61B1D6C6" w14:textId="6706422C" w:rsidR="008B4494" w:rsidRPr="00DF3A10" w:rsidRDefault="008B4494" w:rsidP="008B4494">
      <w:pPr>
        <w:pStyle w:val="NoSpacing"/>
        <w:numPr>
          <w:ilvl w:val="3"/>
          <w:numId w:val="101"/>
        </w:numPr>
      </w:pPr>
      <w:r>
        <w:rPr>
          <w:i/>
        </w:rPr>
        <w:t>Council of QLD Law Society v Roche</w:t>
      </w:r>
    </w:p>
    <w:p w14:paraId="5022AF27" w14:textId="77777777" w:rsidR="00DF3A10" w:rsidRPr="00DF3A10" w:rsidRDefault="00DF3A10" w:rsidP="00DF3A10">
      <w:pPr>
        <w:pStyle w:val="NoSpacing"/>
        <w:ind w:left="2880"/>
      </w:pPr>
    </w:p>
    <w:p w14:paraId="435E5270" w14:textId="03995372" w:rsidR="00DF3A10" w:rsidRDefault="00DF3A10" w:rsidP="00DF3A10">
      <w:pPr>
        <w:pStyle w:val="NoSpacing"/>
        <w:numPr>
          <w:ilvl w:val="2"/>
          <w:numId w:val="101"/>
        </w:numPr>
      </w:pPr>
      <w:r>
        <w:t>Remove ‘vague’ language such as ‘unusal costs’</w:t>
      </w:r>
    </w:p>
    <w:p w14:paraId="2C230000" w14:textId="6D6E87E4" w:rsidR="00DF3A10" w:rsidRDefault="00DC4E0C" w:rsidP="00DF3A10">
      <w:pPr>
        <w:pStyle w:val="NoSpacing"/>
        <w:numPr>
          <w:ilvl w:val="3"/>
          <w:numId w:val="101"/>
        </w:numPr>
      </w:pPr>
      <w:r>
        <w:rPr>
          <w:i/>
        </w:rPr>
        <w:t>Re Blyth and Fanshawe</w:t>
      </w:r>
    </w:p>
    <w:p w14:paraId="49EC61A8" w14:textId="77777777" w:rsidR="008B4494" w:rsidRDefault="008B4494" w:rsidP="008B4494">
      <w:pPr>
        <w:pStyle w:val="NoSpacing"/>
        <w:ind w:left="2160"/>
      </w:pPr>
    </w:p>
    <w:p w14:paraId="372F62F4" w14:textId="77777777" w:rsidR="002E3BC7" w:rsidRDefault="002E3BC7" w:rsidP="002E3BC7">
      <w:pPr>
        <w:pStyle w:val="NoSpacing"/>
        <w:numPr>
          <w:ilvl w:val="2"/>
          <w:numId w:val="101"/>
        </w:numPr>
      </w:pPr>
      <w:r>
        <w:t>Provide a detailed fee structure</w:t>
      </w:r>
    </w:p>
    <w:p w14:paraId="762570EA" w14:textId="11DC700E" w:rsidR="008B4494" w:rsidRPr="00694B79" w:rsidRDefault="008B4494" w:rsidP="008B4494">
      <w:pPr>
        <w:pStyle w:val="NoSpacing"/>
        <w:numPr>
          <w:ilvl w:val="3"/>
          <w:numId w:val="101"/>
        </w:numPr>
      </w:pPr>
      <w:r>
        <w:rPr>
          <w:i/>
        </w:rPr>
        <w:t>Council of QLD Law Society v Roche</w:t>
      </w:r>
    </w:p>
    <w:p w14:paraId="48F3E12C" w14:textId="77777777" w:rsidR="00363442" w:rsidRDefault="00363442" w:rsidP="00363442">
      <w:pPr>
        <w:pStyle w:val="NoSpacing"/>
      </w:pPr>
    </w:p>
    <w:p w14:paraId="5FBB47AA" w14:textId="1921BB98" w:rsidR="00363442" w:rsidRDefault="00363442" w:rsidP="00363442">
      <w:pPr>
        <w:pStyle w:val="NoSpacing"/>
        <w:numPr>
          <w:ilvl w:val="0"/>
          <w:numId w:val="101"/>
        </w:numPr>
      </w:pPr>
      <w:r>
        <w:rPr>
          <w:b/>
          <w:i/>
        </w:rPr>
        <w:t>R</w:t>
      </w:r>
      <w:r w:rsidRPr="00363442">
        <w:rPr>
          <w:b/>
          <w:i/>
        </w:rPr>
        <w:t>easonableness</w:t>
      </w:r>
      <w:r>
        <w:rPr>
          <w:b/>
          <w:i/>
        </w:rPr>
        <w:t xml:space="preserve"> </w:t>
      </w:r>
      <w:r w:rsidRPr="00363442">
        <w:rPr>
          <w:b/>
          <w:i/>
          <w:u w:val="single"/>
        </w:rPr>
        <w:t>[next page]</w:t>
      </w:r>
    </w:p>
    <w:p w14:paraId="2EB92557" w14:textId="77777777" w:rsidR="00363442" w:rsidRDefault="00363442" w:rsidP="004A6240">
      <w:pPr>
        <w:pStyle w:val="NoSpacing"/>
        <w:ind w:left="720"/>
      </w:pPr>
    </w:p>
    <w:p w14:paraId="0FDA599E" w14:textId="77777777" w:rsidR="00363442" w:rsidRDefault="00363442" w:rsidP="004A6240">
      <w:pPr>
        <w:pStyle w:val="NoSpacing"/>
        <w:ind w:left="720"/>
      </w:pPr>
    </w:p>
    <w:p w14:paraId="46ACC22A" w14:textId="77777777" w:rsidR="00363442" w:rsidRDefault="00363442" w:rsidP="004A6240">
      <w:pPr>
        <w:pStyle w:val="NoSpacing"/>
        <w:ind w:left="720"/>
      </w:pPr>
    </w:p>
    <w:p w14:paraId="0F5A77CD" w14:textId="14CB8BB4" w:rsidR="001B5A79" w:rsidRPr="001B5A79" w:rsidRDefault="004A6240" w:rsidP="00363442">
      <w:pPr>
        <w:pStyle w:val="NoSpacing"/>
        <w:numPr>
          <w:ilvl w:val="0"/>
          <w:numId w:val="101"/>
        </w:numPr>
      </w:pPr>
      <w:r>
        <w:rPr>
          <w:b/>
          <w:i/>
        </w:rPr>
        <w:lastRenderedPageBreak/>
        <w:t>R</w:t>
      </w:r>
      <w:r w:rsidRPr="00363442">
        <w:rPr>
          <w:b/>
          <w:i/>
        </w:rPr>
        <w:t xml:space="preserve">easonableness – </w:t>
      </w:r>
      <w:r w:rsidR="001B5A79">
        <w:t>Agreement is an unreasonable one if its terms or effects</w:t>
      </w:r>
      <w:r w:rsidR="001F29CC">
        <w:t xml:space="preserve"> are unreasonable to the client per </w:t>
      </w:r>
      <w:r w:rsidR="001B5A79" w:rsidRPr="00363442">
        <w:rPr>
          <w:i/>
        </w:rPr>
        <w:t>Stoddary v Jovetic</w:t>
      </w:r>
    </w:p>
    <w:p w14:paraId="585026E4" w14:textId="79F742D3" w:rsidR="001B5A79" w:rsidRDefault="001F29CC" w:rsidP="001F29CC">
      <w:pPr>
        <w:pStyle w:val="NoSpacing"/>
        <w:numPr>
          <w:ilvl w:val="1"/>
          <w:numId w:val="101"/>
        </w:numPr>
      </w:pPr>
      <w:r>
        <w:rPr>
          <w:i/>
        </w:rPr>
        <w:t xml:space="preserve">Determined at the time of entering the agreement </w:t>
      </w:r>
      <w:r>
        <w:t xml:space="preserve">– Considered on an objective basis with regard to all the circumstances </w:t>
      </w:r>
    </w:p>
    <w:p w14:paraId="1DCB8886" w14:textId="24413780" w:rsidR="001F29CC" w:rsidRPr="00F70FDF" w:rsidRDefault="001F29CC" w:rsidP="001F29CC">
      <w:pPr>
        <w:pStyle w:val="NoSpacing"/>
        <w:numPr>
          <w:ilvl w:val="2"/>
          <w:numId w:val="101"/>
        </w:numPr>
      </w:pPr>
      <w:r>
        <w:rPr>
          <w:i/>
        </w:rPr>
        <w:t>Schiliro &amp; Gaens Ridgeway</w:t>
      </w:r>
    </w:p>
    <w:p w14:paraId="5FFCF8D2" w14:textId="77777777" w:rsidR="00F70FDF" w:rsidRPr="00F70FDF" w:rsidRDefault="00F70FDF" w:rsidP="00F70FDF">
      <w:pPr>
        <w:pStyle w:val="NoSpacing"/>
        <w:ind w:left="2160"/>
      </w:pPr>
    </w:p>
    <w:p w14:paraId="26A74ABA" w14:textId="413B26E5" w:rsidR="008B56D0" w:rsidRPr="00751EAB" w:rsidRDefault="00597C15" w:rsidP="00751EAB">
      <w:pPr>
        <w:pStyle w:val="NoSpacing"/>
        <w:numPr>
          <w:ilvl w:val="1"/>
          <w:numId w:val="101"/>
        </w:numPr>
      </w:pPr>
      <w:r>
        <w:rPr>
          <w:i/>
        </w:rPr>
        <w:t xml:space="preserve">Time Charging – </w:t>
      </w:r>
      <w:r w:rsidR="008B56D0">
        <w:t>Time charges have a distinct potential to result in overcharging and as a resul</w:t>
      </w:r>
      <w:r w:rsidR="00751EAB">
        <w:t xml:space="preserve">t they must be closely examined per </w:t>
      </w:r>
      <w:r w:rsidR="004064A3" w:rsidRPr="00751EAB">
        <w:rPr>
          <w:i/>
        </w:rPr>
        <w:t>Law Society of NSW v Foreman</w:t>
      </w:r>
    </w:p>
    <w:p w14:paraId="154FF5F6" w14:textId="379B9EE2" w:rsidR="00751EAB" w:rsidRDefault="00751EAB" w:rsidP="00751EAB">
      <w:pPr>
        <w:pStyle w:val="NoSpacing"/>
        <w:numPr>
          <w:ilvl w:val="2"/>
          <w:numId w:val="101"/>
        </w:numPr>
      </w:pPr>
      <w:r>
        <w:rPr>
          <w:i/>
        </w:rPr>
        <w:t>Re Morris Fletcher &amp; Co v Bill stated</w:t>
      </w:r>
    </w:p>
    <w:p w14:paraId="5729AFBB" w14:textId="02D03741" w:rsidR="00751EAB" w:rsidRDefault="00751EAB" w:rsidP="00751EAB">
      <w:pPr>
        <w:pStyle w:val="NoSpacing"/>
        <w:numPr>
          <w:ilvl w:val="3"/>
          <w:numId w:val="101"/>
        </w:numPr>
      </w:pPr>
      <w:r>
        <w:rPr>
          <w:rFonts w:cs="Times New Roman"/>
          <w:i/>
          <w:szCs w:val="24"/>
        </w:rPr>
        <w:t xml:space="preserve">Size of Firm – </w:t>
      </w:r>
      <w:r w:rsidRPr="00751EAB">
        <w:rPr>
          <w:rFonts w:cs="Times New Roman"/>
          <w:szCs w:val="24"/>
        </w:rPr>
        <w:t>Time charging was normal among large commercial firm but</w:t>
      </w:r>
      <w:r>
        <w:rPr>
          <w:rFonts w:cs="Times New Roman"/>
          <w:szCs w:val="24"/>
        </w:rPr>
        <w:t xml:space="preserve"> not necessarily for other firm</w:t>
      </w:r>
    </w:p>
    <w:p w14:paraId="1D99B22C" w14:textId="77777777" w:rsidR="004A5E80" w:rsidRPr="004A5E80" w:rsidRDefault="004A5E80" w:rsidP="004A5E80">
      <w:pPr>
        <w:pStyle w:val="NoSpacing"/>
        <w:ind w:left="2880"/>
      </w:pPr>
    </w:p>
    <w:p w14:paraId="0592ADC8" w14:textId="4F16B872" w:rsidR="00751EAB" w:rsidRDefault="00751EAB" w:rsidP="00751EAB">
      <w:pPr>
        <w:pStyle w:val="NoSpacing"/>
        <w:numPr>
          <w:ilvl w:val="3"/>
          <w:numId w:val="101"/>
        </w:numPr>
      </w:pPr>
      <w:r>
        <w:rPr>
          <w:rFonts w:cs="Times New Roman"/>
          <w:i/>
          <w:szCs w:val="24"/>
        </w:rPr>
        <w:t xml:space="preserve">Higher Bill Rates – </w:t>
      </w:r>
      <w:r w:rsidRPr="00751EAB">
        <w:rPr>
          <w:rFonts w:cs="Times New Roman"/>
          <w:szCs w:val="24"/>
        </w:rPr>
        <w:t>There was a risk that time charging might result in a higher bill</w:t>
      </w:r>
      <w:r>
        <w:rPr>
          <w:rFonts w:cs="Times New Roman"/>
          <w:szCs w:val="24"/>
        </w:rPr>
        <w:t xml:space="preserve"> than the tasks performed basis</w:t>
      </w:r>
    </w:p>
    <w:p w14:paraId="2C54F802" w14:textId="77777777" w:rsidR="004A5E80" w:rsidRPr="004A5E80" w:rsidRDefault="004A5E80" w:rsidP="004A5E80">
      <w:pPr>
        <w:pStyle w:val="NoSpacing"/>
        <w:ind w:left="2880"/>
      </w:pPr>
    </w:p>
    <w:p w14:paraId="0A1E2ADB" w14:textId="258BD0F2" w:rsidR="00751EAB" w:rsidRDefault="00751EAB" w:rsidP="00751EAB">
      <w:pPr>
        <w:pStyle w:val="NoSpacing"/>
        <w:numPr>
          <w:ilvl w:val="3"/>
          <w:numId w:val="101"/>
        </w:numPr>
      </w:pPr>
      <w:r>
        <w:rPr>
          <w:rFonts w:cs="Times New Roman"/>
          <w:i/>
          <w:szCs w:val="24"/>
        </w:rPr>
        <w:t>Task</w:t>
      </w:r>
      <w:r w:rsidR="00FF0792">
        <w:rPr>
          <w:rFonts w:cs="Times New Roman"/>
          <w:i/>
          <w:szCs w:val="24"/>
        </w:rPr>
        <w:t>–</w:t>
      </w:r>
      <w:r>
        <w:rPr>
          <w:rFonts w:cs="Times New Roman"/>
          <w:i/>
          <w:szCs w:val="24"/>
        </w:rPr>
        <w:t xml:space="preserve">based Charing – </w:t>
      </w:r>
      <w:r w:rsidRPr="00751EAB">
        <w:rPr>
          <w:rFonts w:cs="Times New Roman"/>
          <w:szCs w:val="24"/>
        </w:rPr>
        <w:t>Task based charging was a conventional and traditiona</w:t>
      </w:r>
      <w:r>
        <w:rPr>
          <w:rFonts w:cs="Times New Roman"/>
          <w:szCs w:val="24"/>
        </w:rPr>
        <w:t>l method of charging by lawyers</w:t>
      </w:r>
    </w:p>
    <w:p w14:paraId="52BB3D24" w14:textId="77777777" w:rsidR="004A5E80" w:rsidRPr="004A5E80" w:rsidRDefault="004A5E80" w:rsidP="004A5E80">
      <w:pPr>
        <w:pStyle w:val="NoSpacing"/>
        <w:ind w:left="2880"/>
      </w:pPr>
    </w:p>
    <w:p w14:paraId="026AE7D8" w14:textId="5A87272E" w:rsidR="00751EAB" w:rsidRPr="004A5E80" w:rsidRDefault="00116ECC" w:rsidP="00751EAB">
      <w:pPr>
        <w:pStyle w:val="NoSpacing"/>
        <w:numPr>
          <w:ilvl w:val="3"/>
          <w:numId w:val="101"/>
        </w:numPr>
      </w:pPr>
      <w:r>
        <w:rPr>
          <w:rFonts w:cs="Times New Roman"/>
          <w:i/>
          <w:szCs w:val="24"/>
        </w:rPr>
        <w:t xml:space="preserve">Federal Court Scale – </w:t>
      </w:r>
      <w:r w:rsidR="00751EAB" w:rsidRPr="00751EAB">
        <w:rPr>
          <w:rFonts w:cs="Times New Roman"/>
          <w:szCs w:val="24"/>
        </w:rPr>
        <w:t xml:space="preserve">The federal court scale which applied in the litigation was limited to the amount chargeable by reference to the tasks performed regardless of the time spent on the tasks.        </w:t>
      </w:r>
    </w:p>
    <w:p w14:paraId="08A9A83B" w14:textId="77777777" w:rsidR="004A5E80" w:rsidRDefault="004A5E80" w:rsidP="004A5E80">
      <w:pPr>
        <w:pStyle w:val="ListParagraph"/>
      </w:pPr>
    </w:p>
    <w:p w14:paraId="6C1BFC44" w14:textId="770E3C0E" w:rsidR="004A5E80" w:rsidRDefault="00DA0951" w:rsidP="004A5E80">
      <w:pPr>
        <w:pStyle w:val="NoSpacing"/>
        <w:numPr>
          <w:ilvl w:val="0"/>
          <w:numId w:val="101"/>
        </w:numPr>
      </w:pPr>
      <w:r>
        <w:rPr>
          <w:b/>
          <w:i/>
        </w:rPr>
        <w:t xml:space="preserve">Consequences ‘unfair or unreasonable’ agreements </w:t>
      </w:r>
      <w:r>
        <w:t>–</w:t>
      </w:r>
    </w:p>
    <w:p w14:paraId="0415BE75" w14:textId="1026DF82" w:rsidR="00DA0951" w:rsidRDefault="006F1988" w:rsidP="00DA0951">
      <w:pPr>
        <w:pStyle w:val="NoSpacing"/>
        <w:numPr>
          <w:ilvl w:val="1"/>
          <w:numId w:val="101"/>
        </w:numPr>
      </w:pPr>
      <w:r>
        <w:rPr>
          <w:i/>
        </w:rPr>
        <w:t>Tribunal r</w:t>
      </w:r>
      <w:r w:rsidR="00A83A59">
        <w:rPr>
          <w:i/>
        </w:rPr>
        <w:t xml:space="preserve">efer to VCAT – </w:t>
      </w:r>
      <w:r>
        <w:rPr>
          <w:i/>
        </w:rPr>
        <w:t xml:space="preserve">s3.4.32(1) LPA – </w:t>
      </w:r>
      <w:r w:rsidR="00FC4E38">
        <w:t>VCAT will determine the fair and reasonable legal costs by reference to an applicable scale or remuneration order in relation to the agreed worked per s3.4.32(4)</w:t>
      </w:r>
      <w:r w:rsidR="008405BF">
        <w:t>.</w:t>
      </w:r>
    </w:p>
    <w:p w14:paraId="2520AD00" w14:textId="67CB7763" w:rsidR="008405BF" w:rsidRDefault="008405BF" w:rsidP="008405BF">
      <w:pPr>
        <w:pStyle w:val="NoSpacing"/>
        <w:ind w:left="1440"/>
      </w:pPr>
    </w:p>
    <w:p w14:paraId="4F7D444F" w14:textId="7B2ACF62" w:rsidR="008405BF" w:rsidRDefault="00042A13" w:rsidP="00DA0951">
      <w:pPr>
        <w:pStyle w:val="NoSpacing"/>
        <w:numPr>
          <w:ilvl w:val="1"/>
          <w:numId w:val="101"/>
        </w:numPr>
      </w:pPr>
      <w:r>
        <w:rPr>
          <w:i/>
        </w:rPr>
        <w:t xml:space="preserve">Fit and </w:t>
      </w:r>
      <w:r w:rsidR="00BE3219">
        <w:rPr>
          <w:i/>
        </w:rPr>
        <w:t>Reasonable</w:t>
      </w:r>
      <w:r>
        <w:rPr>
          <w:i/>
        </w:rPr>
        <w:t xml:space="preserve"> Costs </w:t>
      </w:r>
      <w:r>
        <w:t xml:space="preserve">– </w:t>
      </w:r>
      <w:r w:rsidR="00BE3219">
        <w:rPr>
          <w:i/>
        </w:rPr>
        <w:t xml:space="preserve">3.4.32(5)LPA – </w:t>
      </w:r>
      <w:r w:rsidR="00BE3219">
        <w:t xml:space="preserve">VCAT can determine the conduct of the lawyer, level of experience, professional of work per </w:t>
      </w:r>
      <w:r w:rsidR="00BE3219">
        <w:rPr>
          <w:i/>
        </w:rPr>
        <w:t>3.4.32(5)</w:t>
      </w:r>
    </w:p>
    <w:p w14:paraId="31373880" w14:textId="77777777" w:rsidR="00BE3219" w:rsidRDefault="00BE3219" w:rsidP="00BE3219">
      <w:pPr>
        <w:pStyle w:val="ListParagraph"/>
      </w:pPr>
    </w:p>
    <w:p w14:paraId="4D89FEC9" w14:textId="1D5A35DF" w:rsidR="00BE3219" w:rsidRPr="00751EAB" w:rsidRDefault="004E5A6A" w:rsidP="00DA0951">
      <w:pPr>
        <w:pStyle w:val="NoSpacing"/>
        <w:numPr>
          <w:ilvl w:val="1"/>
          <w:numId w:val="101"/>
        </w:numPr>
      </w:pPr>
      <w:r>
        <w:rPr>
          <w:i/>
        </w:rPr>
        <w:t xml:space="preserve">Regard to Other Matters – 3.4.32(7) LPA – </w:t>
      </w:r>
    </w:p>
    <w:p w14:paraId="52BCE14A" w14:textId="4D235EA7" w:rsidR="00C73852" w:rsidRPr="008A5DF5" w:rsidRDefault="003D34AE" w:rsidP="00C73852">
      <w:pPr>
        <w:pStyle w:val="NoSpacing"/>
        <w:numPr>
          <w:ilvl w:val="2"/>
          <w:numId w:val="101"/>
        </w:numPr>
        <w:rPr>
          <w:u w:val="single"/>
        </w:rPr>
      </w:pPr>
      <w:r>
        <w:rPr>
          <w:i/>
        </w:rPr>
        <w:t>Compliance</w:t>
      </w:r>
      <w:r w:rsidR="00C73852">
        <w:rPr>
          <w:i/>
        </w:rPr>
        <w:t xml:space="preserve"> of Lawyer – </w:t>
      </w:r>
      <w:r w:rsidR="00C73852" w:rsidRPr="008A5DF5">
        <w:t>Whether</w:t>
      </w:r>
      <w:r w:rsidR="00C73852">
        <w:t xml:space="preserve"> the lawyer complied with any relevant legislation or professional rules;</w:t>
      </w:r>
    </w:p>
    <w:p w14:paraId="331BC3E7" w14:textId="4204347A" w:rsidR="00C73852" w:rsidRPr="008A5DF5" w:rsidRDefault="001B57CB" w:rsidP="00C73852">
      <w:pPr>
        <w:pStyle w:val="NoSpacing"/>
        <w:numPr>
          <w:ilvl w:val="2"/>
          <w:numId w:val="101"/>
        </w:numPr>
        <w:rPr>
          <w:u w:val="single"/>
        </w:rPr>
      </w:pPr>
      <w:r>
        <w:rPr>
          <w:i/>
        </w:rPr>
        <w:t xml:space="preserve">Costs Disclosures – </w:t>
      </w:r>
      <w:r w:rsidR="00C73852">
        <w:t>Any costs disclosure made by the lawyer or the failure to make required disclosure;</w:t>
      </w:r>
    </w:p>
    <w:p w14:paraId="4B373D99" w14:textId="618E3020" w:rsidR="00C73852" w:rsidRPr="008A5DF5" w:rsidRDefault="00C21983" w:rsidP="00C73852">
      <w:pPr>
        <w:pStyle w:val="NoSpacing"/>
        <w:numPr>
          <w:ilvl w:val="2"/>
          <w:numId w:val="101"/>
        </w:numPr>
        <w:rPr>
          <w:u w:val="single"/>
        </w:rPr>
      </w:pPr>
      <w:r>
        <w:rPr>
          <w:i/>
        </w:rPr>
        <w:t xml:space="preserve">Advertisements – </w:t>
      </w:r>
      <w:r w:rsidR="00C73852">
        <w:t>Any relevant advertisement a</w:t>
      </w:r>
      <w:r w:rsidR="002F1158">
        <w:t>s to the lawyers cots or skills</w:t>
      </w:r>
    </w:p>
    <w:p w14:paraId="2142F7C4" w14:textId="66FCC790" w:rsidR="00C73852" w:rsidRPr="008A5DF5" w:rsidRDefault="002F1158" w:rsidP="00C73852">
      <w:pPr>
        <w:pStyle w:val="NoSpacing"/>
        <w:numPr>
          <w:ilvl w:val="2"/>
          <w:numId w:val="101"/>
        </w:numPr>
        <w:rPr>
          <w:u w:val="single"/>
        </w:rPr>
      </w:pPr>
      <w:r>
        <w:rPr>
          <w:i/>
        </w:rPr>
        <w:t xml:space="preserve">Skill of Lawyer – </w:t>
      </w:r>
      <w:r w:rsidR="00C73852">
        <w:t>The skill labo</w:t>
      </w:r>
      <w:r w:rsidR="00D00DB1">
        <w:t>u</w:t>
      </w:r>
      <w:r w:rsidR="00C73852">
        <w:t>r and responsibility displayed on the part of the lawyer;</w:t>
      </w:r>
    </w:p>
    <w:p w14:paraId="2127E43C" w14:textId="72912169" w:rsidR="00C73852" w:rsidRPr="008A5DF5" w:rsidRDefault="003919BA" w:rsidP="00C73852">
      <w:pPr>
        <w:pStyle w:val="NoSpacing"/>
        <w:numPr>
          <w:ilvl w:val="2"/>
          <w:numId w:val="101"/>
        </w:numPr>
        <w:rPr>
          <w:u w:val="single"/>
        </w:rPr>
      </w:pPr>
      <w:r w:rsidRPr="003919BA">
        <w:rPr>
          <w:i/>
        </w:rPr>
        <w:t>Scope of Retainer and work completed</w:t>
      </w:r>
      <w:r>
        <w:t xml:space="preserve"> – </w:t>
      </w:r>
      <w:r w:rsidR="00C73852">
        <w:t xml:space="preserve">The </w:t>
      </w:r>
      <w:r w:rsidR="00CF1B13">
        <w:t xml:space="preserve">retainer; </w:t>
      </w:r>
      <w:r w:rsidR="00C73852">
        <w:t>whether the work done was w</w:t>
      </w:r>
      <w:r w:rsidR="00CF1B13">
        <w:t xml:space="preserve">ithin the scope of the retainer &amp; </w:t>
      </w:r>
      <w:proofErr w:type="gramStart"/>
      <w:r w:rsidR="00CF1B13">
        <w:t>it’s</w:t>
      </w:r>
      <w:proofErr w:type="gramEnd"/>
      <w:r w:rsidR="00CF1B13">
        <w:t xml:space="preserve"> quality.</w:t>
      </w:r>
    </w:p>
    <w:p w14:paraId="126B96F5" w14:textId="6EC7BA93" w:rsidR="00C73852" w:rsidRPr="008A5DF5" w:rsidRDefault="003919BA" w:rsidP="00C73852">
      <w:pPr>
        <w:pStyle w:val="NoSpacing"/>
        <w:numPr>
          <w:ilvl w:val="2"/>
          <w:numId w:val="101"/>
        </w:numPr>
        <w:rPr>
          <w:u w:val="single"/>
        </w:rPr>
      </w:pPr>
      <w:r w:rsidRPr="00CF1B13">
        <w:rPr>
          <w:i/>
        </w:rPr>
        <w:t>Complexity</w:t>
      </w:r>
      <w:r>
        <w:t xml:space="preserve">– </w:t>
      </w:r>
      <w:r w:rsidR="00C73852">
        <w:t>The complexity novelty or difficulty of matter;</w:t>
      </w:r>
    </w:p>
    <w:p w14:paraId="7C7996FB" w14:textId="77777777" w:rsidR="00C73852" w:rsidRPr="00C73852" w:rsidRDefault="00C73852" w:rsidP="00C73852">
      <w:pPr>
        <w:pStyle w:val="NoSpacing"/>
        <w:ind w:left="2160"/>
        <w:rPr>
          <w:u w:val="single"/>
        </w:rPr>
      </w:pPr>
    </w:p>
    <w:p w14:paraId="23C87D09" w14:textId="5C46162D" w:rsidR="00C73852" w:rsidRPr="008A5DF5" w:rsidRDefault="00F6214E" w:rsidP="00C73852">
      <w:pPr>
        <w:pStyle w:val="NoSpacing"/>
        <w:numPr>
          <w:ilvl w:val="2"/>
          <w:numId w:val="101"/>
        </w:numPr>
        <w:rPr>
          <w:u w:val="single"/>
        </w:rPr>
      </w:pPr>
      <w:r>
        <w:rPr>
          <w:i/>
        </w:rPr>
        <w:t xml:space="preserve">Location of work – </w:t>
      </w:r>
      <w:r w:rsidR="00C73852">
        <w:t>The place where and circumsta</w:t>
      </w:r>
      <w:r w:rsidR="00BB05C5">
        <w:t>nces in which the work was done (overseas, interstate etc)</w:t>
      </w:r>
    </w:p>
    <w:p w14:paraId="6A7445F4" w14:textId="77777777" w:rsidR="00C73852" w:rsidRPr="00C73852" w:rsidRDefault="00C73852" w:rsidP="00C73852">
      <w:pPr>
        <w:pStyle w:val="NoSpacing"/>
        <w:ind w:left="2160"/>
        <w:rPr>
          <w:u w:val="single"/>
        </w:rPr>
      </w:pPr>
    </w:p>
    <w:p w14:paraId="5D7175D2" w14:textId="5ED72815" w:rsidR="00C73852" w:rsidRPr="008A5DF5" w:rsidRDefault="006869F3" w:rsidP="00C73852">
      <w:pPr>
        <w:pStyle w:val="NoSpacing"/>
        <w:numPr>
          <w:ilvl w:val="2"/>
          <w:numId w:val="101"/>
        </w:numPr>
        <w:rPr>
          <w:u w:val="single"/>
        </w:rPr>
      </w:pPr>
      <w:r>
        <w:rPr>
          <w:i/>
        </w:rPr>
        <w:t xml:space="preserve">Time pressure – </w:t>
      </w:r>
      <w:r w:rsidR="00C73852">
        <w:t>The time within which the work was required to be done;</w:t>
      </w:r>
    </w:p>
    <w:p w14:paraId="64C1D1ED" w14:textId="77777777" w:rsidR="00C73852" w:rsidRPr="008A5DF5" w:rsidRDefault="00C73852" w:rsidP="00C73852">
      <w:pPr>
        <w:pStyle w:val="NoSpacing"/>
        <w:numPr>
          <w:ilvl w:val="2"/>
          <w:numId w:val="101"/>
        </w:numPr>
        <w:rPr>
          <w:u w:val="single"/>
        </w:rPr>
      </w:pPr>
      <w:r w:rsidRPr="000F1472">
        <w:rPr>
          <w:i/>
        </w:rPr>
        <w:t>Any other relevant matter</w:t>
      </w:r>
      <w:r>
        <w:t>.</w:t>
      </w:r>
    </w:p>
    <w:p w14:paraId="2D45E851" w14:textId="77777777" w:rsidR="00A1145B" w:rsidRPr="00737FE9" w:rsidRDefault="00A1145B" w:rsidP="00400DEB">
      <w:pPr>
        <w:pStyle w:val="NoSpacing"/>
        <w:rPr>
          <w:rFonts w:cs="Times New Roman"/>
          <w:szCs w:val="24"/>
        </w:rPr>
      </w:pPr>
    </w:p>
    <w:p w14:paraId="265A6E6F" w14:textId="77777777" w:rsidR="00E32C84" w:rsidRDefault="00E32C84" w:rsidP="00400DEB">
      <w:pPr>
        <w:pStyle w:val="NoSpacing"/>
        <w:rPr>
          <w:rFonts w:cs="Times New Roman"/>
          <w:b/>
          <w:sz w:val="36"/>
          <w:szCs w:val="36"/>
          <w:u w:val="single"/>
        </w:rPr>
      </w:pPr>
    </w:p>
    <w:p w14:paraId="22DC887C" w14:textId="46E04F99" w:rsidR="00400DEB" w:rsidRDefault="004D77D6" w:rsidP="00400DEB">
      <w:pPr>
        <w:pStyle w:val="NoSpacing"/>
        <w:rPr>
          <w:rFonts w:cs="Times New Roman"/>
          <w:b/>
          <w:sz w:val="36"/>
          <w:szCs w:val="36"/>
          <w:u w:val="single"/>
        </w:rPr>
      </w:pPr>
      <w:r>
        <w:rPr>
          <w:rFonts w:cs="Times New Roman"/>
          <w:b/>
          <w:sz w:val="36"/>
          <w:szCs w:val="36"/>
          <w:u w:val="single"/>
        </w:rPr>
        <w:lastRenderedPageBreak/>
        <w:t>Alternative Dispute Resolution</w:t>
      </w:r>
    </w:p>
    <w:p w14:paraId="040FA945" w14:textId="77777777" w:rsidR="004D77D6" w:rsidRDefault="004D77D6" w:rsidP="00400DEB">
      <w:pPr>
        <w:pStyle w:val="NoSpacing"/>
        <w:rPr>
          <w:rFonts w:cs="Times New Roman"/>
          <w:szCs w:val="24"/>
        </w:rPr>
      </w:pPr>
    </w:p>
    <w:p w14:paraId="0F02121B" w14:textId="5D7D4456" w:rsidR="00A415D5" w:rsidRPr="00A415D5" w:rsidRDefault="00A415D5" w:rsidP="00400DEB">
      <w:pPr>
        <w:pStyle w:val="NoSpacing"/>
        <w:rPr>
          <w:rFonts w:cs="Times New Roman"/>
          <w:b/>
          <w:i/>
          <w:szCs w:val="24"/>
          <w:u w:val="single"/>
        </w:rPr>
      </w:pPr>
      <w:r w:rsidRPr="00A415D5">
        <w:rPr>
          <w:rFonts w:cs="Times New Roman"/>
          <w:b/>
          <w:i/>
          <w:szCs w:val="24"/>
          <w:u w:val="single"/>
        </w:rPr>
        <w:t>General</w:t>
      </w:r>
    </w:p>
    <w:p w14:paraId="1A464706" w14:textId="344C2B49" w:rsidR="005F429A" w:rsidRDefault="005D4AFC" w:rsidP="00A029C0">
      <w:pPr>
        <w:pStyle w:val="NoSpacing"/>
        <w:numPr>
          <w:ilvl w:val="0"/>
          <w:numId w:val="102"/>
        </w:numPr>
        <w:rPr>
          <w:rFonts w:cs="Times New Roman"/>
          <w:szCs w:val="24"/>
        </w:rPr>
      </w:pPr>
      <w:r w:rsidRPr="00AA0DF7">
        <w:rPr>
          <w:rFonts w:cs="Times New Roman"/>
          <w:b/>
          <w:i/>
          <w:szCs w:val="24"/>
        </w:rPr>
        <w:t>Scope</w:t>
      </w:r>
      <w:r w:rsidRPr="00AA0DF7">
        <w:rPr>
          <w:rFonts w:cs="Times New Roman"/>
          <w:i/>
          <w:szCs w:val="24"/>
        </w:rPr>
        <w:t xml:space="preserve"> – </w:t>
      </w:r>
      <w:r w:rsidR="005F429A" w:rsidRPr="00AA0DF7">
        <w:rPr>
          <w:rFonts w:cs="Times New Roman"/>
          <w:szCs w:val="24"/>
        </w:rPr>
        <w:t>A lawyers resolution in ADR and mediation is to assist lcients, provide practical and relevant legal advice on the procedural process and assist in preparing draft terms and conditions of settlement.</w:t>
      </w:r>
    </w:p>
    <w:p w14:paraId="0FA6EF40" w14:textId="77777777" w:rsidR="00AA0DF7" w:rsidRPr="00C765C3" w:rsidRDefault="00C765C3" w:rsidP="00A029C0">
      <w:pPr>
        <w:pStyle w:val="NoSpacing"/>
        <w:numPr>
          <w:ilvl w:val="1"/>
          <w:numId w:val="102"/>
        </w:numPr>
        <w:rPr>
          <w:rFonts w:cs="Times New Roman"/>
          <w:szCs w:val="24"/>
        </w:rPr>
      </w:pPr>
      <w:r>
        <w:rPr>
          <w:rFonts w:cs="Times New Roman"/>
          <w:i/>
          <w:szCs w:val="24"/>
        </w:rPr>
        <w:t>Hooper Bailie Associated Ltd v Natcon Group Pty Ltd</w:t>
      </w:r>
    </w:p>
    <w:p w14:paraId="29EC2F0D" w14:textId="4BBD7939" w:rsidR="00EE78AF" w:rsidRPr="004106DF" w:rsidRDefault="00EE78AF" w:rsidP="00A029C0">
      <w:pPr>
        <w:pStyle w:val="NoSpacing"/>
        <w:numPr>
          <w:ilvl w:val="2"/>
          <w:numId w:val="102"/>
        </w:numPr>
        <w:rPr>
          <w:rFonts w:cs="Times New Roman"/>
          <w:szCs w:val="24"/>
        </w:rPr>
      </w:pPr>
      <w:r>
        <w:rPr>
          <w:rFonts w:cs="Times New Roman"/>
          <w:i/>
          <w:szCs w:val="24"/>
        </w:rPr>
        <w:t xml:space="preserve">‘subject oneself to the process of negotiation or mediation, to have an </w:t>
      </w:r>
      <w:r w:rsidRPr="007C2131">
        <w:rPr>
          <w:rFonts w:cs="Times New Roman"/>
          <w:i/>
          <w:szCs w:val="24"/>
          <w:u w:val="single"/>
        </w:rPr>
        <w:t>open mind</w:t>
      </w:r>
      <w:r>
        <w:rPr>
          <w:rFonts w:cs="Times New Roman"/>
          <w:i/>
          <w:szCs w:val="24"/>
        </w:rPr>
        <w:t xml:space="preserve"> in the sense of a </w:t>
      </w:r>
      <w:r w:rsidRPr="007C2131">
        <w:rPr>
          <w:rFonts w:cs="Times New Roman"/>
          <w:i/>
          <w:szCs w:val="24"/>
          <w:u w:val="single"/>
        </w:rPr>
        <w:t>willingness to consider such options</w:t>
      </w:r>
      <w:r>
        <w:rPr>
          <w:rFonts w:cs="Times New Roman"/>
          <w:i/>
          <w:szCs w:val="24"/>
        </w:rPr>
        <w:t xml:space="preserve"> for the resolution of the dispute may be propounded by the opposing party or by the mediator and a w</w:t>
      </w:r>
      <w:r w:rsidRPr="007C2131">
        <w:rPr>
          <w:rFonts w:cs="Times New Roman"/>
          <w:i/>
          <w:szCs w:val="24"/>
          <w:u w:val="single"/>
        </w:rPr>
        <w:t>illingness to give consideration to putting forward options</w:t>
      </w:r>
      <w:r>
        <w:rPr>
          <w:rFonts w:cs="Times New Roman"/>
          <w:i/>
          <w:szCs w:val="24"/>
        </w:rPr>
        <w:t xml:space="preserve"> for </w:t>
      </w:r>
      <w:r w:rsidR="007C2131">
        <w:rPr>
          <w:rFonts w:cs="Times New Roman"/>
          <w:i/>
          <w:szCs w:val="24"/>
        </w:rPr>
        <w:t>resolution</w:t>
      </w:r>
      <w:r>
        <w:rPr>
          <w:rFonts w:cs="Times New Roman"/>
          <w:i/>
          <w:szCs w:val="24"/>
        </w:rPr>
        <w:t xml:space="preserve"> of the dispute’</w:t>
      </w:r>
    </w:p>
    <w:p w14:paraId="73AACECD" w14:textId="7CF49780" w:rsidR="0021791C" w:rsidRDefault="0021791C" w:rsidP="0021791C">
      <w:pPr>
        <w:pStyle w:val="NoSpacing"/>
        <w:ind w:left="1440"/>
        <w:rPr>
          <w:rFonts w:cs="Times New Roman"/>
          <w:szCs w:val="24"/>
        </w:rPr>
      </w:pPr>
    </w:p>
    <w:p w14:paraId="10AAA124" w14:textId="54974179" w:rsidR="0021791C" w:rsidRPr="00CA06E6" w:rsidRDefault="0021791C" w:rsidP="00CA06E6">
      <w:pPr>
        <w:pStyle w:val="NoSpacing"/>
        <w:numPr>
          <w:ilvl w:val="0"/>
          <w:numId w:val="102"/>
        </w:numPr>
        <w:rPr>
          <w:rFonts w:cs="Times New Roman"/>
          <w:szCs w:val="24"/>
        </w:rPr>
      </w:pPr>
      <w:r w:rsidRPr="00E34EE4">
        <w:rPr>
          <w:rFonts w:cs="Times New Roman"/>
          <w:b/>
          <w:i/>
          <w:szCs w:val="24"/>
        </w:rPr>
        <w:t xml:space="preserve">Independent </w:t>
      </w:r>
      <w:r w:rsidR="00E34EE4" w:rsidRPr="00E34EE4">
        <w:rPr>
          <w:rFonts w:cs="Times New Roman"/>
          <w:b/>
          <w:i/>
          <w:szCs w:val="24"/>
        </w:rPr>
        <w:t>Discretion</w:t>
      </w:r>
      <w:r>
        <w:rPr>
          <w:rFonts w:cs="Times New Roman"/>
          <w:i/>
          <w:szCs w:val="24"/>
        </w:rPr>
        <w:t xml:space="preserve"> – </w:t>
      </w:r>
      <w:r w:rsidRPr="00CA06E6">
        <w:rPr>
          <w:rFonts w:cs="Times New Roman"/>
          <w:i/>
          <w:szCs w:val="24"/>
        </w:rPr>
        <w:t xml:space="preserve">PCPR – 12 &amp; 13 – </w:t>
      </w:r>
      <w:r w:rsidRPr="00CA06E6">
        <w:rPr>
          <w:rFonts w:cs="Times New Roman"/>
          <w:szCs w:val="24"/>
        </w:rPr>
        <w:t>duty on practitioner to exercise an independent discretion as to which argument and which evidence is best brought before the court</w:t>
      </w:r>
    </w:p>
    <w:p w14:paraId="3BF79E7E" w14:textId="503F11D3" w:rsidR="004106DF" w:rsidRPr="004106DF" w:rsidRDefault="004106DF" w:rsidP="004106DF">
      <w:pPr>
        <w:pStyle w:val="NoSpacing"/>
        <w:numPr>
          <w:ilvl w:val="1"/>
          <w:numId w:val="102"/>
        </w:numPr>
        <w:rPr>
          <w:rFonts w:cs="Times New Roman"/>
          <w:szCs w:val="24"/>
        </w:rPr>
      </w:pPr>
      <w:r>
        <w:rPr>
          <w:rFonts w:cs="Times New Roman"/>
          <w:i/>
          <w:szCs w:val="24"/>
        </w:rPr>
        <w:t xml:space="preserve">PCPR 12.6 – </w:t>
      </w:r>
    </w:p>
    <w:p w14:paraId="15777F2E" w14:textId="77777777" w:rsidR="007B32E1" w:rsidRDefault="008050ED" w:rsidP="004106DF">
      <w:pPr>
        <w:pStyle w:val="NoSpacing"/>
        <w:numPr>
          <w:ilvl w:val="2"/>
          <w:numId w:val="102"/>
        </w:numPr>
      </w:pPr>
      <w:r>
        <w:rPr>
          <w:i/>
        </w:rPr>
        <w:t xml:space="preserve">Must Inform Client of ADR Possibility – </w:t>
      </w:r>
      <w:r w:rsidR="004106DF" w:rsidRPr="004106DF">
        <w:t xml:space="preserve">A practitioner must where </w:t>
      </w:r>
      <w:r w:rsidR="004106DF" w:rsidRPr="009C3E62">
        <w:rPr>
          <w:u w:val="single"/>
        </w:rPr>
        <w:t>appropriate inform the client about the reasonably available alternatives to fully contested adjudication</w:t>
      </w:r>
      <w:r w:rsidR="004106DF" w:rsidRPr="004106DF">
        <w:t xml:space="preserve"> of the case </w:t>
      </w:r>
    </w:p>
    <w:p w14:paraId="5008E14C" w14:textId="77777777" w:rsidR="00CA06E6" w:rsidRPr="00CA06E6" w:rsidRDefault="00CA06E6" w:rsidP="00CA06E6">
      <w:pPr>
        <w:pStyle w:val="NoSpacing"/>
        <w:ind w:left="2160"/>
      </w:pPr>
    </w:p>
    <w:p w14:paraId="1E9BB2D5" w14:textId="3AC80696" w:rsidR="004106DF" w:rsidRPr="004106DF" w:rsidRDefault="007B32E1" w:rsidP="0021791C">
      <w:pPr>
        <w:pStyle w:val="NoSpacing"/>
        <w:numPr>
          <w:ilvl w:val="2"/>
          <w:numId w:val="102"/>
        </w:numPr>
      </w:pPr>
      <w:r>
        <w:rPr>
          <w:i/>
        </w:rPr>
        <w:t>Unless Client already understands of ADR –</w:t>
      </w:r>
      <w:r>
        <w:rPr>
          <w:u w:val="single"/>
        </w:rPr>
        <w:t xml:space="preserve"> </w:t>
      </w:r>
      <w:r w:rsidR="004106DF" w:rsidRPr="009C3E62">
        <w:rPr>
          <w:u w:val="single"/>
        </w:rPr>
        <w:t>unless the practitioner believes on reasonable grounds that the client already has such an understanding</w:t>
      </w:r>
      <w:r w:rsidR="004106DF" w:rsidRPr="004106DF">
        <w:t xml:space="preserve"> of those alternatives as to permit the client to make decisions about</w:t>
      </w:r>
      <w:r w:rsidR="004106DF">
        <w:t xml:space="preserve"> </w:t>
      </w:r>
      <w:r w:rsidR="004106DF" w:rsidRPr="004106DF">
        <w:t>the client's best interests in relation to the litigation.</w:t>
      </w:r>
    </w:p>
    <w:p w14:paraId="12351184" w14:textId="77777777" w:rsidR="00AA0DF7" w:rsidRPr="00AA0DF7" w:rsidRDefault="00AA0DF7" w:rsidP="00AA0DF7">
      <w:pPr>
        <w:pStyle w:val="NoSpacing"/>
        <w:ind w:left="720"/>
        <w:rPr>
          <w:rFonts w:cs="Times New Roman"/>
          <w:szCs w:val="24"/>
        </w:rPr>
      </w:pPr>
    </w:p>
    <w:p w14:paraId="21716E96" w14:textId="791934AD" w:rsidR="005F429A" w:rsidRDefault="00A415D5" w:rsidP="00A029C0">
      <w:pPr>
        <w:pStyle w:val="NoSpacing"/>
        <w:numPr>
          <w:ilvl w:val="0"/>
          <w:numId w:val="102"/>
        </w:numPr>
        <w:rPr>
          <w:rFonts w:cs="Times New Roman"/>
          <w:szCs w:val="24"/>
        </w:rPr>
      </w:pPr>
      <w:r>
        <w:rPr>
          <w:rFonts w:cs="Times New Roman"/>
          <w:b/>
          <w:i/>
          <w:szCs w:val="24"/>
        </w:rPr>
        <w:t xml:space="preserve">Advantages </w:t>
      </w:r>
      <w:r>
        <w:rPr>
          <w:rFonts w:cs="Times New Roman"/>
          <w:szCs w:val="24"/>
        </w:rPr>
        <w:t>– The strengths behind the ADR process are clear –</w:t>
      </w:r>
    </w:p>
    <w:p w14:paraId="1C2DF62F" w14:textId="77777777" w:rsidR="00A415D5" w:rsidRPr="00A415D5" w:rsidRDefault="00A415D5" w:rsidP="00A029C0">
      <w:pPr>
        <w:pStyle w:val="NoSpacing"/>
        <w:numPr>
          <w:ilvl w:val="1"/>
          <w:numId w:val="102"/>
        </w:numPr>
        <w:rPr>
          <w:rFonts w:cs="Times New Roman"/>
          <w:szCs w:val="24"/>
        </w:rPr>
      </w:pPr>
      <w:r w:rsidRPr="00A415D5">
        <w:rPr>
          <w:rFonts w:cs="Times New Roman"/>
          <w:i/>
          <w:szCs w:val="24"/>
        </w:rPr>
        <w:t>Enable fast dispute resolution</w:t>
      </w:r>
    </w:p>
    <w:p w14:paraId="38B1B260" w14:textId="77777777" w:rsidR="00A415D5" w:rsidRPr="00A415D5" w:rsidRDefault="00A415D5" w:rsidP="00A029C0">
      <w:pPr>
        <w:pStyle w:val="NoSpacing"/>
        <w:numPr>
          <w:ilvl w:val="1"/>
          <w:numId w:val="102"/>
        </w:numPr>
        <w:rPr>
          <w:rFonts w:cs="Times New Roman"/>
          <w:szCs w:val="24"/>
        </w:rPr>
      </w:pPr>
      <w:r w:rsidRPr="00A415D5">
        <w:rPr>
          <w:rFonts w:cs="Times New Roman"/>
          <w:i/>
          <w:szCs w:val="24"/>
        </w:rPr>
        <w:t>Decrease Court &amp; procedural process</w:t>
      </w:r>
    </w:p>
    <w:p w14:paraId="1414CEF7" w14:textId="362A64E6" w:rsidR="00A415D5" w:rsidRPr="00A415D5" w:rsidRDefault="00A415D5" w:rsidP="00A029C0">
      <w:pPr>
        <w:pStyle w:val="NoSpacing"/>
        <w:numPr>
          <w:ilvl w:val="1"/>
          <w:numId w:val="102"/>
        </w:numPr>
        <w:rPr>
          <w:rFonts w:cs="Times New Roman"/>
          <w:szCs w:val="24"/>
        </w:rPr>
      </w:pPr>
      <w:r w:rsidRPr="00A415D5">
        <w:rPr>
          <w:rFonts w:cs="Times New Roman"/>
          <w:i/>
          <w:szCs w:val="24"/>
        </w:rPr>
        <w:t>Economically efficient</w:t>
      </w:r>
    </w:p>
    <w:p w14:paraId="5A30B152" w14:textId="77777777" w:rsidR="00324318" w:rsidRPr="00324318" w:rsidRDefault="00324318" w:rsidP="00A029C0">
      <w:pPr>
        <w:pStyle w:val="NoSpacing"/>
        <w:numPr>
          <w:ilvl w:val="1"/>
          <w:numId w:val="102"/>
        </w:numPr>
      </w:pPr>
      <w:r w:rsidRPr="00C229CB">
        <w:rPr>
          <w:i/>
        </w:rPr>
        <w:t>Accessibility</w:t>
      </w:r>
      <w:r w:rsidRPr="00324318">
        <w:t xml:space="preserve"> – Mediation can be conducted at short notice, produce timely decisions and be less formal than a Court room</w:t>
      </w:r>
    </w:p>
    <w:p w14:paraId="190F83E3" w14:textId="77777777" w:rsidR="00324318" w:rsidRPr="00324318" w:rsidRDefault="00324318" w:rsidP="00A029C0">
      <w:pPr>
        <w:pStyle w:val="NoSpacing"/>
        <w:numPr>
          <w:ilvl w:val="1"/>
          <w:numId w:val="102"/>
        </w:numPr>
      </w:pPr>
      <w:r w:rsidRPr="00C229CB">
        <w:rPr>
          <w:i/>
        </w:rPr>
        <w:t>Voluntary</w:t>
      </w:r>
      <w:r w:rsidRPr="00324318">
        <w:t xml:space="preserve"> – Parties that engage in mediation, want to engage in it (unless its Court annexed mediation) – inferring that each party freely choose to participate and to either reach an agreement or not.</w:t>
      </w:r>
    </w:p>
    <w:p w14:paraId="034360ED" w14:textId="77777777" w:rsidR="00324318" w:rsidRDefault="00324318" w:rsidP="00A029C0">
      <w:pPr>
        <w:pStyle w:val="NoSpacing"/>
        <w:numPr>
          <w:ilvl w:val="1"/>
          <w:numId w:val="102"/>
        </w:numPr>
      </w:pPr>
      <w:r w:rsidRPr="00C229CB">
        <w:rPr>
          <w:i/>
        </w:rPr>
        <w:t>Confidential</w:t>
      </w:r>
      <w:r w:rsidRPr="00324318">
        <w:rPr>
          <w:b/>
        </w:rPr>
        <w:t xml:space="preserve"> </w:t>
      </w:r>
      <w:r w:rsidRPr="00324318">
        <w:t>– It’s important to remember that the Court room is a public place and that all cases disclose information. Mediation is very useful in circumstances where the parties do not want information to be released to the public and they can freely argue without their interests and feelings being viewed by the public.</w:t>
      </w:r>
    </w:p>
    <w:p w14:paraId="507D1519" w14:textId="77777777" w:rsidR="00B51E82" w:rsidRDefault="00B51E82" w:rsidP="00B51E82">
      <w:pPr>
        <w:pStyle w:val="NoSpacing"/>
        <w:ind w:left="1440"/>
      </w:pPr>
    </w:p>
    <w:p w14:paraId="0A9D52C5" w14:textId="539BD79F" w:rsidR="00B51E82" w:rsidRDefault="00B51E82" w:rsidP="00A029C0">
      <w:pPr>
        <w:pStyle w:val="NoSpacing"/>
        <w:numPr>
          <w:ilvl w:val="0"/>
          <w:numId w:val="102"/>
        </w:numPr>
      </w:pPr>
      <w:r>
        <w:rPr>
          <w:b/>
          <w:i/>
        </w:rPr>
        <w:t xml:space="preserve">Problems </w:t>
      </w:r>
      <w:r>
        <w:t xml:space="preserve">– The main problems with the ADR process include – </w:t>
      </w:r>
    </w:p>
    <w:p w14:paraId="1CABC5D5" w14:textId="69BCC139" w:rsidR="00B51E82" w:rsidRDefault="00506FBC" w:rsidP="00A029C0">
      <w:pPr>
        <w:pStyle w:val="NoSpacing"/>
        <w:numPr>
          <w:ilvl w:val="1"/>
          <w:numId w:val="102"/>
        </w:numPr>
      </w:pPr>
      <w:r>
        <w:rPr>
          <w:i/>
        </w:rPr>
        <w:t xml:space="preserve">Competitive </w:t>
      </w:r>
      <w:r>
        <w:t xml:space="preserve">– Mediation is competitive in nature and based upon parties </w:t>
      </w:r>
      <w:r>
        <w:rPr>
          <w:u w:val="single"/>
        </w:rPr>
        <w:t>want to achieve an outcome</w:t>
      </w:r>
      <w:r>
        <w:t xml:space="preserve">. If the parties do not approach the mediation in this manner then no resolution can be reached because each is </w:t>
      </w:r>
      <w:r>
        <w:rPr>
          <w:u w:val="single"/>
        </w:rPr>
        <w:t>too competitive</w:t>
      </w:r>
      <w:r>
        <w:t xml:space="preserve"> and this results in no resolution.</w:t>
      </w:r>
    </w:p>
    <w:p w14:paraId="2B54562E" w14:textId="0F184DE7" w:rsidR="00506FBC" w:rsidRDefault="00506FBC" w:rsidP="00A029C0">
      <w:pPr>
        <w:pStyle w:val="NoSpacing"/>
        <w:numPr>
          <w:ilvl w:val="1"/>
          <w:numId w:val="102"/>
        </w:numPr>
      </w:pPr>
      <w:r w:rsidRPr="00506FBC">
        <w:rPr>
          <w:i/>
        </w:rPr>
        <w:t>Co</w:t>
      </w:r>
      <w:r w:rsidR="00FF0792">
        <w:rPr>
          <w:i/>
        </w:rPr>
        <w:t>–</w:t>
      </w:r>
      <w:r w:rsidRPr="00506FBC">
        <w:rPr>
          <w:i/>
        </w:rPr>
        <w:t>operative</w:t>
      </w:r>
      <w:r>
        <w:t xml:space="preserve"> – mediation which is competitive in nature is based upon the parties attempting to extract a benefit from the other in return for not taking the action to Court. Mediation which is competitive tends to be more difficult to resolve since the parties are not intent on co</w:t>
      </w:r>
      <w:r w:rsidR="00FF0792">
        <w:t>–</w:t>
      </w:r>
      <w:r>
        <w:t>operative with the other unless a benefit is provided to them</w:t>
      </w:r>
    </w:p>
    <w:p w14:paraId="1B7AA7D5" w14:textId="407088A8" w:rsidR="00506FBC" w:rsidRPr="00E32C84" w:rsidRDefault="00506FBC" w:rsidP="00A029C0">
      <w:pPr>
        <w:pStyle w:val="NoSpacing"/>
        <w:numPr>
          <w:ilvl w:val="1"/>
          <w:numId w:val="102"/>
        </w:numPr>
      </w:pPr>
      <w:r>
        <w:rPr>
          <w:i/>
        </w:rPr>
        <w:lastRenderedPageBreak/>
        <w:t xml:space="preserve">Balance of Power </w:t>
      </w:r>
      <w:r>
        <w:t xml:space="preserve">– </w:t>
      </w:r>
      <w:r w:rsidR="000E3C01">
        <w:t xml:space="preserve">Mediation is </w:t>
      </w:r>
      <w:r w:rsidR="00CA06E6">
        <w:t>voluntary;</w:t>
      </w:r>
      <w:r w:rsidR="000E3C01">
        <w:t xml:space="preserve"> it can favour the party who has the apparent stronger argument, better evidence and the power relationship that pre</w:t>
      </w:r>
      <w:r w:rsidR="00FF0792">
        <w:t>–</w:t>
      </w:r>
      <w:r w:rsidR="000E3C01">
        <w:t xml:space="preserve">exists between the parties to dispute. If </w:t>
      </w:r>
      <w:r w:rsidR="000E3C01" w:rsidRPr="003D7EB6">
        <w:rPr>
          <w:u w:val="single"/>
        </w:rPr>
        <w:t>a party in mediation is a less powerful entity, then it is often contended that this party will accept a less than satisfactory outcome or have a less than satisfactory outcome forced upon it</w:t>
      </w:r>
      <w:r w:rsidR="003D7EB6">
        <w:rPr>
          <w:u w:val="single"/>
        </w:rPr>
        <w:t>.</w:t>
      </w:r>
    </w:p>
    <w:p w14:paraId="764B6798" w14:textId="77777777" w:rsidR="00E32C84" w:rsidRPr="00C229CB" w:rsidRDefault="00E32C84" w:rsidP="00E32C84">
      <w:pPr>
        <w:pStyle w:val="NoSpacing"/>
        <w:ind w:left="1440"/>
      </w:pPr>
    </w:p>
    <w:p w14:paraId="58B4EAF3" w14:textId="1CEB2C9D" w:rsidR="00C03D00" w:rsidRPr="00C03D00" w:rsidRDefault="00C229CB" w:rsidP="00A029C0">
      <w:pPr>
        <w:pStyle w:val="NoSpacing"/>
        <w:numPr>
          <w:ilvl w:val="0"/>
          <w:numId w:val="102"/>
        </w:numPr>
      </w:pPr>
      <w:r w:rsidRPr="00C03D00">
        <w:rPr>
          <w:b/>
          <w:i/>
        </w:rPr>
        <w:t xml:space="preserve">Bound to Mediate </w:t>
      </w:r>
      <w:r>
        <w:t xml:space="preserve">– </w:t>
      </w:r>
      <w:r w:rsidR="00C03D00">
        <w:t xml:space="preserve">Equity is unlikely to order specific performance of an agreement to mediate because the supervision of such performance is impossible per </w:t>
      </w:r>
      <w:r w:rsidR="00C03D00" w:rsidRPr="00C03D00">
        <w:rPr>
          <w:i/>
        </w:rPr>
        <w:t>Hooper Bailie Associated Limited v Natcon Group Limited</w:t>
      </w:r>
    </w:p>
    <w:p w14:paraId="0974B2F6" w14:textId="77777777" w:rsidR="005F387B" w:rsidRPr="005F387B" w:rsidRDefault="005F387B" w:rsidP="005F387B">
      <w:pPr>
        <w:pStyle w:val="NoSpacing"/>
        <w:ind w:left="1440"/>
      </w:pPr>
    </w:p>
    <w:p w14:paraId="4BB02477" w14:textId="557CCDB5" w:rsidR="00C03D00" w:rsidRDefault="000A367F" w:rsidP="00A029C0">
      <w:pPr>
        <w:pStyle w:val="NoSpacing"/>
        <w:numPr>
          <w:ilvl w:val="1"/>
          <w:numId w:val="102"/>
        </w:numPr>
      </w:pPr>
      <w:r>
        <w:rPr>
          <w:i/>
        </w:rPr>
        <w:t xml:space="preserve">Must include condition precedent </w:t>
      </w:r>
      <w:r>
        <w:t>– In order to mediate, contracts must include a condition to mediate and force both parties to through the ADR process. The Court can also enforce this process which it usually does.</w:t>
      </w:r>
    </w:p>
    <w:p w14:paraId="2FEC8122" w14:textId="62D68C02" w:rsidR="000A367F" w:rsidRPr="00FB6B8E" w:rsidRDefault="000A367F" w:rsidP="00A029C0">
      <w:pPr>
        <w:pStyle w:val="NoSpacing"/>
        <w:numPr>
          <w:ilvl w:val="2"/>
          <w:numId w:val="102"/>
        </w:numPr>
      </w:pPr>
      <w:r>
        <w:rPr>
          <w:i/>
        </w:rPr>
        <w:t>Scott v Avery</w:t>
      </w:r>
      <w:r w:rsidR="005F387B">
        <w:rPr>
          <w:i/>
        </w:rPr>
        <w:t xml:space="preserve">; </w:t>
      </w:r>
      <w:r w:rsidR="005F387B" w:rsidRPr="005F387B">
        <w:rPr>
          <w:i/>
        </w:rPr>
        <w:t>Elizabeth Bay Developments Pty Ltd v Boral Building Services Ltd</w:t>
      </w:r>
    </w:p>
    <w:p w14:paraId="3BBD092F" w14:textId="77777777" w:rsidR="00FB6B8E" w:rsidRPr="00FB6B8E" w:rsidRDefault="00FB6B8E" w:rsidP="00FB6B8E">
      <w:pPr>
        <w:pStyle w:val="NoSpacing"/>
        <w:ind w:left="2160"/>
      </w:pPr>
    </w:p>
    <w:p w14:paraId="2846BCD3" w14:textId="247C6BBD" w:rsidR="00366720" w:rsidRDefault="00366720" w:rsidP="00366720">
      <w:pPr>
        <w:pStyle w:val="NoSpacing"/>
        <w:numPr>
          <w:ilvl w:val="1"/>
          <w:numId w:val="102"/>
        </w:numPr>
      </w:pPr>
      <w:r>
        <w:rPr>
          <w:i/>
        </w:rPr>
        <w:t xml:space="preserve">Without Prejudice – </w:t>
      </w:r>
      <w:r>
        <w:t xml:space="preserve">Communications that are made during the mediation which are ‘without prejudice’ cannot be used in Court proceedings unless both parties have agreed. </w:t>
      </w:r>
      <w:r w:rsidR="009E3C23">
        <w:rPr>
          <w:b/>
          <w:i/>
        </w:rPr>
        <w:t>[see legal privilege, public interest</w:t>
      </w:r>
      <w:r w:rsidR="00F64A7B">
        <w:rPr>
          <w:b/>
          <w:i/>
        </w:rPr>
        <w:t xml:space="preserve"> page</w:t>
      </w:r>
      <w:r w:rsidR="009E3C23">
        <w:rPr>
          <w:b/>
          <w:i/>
        </w:rPr>
        <w:t>]</w:t>
      </w:r>
    </w:p>
    <w:p w14:paraId="3737F5D0" w14:textId="35766CDA" w:rsidR="00366720" w:rsidRPr="005F387B" w:rsidRDefault="00721EBD" w:rsidP="00366720">
      <w:pPr>
        <w:pStyle w:val="NoSpacing"/>
        <w:numPr>
          <w:ilvl w:val="2"/>
          <w:numId w:val="102"/>
        </w:numPr>
      </w:pPr>
      <w:r>
        <w:rPr>
          <w:i/>
        </w:rPr>
        <w:t>Volpes v Permanent Custodians Ltd</w:t>
      </w:r>
      <w:r w:rsidR="009E3C23">
        <w:rPr>
          <w:i/>
        </w:rPr>
        <w:t xml:space="preserve"> </w:t>
      </w:r>
    </w:p>
    <w:p w14:paraId="4AC3D187" w14:textId="77777777" w:rsidR="004106DF" w:rsidRPr="004106DF" w:rsidRDefault="004106DF" w:rsidP="004106DF">
      <w:pPr>
        <w:pStyle w:val="NoSpacing"/>
        <w:ind w:left="720"/>
        <w:rPr>
          <w:rFonts w:cs="Times New Roman"/>
          <w:szCs w:val="24"/>
        </w:rPr>
      </w:pPr>
    </w:p>
    <w:p w14:paraId="6EE51714" w14:textId="1EFFB60F" w:rsidR="00A415D5" w:rsidRDefault="006A4FD2" w:rsidP="00A029C0">
      <w:pPr>
        <w:pStyle w:val="NoSpacing"/>
        <w:numPr>
          <w:ilvl w:val="0"/>
          <w:numId w:val="102"/>
        </w:numPr>
        <w:rPr>
          <w:rFonts w:cs="Times New Roman"/>
          <w:szCs w:val="24"/>
        </w:rPr>
      </w:pPr>
      <w:r>
        <w:rPr>
          <w:rFonts w:cs="Times New Roman"/>
          <w:b/>
          <w:i/>
          <w:szCs w:val="24"/>
        </w:rPr>
        <w:t xml:space="preserve">Types of ADR </w:t>
      </w:r>
      <w:r>
        <w:rPr>
          <w:rFonts w:cs="Times New Roman"/>
          <w:szCs w:val="24"/>
        </w:rPr>
        <w:t xml:space="preserve">– </w:t>
      </w:r>
    </w:p>
    <w:p w14:paraId="3450B3F7" w14:textId="535CB76F" w:rsidR="007E47D0" w:rsidRPr="00DB2EDD" w:rsidRDefault="007E47D0" w:rsidP="00A029C0">
      <w:pPr>
        <w:pStyle w:val="NoSpacing"/>
        <w:numPr>
          <w:ilvl w:val="1"/>
          <w:numId w:val="102"/>
        </w:numPr>
        <w:rPr>
          <w:rFonts w:cs="Times New Roman"/>
          <w:szCs w:val="24"/>
        </w:rPr>
      </w:pPr>
      <w:r>
        <w:rPr>
          <w:rFonts w:cs="Times New Roman"/>
          <w:b/>
          <w:i/>
          <w:szCs w:val="24"/>
        </w:rPr>
        <w:t xml:space="preserve">Determinative </w:t>
      </w:r>
      <w:r>
        <w:rPr>
          <w:rFonts w:cs="Times New Roman"/>
          <w:b/>
          <w:szCs w:val="24"/>
        </w:rPr>
        <w:t xml:space="preserve">– </w:t>
      </w:r>
      <w:r w:rsidR="00DB2EDD">
        <w:t>Determinative ADR processes are usually held in front of a third party who makes a decision on the dispute after hearing and assessing the arguments and evidence of the parties.</w:t>
      </w:r>
    </w:p>
    <w:p w14:paraId="26F611EA" w14:textId="722D5358" w:rsidR="00DB2EDD" w:rsidRDefault="00DB2EDD" w:rsidP="00A029C0">
      <w:pPr>
        <w:pStyle w:val="NoSpacing"/>
        <w:numPr>
          <w:ilvl w:val="2"/>
          <w:numId w:val="102"/>
        </w:numPr>
        <w:rPr>
          <w:rFonts w:cs="Times New Roman"/>
          <w:szCs w:val="24"/>
        </w:rPr>
      </w:pPr>
      <w:r>
        <w:rPr>
          <w:rFonts w:cs="Times New Roman"/>
          <w:i/>
          <w:szCs w:val="24"/>
        </w:rPr>
        <w:t xml:space="preserve">Enforceable Determinations </w:t>
      </w:r>
      <w:r>
        <w:rPr>
          <w:rFonts w:cs="Times New Roman"/>
          <w:szCs w:val="24"/>
        </w:rPr>
        <w:t>– Parties present arguments and evidence to a dispute resolution mediator who makes a determination which is binding.</w:t>
      </w:r>
    </w:p>
    <w:p w14:paraId="2E166B71" w14:textId="2D249083" w:rsidR="00EB5EDB" w:rsidRDefault="00EB5EDB" w:rsidP="00A029C0">
      <w:pPr>
        <w:pStyle w:val="NoSpacing"/>
        <w:numPr>
          <w:ilvl w:val="3"/>
          <w:numId w:val="102"/>
        </w:numPr>
        <w:rPr>
          <w:rFonts w:cs="Times New Roman"/>
          <w:szCs w:val="24"/>
        </w:rPr>
      </w:pPr>
      <w:r>
        <w:t>Enforceable processes can be through adjudication, arbitration (where the arbitrator makes a binding decision) or via a private ruling (such as a tax office private ruling). All enforceable determinations can be appealed to a Court if a party to the proceedings believes an error of law has been made.</w:t>
      </w:r>
    </w:p>
    <w:p w14:paraId="6EC8CFD9" w14:textId="77777777" w:rsidR="00EB5EDB" w:rsidRPr="00EB5EDB" w:rsidRDefault="00EB5EDB" w:rsidP="00EB5EDB">
      <w:pPr>
        <w:pStyle w:val="NoSpacing"/>
        <w:ind w:left="2160"/>
        <w:rPr>
          <w:rFonts w:cs="Times New Roman"/>
          <w:szCs w:val="24"/>
        </w:rPr>
      </w:pPr>
    </w:p>
    <w:p w14:paraId="0D6E1EAC" w14:textId="72DDB497" w:rsidR="00DB2EDD" w:rsidRPr="00EB5EDB" w:rsidRDefault="00DB2EDD" w:rsidP="00A029C0">
      <w:pPr>
        <w:pStyle w:val="NoSpacing"/>
        <w:numPr>
          <w:ilvl w:val="2"/>
          <w:numId w:val="102"/>
        </w:numPr>
        <w:rPr>
          <w:rFonts w:cs="Times New Roman"/>
          <w:szCs w:val="24"/>
        </w:rPr>
      </w:pPr>
      <w:r>
        <w:rPr>
          <w:rFonts w:cs="Times New Roman"/>
          <w:i/>
          <w:szCs w:val="24"/>
        </w:rPr>
        <w:t>Non</w:t>
      </w:r>
      <w:r w:rsidR="00FF0792">
        <w:rPr>
          <w:rFonts w:cs="Times New Roman"/>
          <w:i/>
          <w:szCs w:val="24"/>
        </w:rPr>
        <w:t>–</w:t>
      </w:r>
      <w:r w:rsidR="00EB5EDB">
        <w:rPr>
          <w:rFonts w:cs="Times New Roman"/>
          <w:i/>
          <w:szCs w:val="24"/>
        </w:rPr>
        <w:t>enforceable</w:t>
      </w:r>
      <w:r>
        <w:rPr>
          <w:rFonts w:cs="Times New Roman"/>
          <w:i/>
          <w:szCs w:val="24"/>
        </w:rPr>
        <w:t xml:space="preserve"> Determinations </w:t>
      </w:r>
      <w:r>
        <w:rPr>
          <w:rFonts w:cs="Times New Roman"/>
          <w:szCs w:val="24"/>
        </w:rPr>
        <w:t xml:space="preserve">– </w:t>
      </w:r>
      <w:r w:rsidR="00EB5EDB">
        <w:t>Non</w:t>
      </w:r>
      <w:r w:rsidR="00FF0792">
        <w:t>–</w:t>
      </w:r>
      <w:r w:rsidR="00EB5EDB">
        <w:t xml:space="preserve">enforceable determinations </w:t>
      </w:r>
      <w:r w:rsidR="00EB5EDB" w:rsidRPr="00A77FCB">
        <w:t>are</w:t>
      </w:r>
      <w:r w:rsidR="00EB5EDB">
        <w:t xml:space="preserve"> processes in which a party can present a dispute to a dispute resolution mediator who makes a determination on the basis of the arguments and evidence presented before them, but does not provide a binding ruling</w:t>
      </w:r>
    </w:p>
    <w:p w14:paraId="006DA588" w14:textId="55FBB446" w:rsidR="00EB5EDB" w:rsidRPr="00EB5EDB" w:rsidRDefault="00EB5EDB" w:rsidP="00A029C0">
      <w:pPr>
        <w:pStyle w:val="NoSpacing"/>
        <w:numPr>
          <w:ilvl w:val="3"/>
          <w:numId w:val="102"/>
        </w:numPr>
        <w:rPr>
          <w:rFonts w:cs="Times New Roman"/>
          <w:szCs w:val="24"/>
        </w:rPr>
      </w:pPr>
      <w:r>
        <w:t>Non</w:t>
      </w:r>
      <w:r w:rsidR="00FF0792">
        <w:t>–</w:t>
      </w:r>
      <w:r>
        <w:t>enforceable determinations can be useful to the parties to assess how a Court would view the arguments and evidence presented before it and reduces the overall cost of litigation if a non</w:t>
      </w:r>
      <w:r w:rsidR="00FF0792">
        <w:t>–</w:t>
      </w:r>
      <w:r>
        <w:t>binding ruling is passed which satisfies both parties.</w:t>
      </w:r>
    </w:p>
    <w:p w14:paraId="724798E5" w14:textId="77777777" w:rsidR="00E34EE4" w:rsidRPr="00EB5EDB" w:rsidRDefault="00E34EE4" w:rsidP="00EB5EDB">
      <w:pPr>
        <w:pStyle w:val="NoSpacing"/>
        <w:ind w:left="2880"/>
        <w:rPr>
          <w:rFonts w:cs="Times New Roman"/>
          <w:szCs w:val="24"/>
        </w:rPr>
      </w:pPr>
    </w:p>
    <w:p w14:paraId="4493AF72" w14:textId="286F0BAE" w:rsidR="00EB5EDB" w:rsidRPr="00352496" w:rsidRDefault="000E07C8" w:rsidP="00A029C0">
      <w:pPr>
        <w:pStyle w:val="NoSpacing"/>
        <w:numPr>
          <w:ilvl w:val="1"/>
          <w:numId w:val="102"/>
        </w:numPr>
        <w:rPr>
          <w:rFonts w:cs="Times New Roman"/>
          <w:szCs w:val="24"/>
        </w:rPr>
      </w:pPr>
      <w:r w:rsidRPr="00FB5C3E">
        <w:rPr>
          <w:rFonts w:cs="Times New Roman"/>
          <w:b/>
          <w:i/>
          <w:szCs w:val="24"/>
        </w:rPr>
        <w:t>Facilitative</w:t>
      </w:r>
      <w:r>
        <w:rPr>
          <w:rFonts w:cs="Times New Roman"/>
          <w:i/>
          <w:szCs w:val="24"/>
        </w:rPr>
        <w:t xml:space="preserve"> – </w:t>
      </w:r>
      <w:r w:rsidR="009A3A03">
        <w:t>Facilitative ADR processes involved a third party who provides guidance and assistance in the management of the ADR process.</w:t>
      </w:r>
    </w:p>
    <w:p w14:paraId="35DFEC9E" w14:textId="15A3D419" w:rsidR="00E64039" w:rsidRPr="00112C78" w:rsidRDefault="00E64039" w:rsidP="009A3A03">
      <w:pPr>
        <w:pStyle w:val="NoSpacing"/>
        <w:numPr>
          <w:ilvl w:val="2"/>
          <w:numId w:val="6"/>
        </w:numPr>
      </w:pPr>
      <w:r w:rsidRPr="00FB5C3E">
        <w:rPr>
          <w:i/>
        </w:rPr>
        <w:t>Conciliation</w:t>
      </w:r>
      <w:r>
        <w:t xml:space="preserve"> – Conciliation is a process whereby the parties use the assistance of an impartial third party to identify the issue in dispute, develop options and attempt to motivate the parties to a resolution. </w:t>
      </w:r>
    </w:p>
    <w:p w14:paraId="46E66A00" w14:textId="77777777" w:rsidR="00324318" w:rsidRPr="00324318" w:rsidRDefault="00324318" w:rsidP="00324318">
      <w:pPr>
        <w:pStyle w:val="NoSpacing"/>
        <w:ind w:left="2160"/>
      </w:pPr>
    </w:p>
    <w:p w14:paraId="6A853E97" w14:textId="1055A5D2" w:rsidR="00E64039" w:rsidRPr="00E32FDD" w:rsidRDefault="00E64039" w:rsidP="009A3A03">
      <w:pPr>
        <w:pStyle w:val="NoSpacing"/>
        <w:numPr>
          <w:ilvl w:val="2"/>
          <w:numId w:val="6"/>
        </w:numPr>
      </w:pPr>
      <w:r w:rsidRPr="00FB5C3E">
        <w:rPr>
          <w:i/>
        </w:rPr>
        <w:lastRenderedPageBreak/>
        <w:t>Facilitation</w:t>
      </w:r>
      <w:r>
        <w:t xml:space="preserve"> – Facilitation is a process whereby both parties use the assistance of an impartial third party to identify their core issues with one another and attempt to resolve these issues. </w:t>
      </w:r>
      <w:r w:rsidR="00B20079">
        <w:t>[non</w:t>
      </w:r>
      <w:r w:rsidR="00FF0792">
        <w:t>–</w:t>
      </w:r>
      <w:r w:rsidR="00B20079">
        <w:t>binding]</w:t>
      </w:r>
    </w:p>
    <w:p w14:paraId="47C2BC19" w14:textId="77777777" w:rsidR="00324318" w:rsidRPr="00324318" w:rsidRDefault="00324318" w:rsidP="00324318">
      <w:pPr>
        <w:pStyle w:val="NoSpacing"/>
        <w:tabs>
          <w:tab w:val="left" w:pos="6390"/>
        </w:tabs>
        <w:ind w:left="2160"/>
      </w:pPr>
    </w:p>
    <w:p w14:paraId="14BF14DA" w14:textId="628379C8" w:rsidR="00E64039" w:rsidRPr="0074608E" w:rsidRDefault="00E64039" w:rsidP="009A3A03">
      <w:pPr>
        <w:pStyle w:val="NoSpacing"/>
        <w:numPr>
          <w:ilvl w:val="2"/>
          <w:numId w:val="6"/>
        </w:numPr>
        <w:tabs>
          <w:tab w:val="left" w:pos="6390"/>
        </w:tabs>
      </w:pPr>
      <w:r w:rsidRPr="00FB5C3E">
        <w:rPr>
          <w:i/>
        </w:rPr>
        <w:t>Mediation</w:t>
      </w:r>
      <w:r w:rsidRPr="00C12729">
        <w:t xml:space="preserve"> – Similar to facilitation, mediation is the process in which the</w:t>
      </w:r>
      <w:r>
        <w:t xml:space="preserve"> parties to a dispute use an impartial third party to consider their issues and reasoning behind the dispute, and attempt to consider alternatives to litigation and/or resolve the dispute in its entirety. </w:t>
      </w:r>
    </w:p>
    <w:p w14:paraId="107D6DC0" w14:textId="77777777" w:rsidR="00324318" w:rsidRPr="00324318" w:rsidRDefault="00324318" w:rsidP="00324318">
      <w:pPr>
        <w:pStyle w:val="NoSpacing"/>
        <w:ind w:left="2160"/>
      </w:pPr>
    </w:p>
    <w:p w14:paraId="018FBB8D" w14:textId="0F8A2080" w:rsidR="00E64039" w:rsidRPr="008C2149" w:rsidRDefault="00E64039" w:rsidP="009A3A03">
      <w:pPr>
        <w:pStyle w:val="NoSpacing"/>
        <w:numPr>
          <w:ilvl w:val="2"/>
          <w:numId w:val="6"/>
        </w:numPr>
      </w:pPr>
      <w:r w:rsidRPr="00FB5C3E">
        <w:rPr>
          <w:i/>
        </w:rPr>
        <w:t>Ombudsman</w:t>
      </w:r>
      <w:r>
        <w:t xml:space="preserve"> – In Australia, the ombudsman provides another impartial third party body who can investigate and attempt to resolve complaints against an institution by a customer, client and employee. </w:t>
      </w:r>
    </w:p>
    <w:p w14:paraId="2ECACFD8" w14:textId="77777777" w:rsidR="00FB5C3E" w:rsidRDefault="00FB5C3E" w:rsidP="00E64039">
      <w:pPr>
        <w:pStyle w:val="NoSpacing"/>
        <w:ind w:left="720" w:hanging="360"/>
        <w:rPr>
          <w:i/>
        </w:rPr>
      </w:pPr>
    </w:p>
    <w:p w14:paraId="6EAD214A" w14:textId="728F9E29" w:rsidR="00FE7F2E" w:rsidRDefault="00FE7F2E" w:rsidP="00A029C0">
      <w:pPr>
        <w:pStyle w:val="NoSpacing"/>
        <w:numPr>
          <w:ilvl w:val="0"/>
          <w:numId w:val="102"/>
        </w:numPr>
        <w:rPr>
          <w:rFonts w:cs="Times New Roman"/>
          <w:szCs w:val="24"/>
        </w:rPr>
      </w:pPr>
      <w:bookmarkStart w:id="14" w:name="_GoBack"/>
      <w:bookmarkEnd w:id="14"/>
      <w:r>
        <w:rPr>
          <w:rFonts w:cs="Times New Roman"/>
          <w:b/>
          <w:i/>
          <w:szCs w:val="24"/>
        </w:rPr>
        <w:t>Duties during ADR processes</w:t>
      </w:r>
      <w:r w:rsidR="00FB5C3E">
        <w:rPr>
          <w:rFonts w:cs="Times New Roman"/>
          <w:b/>
          <w:i/>
          <w:szCs w:val="24"/>
        </w:rPr>
        <w:t xml:space="preserve"> </w:t>
      </w:r>
      <w:r w:rsidR="00FB5C3E">
        <w:rPr>
          <w:rFonts w:cs="Times New Roman"/>
          <w:szCs w:val="24"/>
        </w:rPr>
        <w:t>–</w:t>
      </w:r>
      <w:r w:rsidR="00676E71">
        <w:rPr>
          <w:rFonts w:cs="Times New Roman"/>
          <w:szCs w:val="24"/>
        </w:rPr>
        <w:t xml:space="preserve"> </w:t>
      </w:r>
      <w:r w:rsidR="00676E71" w:rsidRPr="00676E71">
        <w:rPr>
          <w:rFonts w:cs="Times New Roman"/>
          <w:i/>
          <w:szCs w:val="24"/>
          <w:u w:val="single"/>
        </w:rPr>
        <w:t>Law Council of Australia Guidelines for Mediations</w:t>
      </w:r>
    </w:p>
    <w:p w14:paraId="73825A6B" w14:textId="77777777" w:rsidR="00042DC1" w:rsidRPr="00042DC1" w:rsidRDefault="00042DC1" w:rsidP="00042DC1">
      <w:pPr>
        <w:pStyle w:val="NoSpacing"/>
        <w:ind w:left="1440"/>
        <w:rPr>
          <w:rFonts w:cs="Times New Roman"/>
          <w:szCs w:val="24"/>
        </w:rPr>
      </w:pPr>
    </w:p>
    <w:p w14:paraId="5E2BD033" w14:textId="79EE4319" w:rsidR="0038790E" w:rsidRDefault="00D15E6D" w:rsidP="00A029C0">
      <w:pPr>
        <w:pStyle w:val="NoSpacing"/>
        <w:numPr>
          <w:ilvl w:val="1"/>
          <w:numId w:val="102"/>
        </w:numPr>
        <w:rPr>
          <w:rFonts w:cs="Times New Roman"/>
          <w:szCs w:val="24"/>
        </w:rPr>
      </w:pPr>
      <w:r w:rsidRPr="00B77696">
        <w:rPr>
          <w:rFonts w:cs="Times New Roman"/>
          <w:b/>
          <w:i/>
          <w:szCs w:val="24"/>
        </w:rPr>
        <w:t xml:space="preserve">Duty of </w:t>
      </w:r>
      <w:r w:rsidR="00324318" w:rsidRPr="00B77696">
        <w:rPr>
          <w:rFonts w:cs="Times New Roman"/>
          <w:b/>
          <w:i/>
          <w:szCs w:val="24"/>
        </w:rPr>
        <w:t>confidentiality</w:t>
      </w:r>
      <w:r w:rsidRPr="00234BE4">
        <w:rPr>
          <w:rFonts w:cs="Times New Roman"/>
          <w:i/>
          <w:szCs w:val="24"/>
        </w:rPr>
        <w:t xml:space="preserve"> </w:t>
      </w:r>
      <w:r w:rsidRPr="00FD0659">
        <w:rPr>
          <w:rFonts w:cs="Times New Roman"/>
          <w:b/>
          <w:i/>
          <w:szCs w:val="24"/>
          <w:u w:val="single"/>
        </w:rPr>
        <w:t>[see confidentiality]</w:t>
      </w:r>
      <w:r w:rsidR="00F95674">
        <w:rPr>
          <w:rFonts w:cs="Times New Roman"/>
          <w:i/>
          <w:szCs w:val="24"/>
        </w:rPr>
        <w:t xml:space="preserve"> </w:t>
      </w:r>
    </w:p>
    <w:p w14:paraId="44911323" w14:textId="34A9BA37" w:rsidR="00F95674" w:rsidRDefault="00F95674" w:rsidP="00A029C0">
      <w:pPr>
        <w:pStyle w:val="NoSpacing"/>
        <w:numPr>
          <w:ilvl w:val="2"/>
          <w:numId w:val="102"/>
        </w:numPr>
        <w:rPr>
          <w:rFonts w:cs="Times New Roman"/>
          <w:szCs w:val="24"/>
        </w:rPr>
      </w:pPr>
      <w:r w:rsidRPr="00F95674">
        <w:rPr>
          <w:rFonts w:cs="Times New Roman"/>
          <w:i/>
          <w:szCs w:val="24"/>
        </w:rPr>
        <w:t>No</w:t>
      </w:r>
      <w:r>
        <w:rPr>
          <w:rFonts w:cs="Times New Roman"/>
          <w:i/>
          <w:szCs w:val="24"/>
        </w:rPr>
        <w:t>n</w:t>
      </w:r>
      <w:r w:rsidR="00FF0792">
        <w:rPr>
          <w:rFonts w:cs="Times New Roman"/>
          <w:i/>
          <w:szCs w:val="24"/>
        </w:rPr>
        <w:t>–</w:t>
      </w:r>
      <w:r w:rsidRPr="00F95674">
        <w:rPr>
          <w:rFonts w:cs="Times New Roman"/>
          <w:i/>
          <w:szCs w:val="24"/>
        </w:rPr>
        <w:t>disclose</w:t>
      </w:r>
      <w:r>
        <w:rPr>
          <w:rFonts w:cs="Times New Roman"/>
          <w:szCs w:val="24"/>
        </w:rPr>
        <w:t xml:space="preserve"> – any information during mediation unless parties agree</w:t>
      </w:r>
    </w:p>
    <w:p w14:paraId="1166B9AF" w14:textId="237C6113" w:rsidR="009D55FF" w:rsidRDefault="009D55FF" w:rsidP="00A029C0">
      <w:pPr>
        <w:pStyle w:val="NoSpacing"/>
        <w:numPr>
          <w:ilvl w:val="2"/>
          <w:numId w:val="102"/>
        </w:numPr>
        <w:rPr>
          <w:rFonts w:cs="Times New Roman"/>
          <w:szCs w:val="24"/>
        </w:rPr>
      </w:pPr>
      <w:r>
        <w:t xml:space="preserve">Same obligations in mediation as in Court </w:t>
      </w:r>
      <w:r>
        <w:rPr>
          <w:i/>
        </w:rPr>
        <w:t>– Vic Bar r19</w:t>
      </w:r>
      <w:r w:rsidR="00CB0BAA">
        <w:rPr>
          <w:i/>
        </w:rPr>
        <w:t>9</w:t>
      </w:r>
    </w:p>
    <w:p w14:paraId="45D7D012" w14:textId="77777777" w:rsidR="00234BE4" w:rsidRDefault="00234BE4" w:rsidP="00234BE4">
      <w:pPr>
        <w:pStyle w:val="NoSpacing"/>
        <w:ind w:left="1440"/>
        <w:rPr>
          <w:rFonts w:cs="Times New Roman"/>
          <w:szCs w:val="24"/>
        </w:rPr>
      </w:pPr>
    </w:p>
    <w:p w14:paraId="341664A9" w14:textId="77777777" w:rsidR="002E213C" w:rsidRDefault="00D23A47" w:rsidP="00A029C0">
      <w:pPr>
        <w:pStyle w:val="NoSpacing"/>
        <w:numPr>
          <w:ilvl w:val="1"/>
          <w:numId w:val="102"/>
        </w:numPr>
        <w:rPr>
          <w:rFonts w:cs="Times New Roman"/>
          <w:szCs w:val="24"/>
        </w:rPr>
      </w:pPr>
      <w:r>
        <w:rPr>
          <w:rFonts w:cs="Times New Roman"/>
          <w:b/>
          <w:i/>
          <w:szCs w:val="24"/>
        </w:rPr>
        <w:t xml:space="preserve">Never false or misleading statements </w:t>
      </w:r>
      <w:r>
        <w:rPr>
          <w:rFonts w:cs="Times New Roman"/>
          <w:szCs w:val="24"/>
        </w:rPr>
        <w:t>–</w:t>
      </w:r>
      <w:r w:rsidR="00671F06" w:rsidRPr="00414194">
        <w:rPr>
          <w:i/>
        </w:rPr>
        <w:t xml:space="preserve">– </w:t>
      </w:r>
      <w:r w:rsidR="00671F06">
        <w:rPr>
          <w:i/>
        </w:rPr>
        <w:t>P</w:t>
      </w:r>
      <w:r w:rsidR="00671F06" w:rsidRPr="008A2CAC">
        <w:rPr>
          <w:i/>
        </w:rPr>
        <w:t xml:space="preserve">CPR 18; Vic Bar 53 </w:t>
      </w:r>
      <w:r w:rsidR="00671F06">
        <w:rPr>
          <w:i/>
        </w:rPr>
        <w:t xml:space="preserve">– </w:t>
      </w:r>
      <w:r>
        <w:rPr>
          <w:rFonts w:cs="Times New Roman"/>
          <w:szCs w:val="24"/>
        </w:rPr>
        <w:t xml:space="preserve"> </w:t>
      </w:r>
    </w:p>
    <w:p w14:paraId="02211A2C" w14:textId="774397E8" w:rsidR="00D23A47" w:rsidRPr="007A34AB" w:rsidRDefault="00D23A47" w:rsidP="00A029C0">
      <w:pPr>
        <w:pStyle w:val="NoSpacing"/>
        <w:numPr>
          <w:ilvl w:val="2"/>
          <w:numId w:val="102"/>
        </w:numPr>
        <w:rPr>
          <w:rFonts w:cs="Times New Roman"/>
          <w:szCs w:val="24"/>
        </w:rPr>
      </w:pPr>
      <w:r w:rsidRPr="00FD0659">
        <w:rPr>
          <w:rFonts w:cs="Times New Roman"/>
          <w:b/>
          <w:i/>
          <w:szCs w:val="24"/>
          <w:u w:val="single"/>
        </w:rPr>
        <w:t xml:space="preserve">[see </w:t>
      </w:r>
      <w:r w:rsidR="00671F06">
        <w:rPr>
          <w:rFonts w:cs="Times New Roman"/>
          <w:b/>
          <w:i/>
          <w:szCs w:val="24"/>
          <w:u w:val="single"/>
        </w:rPr>
        <w:t>candour in presentation of fact</w:t>
      </w:r>
      <w:r w:rsidRPr="00FD0659">
        <w:rPr>
          <w:rFonts w:cs="Times New Roman"/>
          <w:b/>
          <w:i/>
          <w:szCs w:val="24"/>
          <w:u w:val="single"/>
        </w:rPr>
        <w:t>]</w:t>
      </w:r>
    </w:p>
    <w:p w14:paraId="36357D10" w14:textId="6326AB48" w:rsidR="007A34AB" w:rsidRPr="007A34AB" w:rsidRDefault="007A34AB" w:rsidP="007A34AB">
      <w:pPr>
        <w:pStyle w:val="NoSpacing"/>
        <w:ind w:left="2160"/>
        <w:rPr>
          <w:rFonts w:cs="Times New Roman"/>
          <w:szCs w:val="24"/>
        </w:rPr>
      </w:pPr>
    </w:p>
    <w:p w14:paraId="53B24AE7" w14:textId="77777777" w:rsidR="000111B7" w:rsidRPr="000111B7" w:rsidRDefault="000111B7" w:rsidP="00A029C0">
      <w:pPr>
        <w:pStyle w:val="NoSpacing"/>
        <w:numPr>
          <w:ilvl w:val="2"/>
          <w:numId w:val="102"/>
        </w:numPr>
      </w:pPr>
      <w:r w:rsidRPr="000111B7">
        <w:rPr>
          <w:b/>
          <w:i/>
        </w:rPr>
        <w:t>Williams v Commonwealth Bank of Australia</w:t>
      </w:r>
    </w:p>
    <w:p w14:paraId="15955F5D" w14:textId="4D3B2248" w:rsidR="00E15E92" w:rsidRPr="00E15E92" w:rsidRDefault="008404B7" w:rsidP="00A029C0">
      <w:pPr>
        <w:pStyle w:val="NoSpacing"/>
        <w:numPr>
          <w:ilvl w:val="3"/>
          <w:numId w:val="102"/>
        </w:numPr>
      </w:pPr>
      <w:r>
        <w:t>‘</w:t>
      </w:r>
      <w:r w:rsidR="00E15E92" w:rsidRPr="00E15E92">
        <w:t xml:space="preserve">Where parties are dealing at arms' length in a commercial situation in which they have conflicting interests it will often be the case that one party will be aware of information which, if known to the other, would or might cause that other party to take a different negotiating stance.  </w:t>
      </w:r>
      <w:r w:rsidR="00E15E92" w:rsidRPr="008404B7">
        <w:rPr>
          <w:u w:val="single"/>
        </w:rPr>
        <w:t>This does not in itself impose any obligation on the first party to bring the information to the attention of the other party, and failure to do so would not, without more, ordinarily be regarded as dishonesty or even sharp practice</w:t>
      </w:r>
      <w:r>
        <w:t>’</w:t>
      </w:r>
      <w:r w:rsidR="00E15E92" w:rsidRPr="00E15E92">
        <w:t>.</w:t>
      </w:r>
    </w:p>
    <w:p w14:paraId="598C9AF2" w14:textId="77777777" w:rsidR="00D23A47" w:rsidRPr="00D23A47" w:rsidRDefault="00D23A47" w:rsidP="00D23A47">
      <w:pPr>
        <w:pStyle w:val="NoSpacing"/>
        <w:ind w:left="1440"/>
        <w:rPr>
          <w:rFonts w:cs="Times New Roman"/>
          <w:szCs w:val="24"/>
        </w:rPr>
      </w:pPr>
    </w:p>
    <w:p w14:paraId="4CED8815" w14:textId="0211D14E" w:rsidR="005D231E" w:rsidRDefault="005D231E" w:rsidP="00A029C0">
      <w:pPr>
        <w:pStyle w:val="NoSpacing"/>
        <w:numPr>
          <w:ilvl w:val="1"/>
          <w:numId w:val="102"/>
        </w:numPr>
        <w:rPr>
          <w:rFonts w:cs="Times New Roman"/>
          <w:szCs w:val="24"/>
        </w:rPr>
      </w:pPr>
      <w:r w:rsidRPr="00B77696">
        <w:rPr>
          <w:rFonts w:cs="Times New Roman"/>
          <w:b/>
          <w:i/>
          <w:szCs w:val="24"/>
        </w:rPr>
        <w:t>Good Faith</w:t>
      </w:r>
      <w:r>
        <w:rPr>
          <w:rFonts w:cs="Times New Roman"/>
          <w:i/>
          <w:szCs w:val="24"/>
        </w:rPr>
        <w:t xml:space="preserve"> </w:t>
      </w:r>
      <w:r>
        <w:rPr>
          <w:rFonts w:cs="Times New Roman"/>
          <w:szCs w:val="24"/>
        </w:rPr>
        <w:t xml:space="preserve">– </w:t>
      </w:r>
      <w:r w:rsidR="008E16D4">
        <w:rPr>
          <w:rFonts w:cs="Times New Roman"/>
          <w:szCs w:val="24"/>
        </w:rPr>
        <w:t>Lawyers and clients must act, at all times, in good faith and attempt to achieve settlement of the dispute.</w:t>
      </w:r>
    </w:p>
    <w:p w14:paraId="75B7AD56" w14:textId="77777777" w:rsidR="008E16D4" w:rsidRPr="008E16D4" w:rsidRDefault="008E16D4" w:rsidP="008E16D4">
      <w:pPr>
        <w:pStyle w:val="NoSpacing"/>
        <w:ind w:left="2160"/>
        <w:rPr>
          <w:rFonts w:cs="Times New Roman"/>
          <w:szCs w:val="24"/>
        </w:rPr>
      </w:pPr>
    </w:p>
    <w:p w14:paraId="7F1FEF83" w14:textId="22F03D10" w:rsidR="008E16D4" w:rsidRDefault="008E16D4" w:rsidP="00A029C0">
      <w:pPr>
        <w:pStyle w:val="NoSpacing"/>
        <w:numPr>
          <w:ilvl w:val="2"/>
          <w:numId w:val="102"/>
        </w:numPr>
        <w:rPr>
          <w:rFonts w:cs="Times New Roman"/>
          <w:szCs w:val="24"/>
        </w:rPr>
      </w:pPr>
      <w:r>
        <w:rPr>
          <w:rFonts w:cs="Times New Roman"/>
          <w:i/>
          <w:szCs w:val="24"/>
        </w:rPr>
        <w:t xml:space="preserve">Act in good faith – </w:t>
      </w:r>
      <w:r>
        <w:rPr>
          <w:rFonts w:cs="Times New Roman"/>
          <w:szCs w:val="24"/>
        </w:rPr>
        <w:t>Lawyer must approach ADR in good faith and with an open and transparent mind.</w:t>
      </w:r>
    </w:p>
    <w:p w14:paraId="22888B86" w14:textId="77777777" w:rsidR="00595A99" w:rsidRDefault="00595A99" w:rsidP="00595A99">
      <w:pPr>
        <w:pStyle w:val="ListParagraph"/>
      </w:pPr>
    </w:p>
    <w:p w14:paraId="6BEDF2CD" w14:textId="4B28A678" w:rsidR="00595A99" w:rsidRDefault="00F20B75" w:rsidP="00A029C0">
      <w:pPr>
        <w:pStyle w:val="NoSpacing"/>
        <w:numPr>
          <w:ilvl w:val="2"/>
          <w:numId w:val="102"/>
        </w:numPr>
        <w:rPr>
          <w:rFonts w:cs="Times New Roman"/>
          <w:szCs w:val="24"/>
        </w:rPr>
      </w:pPr>
      <w:r w:rsidRPr="00F20B75">
        <w:rPr>
          <w:rFonts w:cs="Times New Roman"/>
          <w:b/>
          <w:i/>
          <w:szCs w:val="24"/>
        </w:rPr>
        <w:t>Western Australia v Taylor</w:t>
      </w:r>
      <w:r>
        <w:rPr>
          <w:rFonts w:cs="Times New Roman"/>
          <w:i/>
          <w:szCs w:val="24"/>
        </w:rPr>
        <w:t xml:space="preserve"> </w:t>
      </w:r>
      <w:r>
        <w:rPr>
          <w:rFonts w:cs="Times New Roman"/>
          <w:szCs w:val="24"/>
        </w:rPr>
        <w:t>provided the relevant list of indicators as to whether a tribunal had been carried out in Good Faith</w:t>
      </w:r>
    </w:p>
    <w:p w14:paraId="71871EC9" w14:textId="129310E6" w:rsidR="00F20B75" w:rsidRDefault="00251E67" w:rsidP="00A029C0">
      <w:pPr>
        <w:pStyle w:val="NoSpacing"/>
        <w:numPr>
          <w:ilvl w:val="3"/>
          <w:numId w:val="102"/>
        </w:numPr>
        <w:rPr>
          <w:rFonts w:cs="Times New Roman"/>
          <w:szCs w:val="24"/>
        </w:rPr>
      </w:pPr>
      <w:r>
        <w:rPr>
          <w:rFonts w:cs="Times New Roman"/>
          <w:szCs w:val="24"/>
        </w:rPr>
        <w:t xml:space="preserve">Unreasonable delay in </w:t>
      </w:r>
      <w:r w:rsidR="00C02EAE">
        <w:rPr>
          <w:rFonts w:cs="Times New Roman"/>
          <w:szCs w:val="24"/>
        </w:rPr>
        <w:t>initiating</w:t>
      </w:r>
      <w:r>
        <w:rPr>
          <w:rFonts w:cs="Times New Roman"/>
          <w:szCs w:val="24"/>
        </w:rPr>
        <w:t xml:space="preserve"> communications in the </w:t>
      </w:r>
      <w:r w:rsidR="00C02EAE">
        <w:rPr>
          <w:rFonts w:cs="Times New Roman"/>
          <w:szCs w:val="24"/>
        </w:rPr>
        <w:t>first</w:t>
      </w:r>
      <w:r>
        <w:rPr>
          <w:rFonts w:cs="Times New Roman"/>
          <w:szCs w:val="24"/>
        </w:rPr>
        <w:t xml:space="preserve"> instance</w:t>
      </w:r>
    </w:p>
    <w:p w14:paraId="11392959" w14:textId="794F66CD" w:rsidR="00251E67" w:rsidRDefault="00251E67" w:rsidP="00A029C0">
      <w:pPr>
        <w:pStyle w:val="NoSpacing"/>
        <w:numPr>
          <w:ilvl w:val="3"/>
          <w:numId w:val="102"/>
        </w:numPr>
        <w:rPr>
          <w:rFonts w:cs="Times New Roman"/>
          <w:szCs w:val="24"/>
        </w:rPr>
      </w:pPr>
      <w:r>
        <w:rPr>
          <w:rFonts w:cs="Times New Roman"/>
          <w:szCs w:val="24"/>
        </w:rPr>
        <w:t>Failure to make proposals in the first place</w:t>
      </w:r>
    </w:p>
    <w:p w14:paraId="7627B6DD" w14:textId="48F7441E" w:rsidR="00251E67" w:rsidRDefault="00251E67" w:rsidP="00A029C0">
      <w:pPr>
        <w:pStyle w:val="NoSpacing"/>
        <w:numPr>
          <w:ilvl w:val="3"/>
          <w:numId w:val="102"/>
        </w:numPr>
        <w:rPr>
          <w:rFonts w:cs="Times New Roman"/>
          <w:szCs w:val="24"/>
        </w:rPr>
      </w:pPr>
      <w:r>
        <w:rPr>
          <w:rFonts w:cs="Times New Roman"/>
          <w:szCs w:val="24"/>
        </w:rPr>
        <w:t>The unexplained failure to communicate with the other parties within a reasonable time</w:t>
      </w:r>
    </w:p>
    <w:p w14:paraId="50FD0C96" w14:textId="724082E2" w:rsidR="00251E67" w:rsidRDefault="00251E67" w:rsidP="00A029C0">
      <w:pPr>
        <w:pStyle w:val="NoSpacing"/>
        <w:numPr>
          <w:ilvl w:val="3"/>
          <w:numId w:val="102"/>
        </w:numPr>
        <w:rPr>
          <w:rFonts w:cs="Times New Roman"/>
          <w:szCs w:val="24"/>
        </w:rPr>
      </w:pPr>
      <w:r>
        <w:rPr>
          <w:rFonts w:cs="Times New Roman"/>
          <w:szCs w:val="24"/>
        </w:rPr>
        <w:t>Failure to contact one or more of the parties</w:t>
      </w:r>
    </w:p>
    <w:p w14:paraId="2FEA1143" w14:textId="11479BF5" w:rsidR="00251E67" w:rsidRDefault="00251E67" w:rsidP="00A029C0">
      <w:pPr>
        <w:pStyle w:val="NoSpacing"/>
        <w:numPr>
          <w:ilvl w:val="3"/>
          <w:numId w:val="102"/>
        </w:numPr>
        <w:rPr>
          <w:rFonts w:cs="Times New Roman"/>
          <w:szCs w:val="24"/>
        </w:rPr>
      </w:pPr>
      <w:r>
        <w:rPr>
          <w:rFonts w:cs="Times New Roman"/>
          <w:szCs w:val="24"/>
        </w:rPr>
        <w:t>Failure to follow up a lcak of response from the other parties</w:t>
      </w:r>
    </w:p>
    <w:p w14:paraId="0336C3F9" w14:textId="1943E665" w:rsidR="00251E67" w:rsidRDefault="00251E67" w:rsidP="00A029C0">
      <w:pPr>
        <w:pStyle w:val="NoSpacing"/>
        <w:numPr>
          <w:ilvl w:val="3"/>
          <w:numId w:val="102"/>
        </w:numPr>
        <w:rPr>
          <w:rFonts w:cs="Times New Roman"/>
          <w:szCs w:val="24"/>
        </w:rPr>
      </w:pPr>
      <w:r>
        <w:rPr>
          <w:rFonts w:cs="Times New Roman"/>
          <w:szCs w:val="24"/>
        </w:rPr>
        <w:t>Failure to take reasonable steps to facilitate and engage in discussions between the parties</w:t>
      </w:r>
    </w:p>
    <w:p w14:paraId="5CEA7912" w14:textId="709F3102" w:rsidR="00251E67" w:rsidRDefault="00251E67" w:rsidP="00A029C0">
      <w:pPr>
        <w:pStyle w:val="NoSpacing"/>
        <w:numPr>
          <w:ilvl w:val="3"/>
          <w:numId w:val="102"/>
        </w:numPr>
        <w:rPr>
          <w:rFonts w:cs="Times New Roman"/>
          <w:szCs w:val="24"/>
        </w:rPr>
      </w:pPr>
      <w:r>
        <w:rPr>
          <w:rFonts w:cs="Times New Roman"/>
          <w:szCs w:val="24"/>
        </w:rPr>
        <w:t>Failing to respond to reasonable requests for relevant information within a reasonable time</w:t>
      </w:r>
    </w:p>
    <w:p w14:paraId="26281AC1" w14:textId="77777777" w:rsidR="00251E67" w:rsidRDefault="00251E67" w:rsidP="00A029C0">
      <w:pPr>
        <w:pStyle w:val="NoSpacing"/>
        <w:numPr>
          <w:ilvl w:val="3"/>
          <w:numId w:val="102"/>
        </w:numPr>
        <w:rPr>
          <w:rFonts w:cs="Times New Roman"/>
          <w:szCs w:val="24"/>
        </w:rPr>
      </w:pPr>
      <w:r>
        <w:rPr>
          <w:rFonts w:cs="Times New Roman"/>
          <w:szCs w:val="24"/>
        </w:rPr>
        <w:lastRenderedPageBreak/>
        <w:t>Stalling negotiations by unexplained delays</w:t>
      </w:r>
    </w:p>
    <w:p w14:paraId="6B972FB5" w14:textId="60DBCFEE" w:rsidR="00251E67" w:rsidRDefault="00C02EAE" w:rsidP="00A029C0">
      <w:pPr>
        <w:pStyle w:val="NoSpacing"/>
        <w:numPr>
          <w:ilvl w:val="3"/>
          <w:numId w:val="102"/>
        </w:numPr>
        <w:rPr>
          <w:rFonts w:cs="Times New Roman"/>
          <w:szCs w:val="24"/>
        </w:rPr>
      </w:pPr>
      <w:r>
        <w:rPr>
          <w:rFonts w:cs="Times New Roman"/>
          <w:szCs w:val="24"/>
        </w:rPr>
        <w:t>Unnecessary</w:t>
      </w:r>
      <w:r w:rsidR="00251E67">
        <w:rPr>
          <w:rFonts w:cs="Times New Roman"/>
          <w:szCs w:val="24"/>
        </w:rPr>
        <w:t xml:space="preserve"> postponement of </w:t>
      </w:r>
      <w:r>
        <w:rPr>
          <w:rFonts w:cs="Times New Roman"/>
          <w:szCs w:val="24"/>
        </w:rPr>
        <w:t>meetings</w:t>
      </w:r>
    </w:p>
    <w:p w14:paraId="4DAF9E50" w14:textId="01F9E1C6" w:rsidR="00251E67" w:rsidRDefault="00251E67" w:rsidP="00A029C0">
      <w:pPr>
        <w:pStyle w:val="NoSpacing"/>
        <w:numPr>
          <w:ilvl w:val="3"/>
          <w:numId w:val="102"/>
        </w:numPr>
        <w:rPr>
          <w:rFonts w:cs="Times New Roman"/>
          <w:szCs w:val="24"/>
        </w:rPr>
      </w:pPr>
      <w:r>
        <w:rPr>
          <w:rFonts w:cs="Times New Roman"/>
          <w:szCs w:val="24"/>
        </w:rPr>
        <w:t xml:space="preserve">Adopting a </w:t>
      </w:r>
      <w:r w:rsidR="00C02EAE">
        <w:rPr>
          <w:rFonts w:cs="Times New Roman"/>
          <w:szCs w:val="24"/>
        </w:rPr>
        <w:t>rigid</w:t>
      </w:r>
      <w:r>
        <w:rPr>
          <w:rFonts w:cs="Times New Roman"/>
          <w:szCs w:val="24"/>
        </w:rPr>
        <w:t xml:space="preserve"> non</w:t>
      </w:r>
      <w:r w:rsidR="00FF0792">
        <w:rPr>
          <w:rFonts w:cs="Times New Roman"/>
          <w:szCs w:val="24"/>
        </w:rPr>
        <w:t>–</w:t>
      </w:r>
      <w:r>
        <w:rPr>
          <w:rFonts w:cs="Times New Roman"/>
          <w:szCs w:val="24"/>
        </w:rPr>
        <w:t>negotiable position</w:t>
      </w:r>
    </w:p>
    <w:p w14:paraId="6559322F" w14:textId="77777777" w:rsidR="00251E67" w:rsidRDefault="00251E67" w:rsidP="00A029C0">
      <w:pPr>
        <w:pStyle w:val="NoSpacing"/>
        <w:numPr>
          <w:ilvl w:val="3"/>
          <w:numId w:val="102"/>
        </w:numPr>
        <w:rPr>
          <w:rFonts w:cs="Times New Roman"/>
          <w:szCs w:val="24"/>
        </w:rPr>
      </w:pPr>
      <w:r>
        <w:rPr>
          <w:rFonts w:cs="Times New Roman"/>
          <w:szCs w:val="24"/>
        </w:rPr>
        <w:t>Failure to make counter proposals</w:t>
      </w:r>
    </w:p>
    <w:p w14:paraId="29E72E16" w14:textId="54959B3D" w:rsidR="00251E67" w:rsidRDefault="00251E67" w:rsidP="00A029C0">
      <w:pPr>
        <w:pStyle w:val="NoSpacing"/>
        <w:numPr>
          <w:ilvl w:val="3"/>
          <w:numId w:val="102"/>
        </w:numPr>
        <w:rPr>
          <w:rFonts w:cs="Times New Roman"/>
          <w:szCs w:val="24"/>
        </w:rPr>
      </w:pPr>
      <w:r>
        <w:rPr>
          <w:rFonts w:cs="Times New Roman"/>
          <w:szCs w:val="24"/>
        </w:rPr>
        <w:t>Failure to do what a reasonable person would do the in the circumstances.</w:t>
      </w:r>
    </w:p>
    <w:p w14:paraId="475C3A9E" w14:textId="77777777" w:rsidR="000A417A" w:rsidRDefault="000A417A" w:rsidP="000A417A">
      <w:pPr>
        <w:pStyle w:val="NoSpacing"/>
        <w:ind w:left="2880"/>
        <w:rPr>
          <w:rFonts w:cs="Times New Roman"/>
          <w:szCs w:val="24"/>
        </w:rPr>
      </w:pPr>
    </w:p>
    <w:p w14:paraId="26C0A3E4" w14:textId="4775937F" w:rsidR="000A417A" w:rsidRPr="000A417A" w:rsidRDefault="000A417A" w:rsidP="00A029C0">
      <w:pPr>
        <w:pStyle w:val="NoSpacing"/>
        <w:numPr>
          <w:ilvl w:val="2"/>
          <w:numId w:val="102"/>
        </w:numPr>
        <w:rPr>
          <w:rFonts w:cs="Times New Roman"/>
          <w:szCs w:val="24"/>
        </w:rPr>
      </w:pPr>
      <w:r>
        <w:rPr>
          <w:rFonts w:cs="Times New Roman"/>
          <w:b/>
          <w:i/>
          <w:szCs w:val="24"/>
        </w:rPr>
        <w:t>Avoid ‘Puffery’</w:t>
      </w:r>
      <w:r w:rsidR="00DE5A2C">
        <w:rPr>
          <w:rFonts w:cs="Times New Roman"/>
          <w:b/>
          <w:i/>
          <w:szCs w:val="24"/>
        </w:rPr>
        <w:t xml:space="preserve"> –</w:t>
      </w:r>
      <w:r w:rsidR="00DE5A2C">
        <w:rPr>
          <w:rFonts w:cs="Times New Roman"/>
          <w:b/>
          <w:szCs w:val="24"/>
        </w:rPr>
        <w:t xml:space="preserve"> </w:t>
      </w:r>
      <w:r w:rsidR="00DE5A2C" w:rsidRPr="00DE5A2C">
        <w:rPr>
          <w:rFonts w:cs="Times New Roman"/>
          <w:szCs w:val="24"/>
        </w:rPr>
        <w:t>Exaggerations with no legal</w:t>
      </w:r>
      <w:r w:rsidR="00DE5A2C">
        <w:rPr>
          <w:rFonts w:cs="Times New Roman"/>
          <w:b/>
          <w:szCs w:val="24"/>
        </w:rPr>
        <w:t xml:space="preserve"> </w:t>
      </w:r>
      <w:r w:rsidR="00DE5A2C" w:rsidRPr="00DE5A2C">
        <w:rPr>
          <w:rFonts w:cs="Times New Roman"/>
          <w:szCs w:val="24"/>
        </w:rPr>
        <w:t>effect</w:t>
      </w:r>
    </w:p>
    <w:p w14:paraId="55DDA7AD" w14:textId="5D50B071" w:rsidR="00D45C6D" w:rsidRPr="00DE5A2C" w:rsidRDefault="00E329B3" w:rsidP="00A029C0">
      <w:pPr>
        <w:pStyle w:val="NoSpacing"/>
        <w:numPr>
          <w:ilvl w:val="3"/>
          <w:numId w:val="102"/>
        </w:numPr>
      </w:pPr>
      <w:r>
        <w:rPr>
          <w:i/>
        </w:rPr>
        <w:t xml:space="preserve">Lack of disclosure – </w:t>
      </w:r>
      <w:r w:rsidR="00A029C0" w:rsidRPr="00DE5A2C">
        <w:t xml:space="preserve">Silence or lack of disclosure over a claim that, notwithstanding such omission the truth </w:t>
      </w:r>
      <w:r w:rsidR="001B76D8" w:rsidRPr="00DE5A2C">
        <w:t>has</w:t>
      </w:r>
      <w:r w:rsidR="00A029C0" w:rsidRPr="00DE5A2C">
        <w:t xml:space="preserve"> been told</w:t>
      </w:r>
    </w:p>
    <w:p w14:paraId="63A64B14" w14:textId="7D90D44C" w:rsidR="00D45C6D" w:rsidRPr="00DE5A2C" w:rsidRDefault="00A029C0" w:rsidP="00A029C0">
      <w:pPr>
        <w:pStyle w:val="NoSpacing"/>
        <w:numPr>
          <w:ilvl w:val="3"/>
          <w:numId w:val="102"/>
        </w:numPr>
      </w:pPr>
      <w:r w:rsidRPr="00BA0658">
        <w:rPr>
          <w:i/>
        </w:rPr>
        <w:t>Misrepresentations</w:t>
      </w:r>
      <w:r w:rsidRPr="00DE5A2C">
        <w:t xml:space="preserve"> </w:t>
      </w:r>
      <w:r w:rsidR="00BA0658">
        <w:t xml:space="preserve">– </w:t>
      </w:r>
      <w:r w:rsidRPr="00DE5A2C">
        <w:t>made in negotiations as to finance available or to the availability of a party to “complete the deal”</w:t>
      </w:r>
    </w:p>
    <w:p w14:paraId="7D9B358C" w14:textId="2A8146C6" w:rsidR="00D45C6D" w:rsidRPr="00DE5A2C" w:rsidRDefault="001942D8" w:rsidP="00A029C0">
      <w:pPr>
        <w:pStyle w:val="NoSpacing"/>
        <w:numPr>
          <w:ilvl w:val="3"/>
          <w:numId w:val="102"/>
        </w:numPr>
      </w:pPr>
      <w:r>
        <w:rPr>
          <w:i/>
        </w:rPr>
        <w:t xml:space="preserve">False variations of agreement – </w:t>
      </w:r>
      <w:r w:rsidR="00A029C0" w:rsidRPr="00DE5A2C">
        <w:t>Representations as to a particular situation when a side letter has varied that situation</w:t>
      </w:r>
    </w:p>
    <w:p w14:paraId="466242A8" w14:textId="7DCE27C5" w:rsidR="00D45C6D" w:rsidRPr="00DE5A2C" w:rsidRDefault="006B7DAB" w:rsidP="00A029C0">
      <w:pPr>
        <w:pStyle w:val="NoSpacing"/>
        <w:numPr>
          <w:ilvl w:val="3"/>
          <w:numId w:val="102"/>
        </w:numPr>
      </w:pPr>
      <w:r>
        <w:rPr>
          <w:i/>
        </w:rPr>
        <w:t xml:space="preserve">Attempt to ‘force’ settlement – </w:t>
      </w:r>
      <w:r w:rsidR="00A029C0" w:rsidRPr="00DE5A2C">
        <w:t>Representations made that a party should “sign now” as there are other parties willing and anxious to enter into the transaction under negotiation</w:t>
      </w:r>
    </w:p>
    <w:p w14:paraId="2EA9755B" w14:textId="77777777" w:rsidR="00F20B75" w:rsidRDefault="00F20B75" w:rsidP="005D231E">
      <w:pPr>
        <w:pStyle w:val="NoSpacing"/>
        <w:ind w:left="1440"/>
      </w:pPr>
    </w:p>
    <w:p w14:paraId="6AD3BFDE" w14:textId="2FF33507" w:rsidR="00042DC1" w:rsidRDefault="00042DC1" w:rsidP="00A029C0">
      <w:pPr>
        <w:pStyle w:val="NoSpacing"/>
        <w:numPr>
          <w:ilvl w:val="1"/>
          <w:numId w:val="102"/>
        </w:numPr>
        <w:rPr>
          <w:rFonts w:cs="Times New Roman"/>
          <w:szCs w:val="24"/>
        </w:rPr>
      </w:pPr>
      <w:r w:rsidRPr="00B77696">
        <w:rPr>
          <w:rFonts w:cs="Times New Roman"/>
          <w:b/>
          <w:i/>
          <w:szCs w:val="24"/>
        </w:rPr>
        <w:t>When to Mediate</w:t>
      </w:r>
      <w:r>
        <w:rPr>
          <w:rFonts w:cs="Times New Roman"/>
          <w:i/>
          <w:szCs w:val="24"/>
        </w:rPr>
        <w:t xml:space="preserve"> </w:t>
      </w:r>
      <w:r>
        <w:rPr>
          <w:rFonts w:cs="Times New Roman"/>
          <w:szCs w:val="24"/>
        </w:rPr>
        <w:t xml:space="preserve">– </w:t>
      </w:r>
      <w:r w:rsidR="001D1E54">
        <w:rPr>
          <w:rFonts w:cs="Times New Roman"/>
          <w:szCs w:val="24"/>
        </w:rPr>
        <w:t xml:space="preserve">Timing is a relevant consideration in the mediation process and is typically highly correlated to settlement. Factors </w:t>
      </w:r>
      <w:r w:rsidR="00676E71">
        <w:rPr>
          <w:rFonts w:cs="Times New Roman"/>
          <w:szCs w:val="24"/>
        </w:rPr>
        <w:t>for lawyers to consider when to mediate include:</w:t>
      </w:r>
    </w:p>
    <w:p w14:paraId="2FA89ABC" w14:textId="77777777" w:rsidR="00676E71" w:rsidRPr="00C85927" w:rsidRDefault="00676E71" w:rsidP="00A029C0">
      <w:pPr>
        <w:pStyle w:val="NoSpacing"/>
        <w:numPr>
          <w:ilvl w:val="2"/>
          <w:numId w:val="102"/>
        </w:numPr>
        <w:rPr>
          <w:i/>
        </w:rPr>
      </w:pPr>
      <w:r w:rsidRPr="00C85927">
        <w:rPr>
          <w:i/>
        </w:rPr>
        <w:t>before proceedings are commenced;</w:t>
      </w:r>
    </w:p>
    <w:p w14:paraId="5957FAC0" w14:textId="220F23E6" w:rsidR="00676E71" w:rsidRPr="00C85927" w:rsidRDefault="00676E71" w:rsidP="00A029C0">
      <w:pPr>
        <w:pStyle w:val="NoSpacing"/>
        <w:numPr>
          <w:ilvl w:val="2"/>
          <w:numId w:val="102"/>
        </w:numPr>
        <w:rPr>
          <w:i/>
        </w:rPr>
      </w:pPr>
      <w:r w:rsidRPr="00C85927">
        <w:rPr>
          <w:i/>
        </w:rPr>
        <w:t>after pleadings have closed, but before the costs of</w:t>
      </w:r>
      <w:r w:rsidR="00C85927">
        <w:rPr>
          <w:i/>
        </w:rPr>
        <w:t xml:space="preserve"> </w:t>
      </w:r>
      <w:r w:rsidRPr="00C85927">
        <w:rPr>
          <w:i/>
        </w:rPr>
        <w:t>discovery are incurred;</w:t>
      </w:r>
    </w:p>
    <w:p w14:paraId="47E5EF7E" w14:textId="6D59E5F5" w:rsidR="00676E71" w:rsidRPr="00C85927" w:rsidRDefault="00676E71" w:rsidP="00A029C0">
      <w:pPr>
        <w:pStyle w:val="NoSpacing"/>
        <w:numPr>
          <w:ilvl w:val="2"/>
          <w:numId w:val="102"/>
        </w:numPr>
        <w:rPr>
          <w:i/>
        </w:rPr>
      </w:pPr>
      <w:r w:rsidRPr="00C85927">
        <w:rPr>
          <w:i/>
        </w:rPr>
        <w:t>before an action is set down for trial and trial costs</w:t>
      </w:r>
      <w:r w:rsidR="00C85927">
        <w:rPr>
          <w:i/>
        </w:rPr>
        <w:t xml:space="preserve"> </w:t>
      </w:r>
      <w:r w:rsidRPr="00C85927">
        <w:rPr>
          <w:i/>
        </w:rPr>
        <w:t>are incurred; and</w:t>
      </w:r>
    </w:p>
    <w:p w14:paraId="2E55F68C" w14:textId="6FA603B8" w:rsidR="001D1E54" w:rsidRPr="00C85927" w:rsidRDefault="00676E71" w:rsidP="00A029C0">
      <w:pPr>
        <w:pStyle w:val="NoSpacing"/>
        <w:numPr>
          <w:ilvl w:val="2"/>
          <w:numId w:val="102"/>
        </w:numPr>
        <w:rPr>
          <w:i/>
        </w:rPr>
      </w:pPr>
      <w:r w:rsidRPr="00C85927">
        <w:rPr>
          <w:i/>
        </w:rPr>
        <w:t>after a trial and before judgment.</w:t>
      </w:r>
    </w:p>
    <w:p w14:paraId="5874915F" w14:textId="77777777" w:rsidR="00042DC1" w:rsidRPr="00042DC1" w:rsidRDefault="00042DC1" w:rsidP="00042DC1">
      <w:pPr>
        <w:pStyle w:val="NoSpacing"/>
        <w:ind w:left="1440"/>
        <w:rPr>
          <w:rFonts w:cs="Times New Roman"/>
          <w:szCs w:val="24"/>
        </w:rPr>
      </w:pPr>
    </w:p>
    <w:p w14:paraId="2CD7E1B1" w14:textId="47F9481A" w:rsidR="00C85927" w:rsidRPr="00C85927" w:rsidRDefault="00C85927" w:rsidP="00A029C0">
      <w:pPr>
        <w:pStyle w:val="NoSpacing"/>
        <w:numPr>
          <w:ilvl w:val="1"/>
          <w:numId w:val="102"/>
        </w:numPr>
        <w:rPr>
          <w:rFonts w:cs="Times New Roman"/>
          <w:szCs w:val="24"/>
        </w:rPr>
      </w:pPr>
      <w:r>
        <w:rPr>
          <w:rFonts w:cs="Times New Roman"/>
          <w:b/>
          <w:i/>
          <w:szCs w:val="24"/>
        </w:rPr>
        <w:t xml:space="preserve">Selecting Mediator </w:t>
      </w:r>
      <w:r>
        <w:rPr>
          <w:rFonts w:cs="Times New Roman"/>
          <w:szCs w:val="24"/>
        </w:rPr>
        <w:t>– The relevant skill, experience, qualifications, expertise of subject matter, role and style of mediation are critical.</w:t>
      </w:r>
    </w:p>
    <w:p w14:paraId="70FA01B7" w14:textId="77777777" w:rsidR="00C85927" w:rsidRPr="00C85927" w:rsidRDefault="00C85927" w:rsidP="00C85927">
      <w:pPr>
        <w:pStyle w:val="NoSpacing"/>
        <w:ind w:left="1440"/>
        <w:rPr>
          <w:rFonts w:cs="Times New Roman"/>
          <w:szCs w:val="24"/>
        </w:rPr>
      </w:pPr>
    </w:p>
    <w:p w14:paraId="2F01B2A6" w14:textId="72245502" w:rsidR="00B77696" w:rsidRDefault="00B77696" w:rsidP="00A029C0">
      <w:pPr>
        <w:pStyle w:val="NoSpacing"/>
        <w:numPr>
          <w:ilvl w:val="1"/>
          <w:numId w:val="102"/>
        </w:numPr>
        <w:rPr>
          <w:rFonts w:cs="Times New Roman"/>
          <w:szCs w:val="24"/>
        </w:rPr>
      </w:pPr>
      <w:r w:rsidRPr="00C07FD0">
        <w:rPr>
          <w:rFonts w:cs="Times New Roman"/>
          <w:b/>
          <w:i/>
          <w:szCs w:val="24"/>
        </w:rPr>
        <w:t>Briefing &amp; Preparing Client</w:t>
      </w:r>
      <w:r>
        <w:rPr>
          <w:rFonts w:cs="Times New Roman"/>
          <w:i/>
          <w:szCs w:val="24"/>
        </w:rPr>
        <w:t xml:space="preserve"> </w:t>
      </w:r>
      <w:r>
        <w:rPr>
          <w:rFonts w:cs="Times New Roman"/>
          <w:szCs w:val="24"/>
        </w:rPr>
        <w:t xml:space="preserve">– </w:t>
      </w:r>
      <w:r w:rsidR="000056CD">
        <w:rPr>
          <w:rFonts w:cs="Times New Roman"/>
          <w:szCs w:val="24"/>
        </w:rPr>
        <w:t xml:space="preserve">Lawyers primary task is to help prepare </w:t>
      </w:r>
      <w:r w:rsidR="00511FA7">
        <w:rPr>
          <w:rFonts w:cs="Times New Roman"/>
          <w:szCs w:val="24"/>
        </w:rPr>
        <w:t>clients</w:t>
      </w:r>
      <w:r w:rsidR="000056CD">
        <w:rPr>
          <w:rFonts w:cs="Times New Roman"/>
          <w:szCs w:val="24"/>
        </w:rPr>
        <w:t xml:space="preserve"> for a mediation by:</w:t>
      </w:r>
    </w:p>
    <w:p w14:paraId="7CAF56A3" w14:textId="76DE1187" w:rsidR="000056CD" w:rsidRPr="00511FA7" w:rsidRDefault="00511FA7" w:rsidP="00A029C0">
      <w:pPr>
        <w:pStyle w:val="NoSpacing"/>
        <w:numPr>
          <w:ilvl w:val="2"/>
          <w:numId w:val="102"/>
        </w:numPr>
        <w:rPr>
          <w:rFonts w:cs="Times New Roman"/>
          <w:szCs w:val="24"/>
        </w:rPr>
      </w:pPr>
      <w:r>
        <w:rPr>
          <w:rFonts w:cs="Times New Roman"/>
          <w:i/>
          <w:szCs w:val="24"/>
        </w:rPr>
        <w:t>Risk analysis</w:t>
      </w:r>
    </w:p>
    <w:p w14:paraId="0F48D50B" w14:textId="77777777" w:rsidR="00DF47F3" w:rsidRPr="00DF47F3" w:rsidRDefault="00DF47F3" w:rsidP="00DF47F3">
      <w:pPr>
        <w:pStyle w:val="NoSpacing"/>
        <w:ind w:left="2160"/>
        <w:rPr>
          <w:rFonts w:cs="Times New Roman"/>
          <w:szCs w:val="24"/>
        </w:rPr>
      </w:pPr>
    </w:p>
    <w:p w14:paraId="40536626" w14:textId="6D6A742D" w:rsidR="00511FA7" w:rsidRPr="00DF47F3" w:rsidRDefault="00511FA7" w:rsidP="00A029C0">
      <w:pPr>
        <w:pStyle w:val="NoSpacing"/>
        <w:numPr>
          <w:ilvl w:val="2"/>
          <w:numId w:val="102"/>
        </w:numPr>
        <w:rPr>
          <w:rFonts w:cs="Times New Roman"/>
          <w:szCs w:val="24"/>
        </w:rPr>
      </w:pPr>
      <w:r>
        <w:rPr>
          <w:rFonts w:cs="Times New Roman"/>
          <w:i/>
          <w:szCs w:val="24"/>
        </w:rPr>
        <w:t>Explaining the nature &amp; possible outcomes of mediation</w:t>
      </w:r>
      <w:r w:rsidR="00DF47F3">
        <w:rPr>
          <w:rFonts w:cs="Times New Roman"/>
          <w:i/>
          <w:szCs w:val="24"/>
        </w:rPr>
        <w:t xml:space="preserve"> –</w:t>
      </w:r>
    </w:p>
    <w:p w14:paraId="63D7E599" w14:textId="77777777" w:rsidR="00DF47F3" w:rsidRDefault="00DF47F3" w:rsidP="00A029C0">
      <w:pPr>
        <w:pStyle w:val="NoSpacing"/>
        <w:numPr>
          <w:ilvl w:val="3"/>
          <w:numId w:val="102"/>
        </w:numPr>
        <w:rPr>
          <w:rFonts w:cs="Times New Roman"/>
          <w:szCs w:val="24"/>
        </w:rPr>
      </w:pPr>
      <w:r>
        <w:rPr>
          <w:rFonts w:cs="Times New Roman"/>
          <w:szCs w:val="24"/>
        </w:rPr>
        <w:t>Include discussion of risks</w:t>
      </w:r>
    </w:p>
    <w:p w14:paraId="27F7CE9F" w14:textId="7BC6A8DB" w:rsidR="00DF47F3" w:rsidRDefault="00DF47F3" w:rsidP="00A029C0">
      <w:pPr>
        <w:pStyle w:val="NoSpacing"/>
        <w:numPr>
          <w:ilvl w:val="3"/>
          <w:numId w:val="102"/>
        </w:numPr>
        <w:rPr>
          <w:rFonts w:cs="Times New Roman"/>
          <w:szCs w:val="24"/>
        </w:rPr>
      </w:pPr>
      <w:r>
        <w:rPr>
          <w:rFonts w:cs="Times New Roman"/>
          <w:szCs w:val="24"/>
        </w:rPr>
        <w:t>Nature of ‘without prejudice’ communications</w:t>
      </w:r>
    </w:p>
    <w:p w14:paraId="2EB617D2" w14:textId="6113911D" w:rsidR="00DF47F3" w:rsidRPr="00511FA7" w:rsidRDefault="00DF47F3" w:rsidP="00A029C0">
      <w:pPr>
        <w:pStyle w:val="NoSpacing"/>
        <w:numPr>
          <w:ilvl w:val="3"/>
          <w:numId w:val="102"/>
        </w:numPr>
        <w:rPr>
          <w:rFonts w:cs="Times New Roman"/>
          <w:szCs w:val="24"/>
        </w:rPr>
      </w:pPr>
      <w:r>
        <w:rPr>
          <w:rFonts w:cs="Times New Roman"/>
          <w:szCs w:val="24"/>
        </w:rPr>
        <w:t xml:space="preserve">Differences of Forum – its not the advocacy skills that are required but rather </w:t>
      </w:r>
      <w:r w:rsidR="003C0AB0">
        <w:rPr>
          <w:rFonts w:cs="Times New Roman"/>
          <w:szCs w:val="24"/>
        </w:rPr>
        <w:t xml:space="preserve">mediation and </w:t>
      </w:r>
      <w:r w:rsidR="006439EB">
        <w:rPr>
          <w:rFonts w:cs="Times New Roman"/>
          <w:szCs w:val="24"/>
        </w:rPr>
        <w:t>negotiation</w:t>
      </w:r>
      <w:r w:rsidR="003C0AB0">
        <w:rPr>
          <w:rFonts w:cs="Times New Roman"/>
          <w:szCs w:val="24"/>
        </w:rPr>
        <w:t xml:space="preserve"> skills.</w:t>
      </w:r>
    </w:p>
    <w:p w14:paraId="509ED28C" w14:textId="77777777" w:rsidR="00DF47F3" w:rsidRPr="00DF47F3" w:rsidRDefault="00DF47F3" w:rsidP="00DF47F3">
      <w:pPr>
        <w:pStyle w:val="NoSpacing"/>
        <w:ind w:left="2160"/>
        <w:rPr>
          <w:rFonts w:cs="Times New Roman"/>
          <w:szCs w:val="24"/>
        </w:rPr>
      </w:pPr>
    </w:p>
    <w:p w14:paraId="20654152" w14:textId="77777777" w:rsidR="00511FA7" w:rsidRPr="00511FA7" w:rsidRDefault="00511FA7" w:rsidP="00A029C0">
      <w:pPr>
        <w:pStyle w:val="NoSpacing"/>
        <w:numPr>
          <w:ilvl w:val="2"/>
          <w:numId w:val="102"/>
        </w:numPr>
        <w:rPr>
          <w:rFonts w:cs="Times New Roman"/>
          <w:szCs w:val="24"/>
        </w:rPr>
      </w:pPr>
      <w:r>
        <w:rPr>
          <w:rFonts w:cs="Times New Roman"/>
          <w:i/>
          <w:szCs w:val="24"/>
        </w:rPr>
        <w:t xml:space="preserve">Identify the relevant interests </w:t>
      </w:r>
    </w:p>
    <w:p w14:paraId="780019AD" w14:textId="77777777" w:rsidR="00DF47F3" w:rsidRPr="00DF47F3" w:rsidRDefault="00DF47F3" w:rsidP="00DF47F3">
      <w:pPr>
        <w:pStyle w:val="NoSpacing"/>
        <w:ind w:left="2160"/>
        <w:rPr>
          <w:rFonts w:cs="Times New Roman"/>
          <w:szCs w:val="24"/>
        </w:rPr>
      </w:pPr>
    </w:p>
    <w:p w14:paraId="6787A4FA" w14:textId="77777777" w:rsidR="00511FA7" w:rsidRPr="00511FA7" w:rsidRDefault="00511FA7" w:rsidP="00A029C0">
      <w:pPr>
        <w:pStyle w:val="NoSpacing"/>
        <w:numPr>
          <w:ilvl w:val="2"/>
          <w:numId w:val="102"/>
        </w:numPr>
        <w:rPr>
          <w:rFonts w:cs="Times New Roman"/>
          <w:szCs w:val="24"/>
        </w:rPr>
      </w:pPr>
      <w:r>
        <w:rPr>
          <w:rFonts w:cs="Times New Roman"/>
          <w:i/>
          <w:szCs w:val="24"/>
        </w:rPr>
        <w:t>Identify the terms of settlement</w:t>
      </w:r>
    </w:p>
    <w:p w14:paraId="36E5F35D" w14:textId="77777777" w:rsidR="00DF47F3" w:rsidRPr="00DF47F3" w:rsidRDefault="00DF47F3" w:rsidP="00DF47F3">
      <w:pPr>
        <w:pStyle w:val="NoSpacing"/>
        <w:ind w:left="2160"/>
        <w:rPr>
          <w:rFonts w:cs="Times New Roman"/>
          <w:szCs w:val="24"/>
        </w:rPr>
      </w:pPr>
    </w:p>
    <w:p w14:paraId="59D101E1" w14:textId="424206A1" w:rsidR="00511FA7" w:rsidRPr="00B77696" w:rsidRDefault="00511FA7" w:rsidP="00A029C0">
      <w:pPr>
        <w:pStyle w:val="NoSpacing"/>
        <w:numPr>
          <w:ilvl w:val="2"/>
          <w:numId w:val="102"/>
        </w:numPr>
        <w:rPr>
          <w:rFonts w:cs="Times New Roman"/>
          <w:szCs w:val="24"/>
        </w:rPr>
      </w:pPr>
      <w:r>
        <w:rPr>
          <w:rFonts w:cs="Times New Roman"/>
          <w:i/>
          <w:szCs w:val="24"/>
        </w:rPr>
        <w:t>Develop strategies to achieve successful outcome &amp; also sensitivity analysis.</w:t>
      </w:r>
    </w:p>
    <w:p w14:paraId="6F2F4EDD" w14:textId="77777777" w:rsidR="00B77696" w:rsidRDefault="00B77696" w:rsidP="00B77696">
      <w:pPr>
        <w:pStyle w:val="ListParagraph"/>
        <w:rPr>
          <w:b/>
          <w:i/>
        </w:rPr>
      </w:pPr>
    </w:p>
    <w:p w14:paraId="357384F3" w14:textId="3BD946EF" w:rsidR="00FB5C3E" w:rsidRPr="00AA5DE5" w:rsidRDefault="0038790E" w:rsidP="00A029C0">
      <w:pPr>
        <w:pStyle w:val="NoSpacing"/>
        <w:numPr>
          <w:ilvl w:val="1"/>
          <w:numId w:val="102"/>
        </w:numPr>
        <w:rPr>
          <w:rFonts w:cs="Times New Roman"/>
          <w:szCs w:val="24"/>
        </w:rPr>
      </w:pPr>
      <w:r w:rsidRPr="00B77696">
        <w:rPr>
          <w:rFonts w:cs="Times New Roman"/>
          <w:b/>
          <w:i/>
          <w:szCs w:val="24"/>
        </w:rPr>
        <w:t>Settlement</w:t>
      </w:r>
      <w:r>
        <w:rPr>
          <w:rFonts w:cs="Times New Roman"/>
          <w:i/>
          <w:szCs w:val="24"/>
        </w:rPr>
        <w:t xml:space="preserve"> – </w:t>
      </w:r>
      <w:r>
        <w:rPr>
          <w:rFonts w:cs="Times New Roman"/>
          <w:szCs w:val="24"/>
        </w:rPr>
        <w:t xml:space="preserve">PCPR 39 – </w:t>
      </w:r>
      <w:r w:rsidR="00FB5C3E">
        <w:rPr>
          <w:rFonts w:cs="Times New Roman"/>
          <w:szCs w:val="24"/>
        </w:rPr>
        <w:t xml:space="preserve"> </w:t>
      </w:r>
      <w:r>
        <w:rPr>
          <w:rFonts w:cs="Times New Roman"/>
          <w:szCs w:val="24"/>
        </w:rPr>
        <w:t xml:space="preserve">Must communicate with clients as to the suitability of any settlements including [39.2] an estimates of the relevant cost factors </w:t>
      </w:r>
      <w:r w:rsidRPr="00234BE4">
        <w:rPr>
          <w:rFonts w:cs="Times New Roman"/>
          <w:i/>
          <w:szCs w:val="24"/>
        </w:rPr>
        <w:t>[see Costs</w:t>
      </w:r>
      <w:r w:rsidR="009D226E" w:rsidRPr="00234BE4">
        <w:rPr>
          <w:rFonts w:cs="Times New Roman"/>
          <w:i/>
          <w:szCs w:val="24"/>
        </w:rPr>
        <w:t xml:space="preserve"> Disclosures</w:t>
      </w:r>
      <w:r w:rsidRPr="00234BE4">
        <w:rPr>
          <w:rFonts w:cs="Times New Roman"/>
          <w:i/>
          <w:szCs w:val="24"/>
        </w:rPr>
        <w:t>]</w:t>
      </w:r>
    </w:p>
    <w:p w14:paraId="7002CE0F" w14:textId="543D9C86" w:rsidR="00AA5DE5" w:rsidRPr="00456181" w:rsidRDefault="00456181" w:rsidP="00A029C0">
      <w:pPr>
        <w:pStyle w:val="NoSpacing"/>
        <w:numPr>
          <w:ilvl w:val="2"/>
          <w:numId w:val="102"/>
        </w:numPr>
        <w:rPr>
          <w:rFonts w:cs="Times New Roman"/>
          <w:szCs w:val="24"/>
        </w:rPr>
      </w:pPr>
      <w:r>
        <w:rPr>
          <w:rFonts w:cs="Times New Roman"/>
          <w:b/>
          <w:i/>
          <w:szCs w:val="24"/>
        </w:rPr>
        <w:t>Legal Services Commission v Mullins</w:t>
      </w:r>
    </w:p>
    <w:p w14:paraId="2F97F58E" w14:textId="77777777" w:rsidR="000C42AB" w:rsidRDefault="000C42AB" w:rsidP="00A029C0">
      <w:pPr>
        <w:pStyle w:val="NoSpacing"/>
        <w:numPr>
          <w:ilvl w:val="3"/>
          <w:numId w:val="102"/>
        </w:numPr>
        <w:rPr>
          <w:rFonts w:cs="Times New Roman"/>
          <w:szCs w:val="24"/>
        </w:rPr>
      </w:pPr>
      <w:r>
        <w:rPr>
          <w:rFonts w:cs="Times New Roman"/>
          <w:szCs w:val="24"/>
        </w:rPr>
        <w:t>Barrister provided:</w:t>
      </w:r>
    </w:p>
    <w:p w14:paraId="291C7749" w14:textId="77777777" w:rsidR="000C42AB" w:rsidRDefault="000C42AB" w:rsidP="00A029C0">
      <w:pPr>
        <w:pStyle w:val="NoSpacing"/>
        <w:numPr>
          <w:ilvl w:val="4"/>
          <w:numId w:val="102"/>
        </w:numPr>
        <w:rPr>
          <w:rFonts w:cs="Times New Roman"/>
          <w:szCs w:val="24"/>
        </w:rPr>
      </w:pPr>
      <w:r>
        <w:rPr>
          <w:rFonts w:cs="Times New Roman"/>
          <w:szCs w:val="24"/>
        </w:rPr>
        <w:lastRenderedPageBreak/>
        <w:t xml:space="preserve">information not correct and </w:t>
      </w:r>
    </w:p>
    <w:p w14:paraId="5AAAB677" w14:textId="4418EF54" w:rsidR="00456181" w:rsidRDefault="000C42AB" w:rsidP="00A029C0">
      <w:pPr>
        <w:pStyle w:val="NoSpacing"/>
        <w:numPr>
          <w:ilvl w:val="4"/>
          <w:numId w:val="102"/>
        </w:numPr>
        <w:rPr>
          <w:rFonts w:cs="Times New Roman"/>
          <w:szCs w:val="24"/>
        </w:rPr>
      </w:pPr>
      <w:r>
        <w:rPr>
          <w:rFonts w:cs="Times New Roman"/>
          <w:szCs w:val="24"/>
        </w:rPr>
        <w:t>Failed to disclosing the fact relating to the clients state of health though crucial for negotiation the barrister intentionally deceived the representatives of the Insurance co about the accuracy of the assumption</w:t>
      </w:r>
    </w:p>
    <w:p w14:paraId="6596A0D1" w14:textId="77777777" w:rsidR="000C42AB" w:rsidRDefault="000C42AB" w:rsidP="000C42AB">
      <w:pPr>
        <w:pStyle w:val="NoSpacing"/>
        <w:ind w:left="3600"/>
        <w:rPr>
          <w:rFonts w:cs="Times New Roman"/>
          <w:szCs w:val="24"/>
        </w:rPr>
      </w:pPr>
    </w:p>
    <w:p w14:paraId="0BA2521E" w14:textId="5EA46A8F" w:rsidR="000C42AB" w:rsidRPr="000C42AB" w:rsidRDefault="000C42AB" w:rsidP="00A029C0">
      <w:pPr>
        <w:pStyle w:val="NoSpacing"/>
        <w:numPr>
          <w:ilvl w:val="2"/>
          <w:numId w:val="102"/>
        </w:numPr>
        <w:rPr>
          <w:rFonts w:cs="Times New Roman"/>
          <w:szCs w:val="24"/>
        </w:rPr>
      </w:pPr>
      <w:r>
        <w:rPr>
          <w:rFonts w:cs="Times New Roman"/>
          <w:b/>
          <w:i/>
          <w:szCs w:val="24"/>
        </w:rPr>
        <w:t>Williams v Commonwealth Bank</w:t>
      </w:r>
    </w:p>
    <w:p w14:paraId="6498DAB8" w14:textId="579CB33C" w:rsidR="000C42AB" w:rsidRDefault="00F94B92" w:rsidP="00A029C0">
      <w:pPr>
        <w:pStyle w:val="NoSpacing"/>
        <w:numPr>
          <w:ilvl w:val="3"/>
          <w:numId w:val="102"/>
        </w:numPr>
        <w:rPr>
          <w:rFonts w:cs="Times New Roman"/>
          <w:szCs w:val="24"/>
        </w:rPr>
      </w:pPr>
      <w:r>
        <w:rPr>
          <w:rFonts w:cs="Times New Roman"/>
          <w:szCs w:val="24"/>
        </w:rPr>
        <w:t>Settlement called off because the bank ‘gagged’ an employee and effectively stopped an employees statement from relieving the truth of what happened.</w:t>
      </w:r>
    </w:p>
    <w:p w14:paraId="60BACC56" w14:textId="77777777" w:rsidR="000C42AB" w:rsidRDefault="000C42AB" w:rsidP="00E64039"/>
    <w:p w14:paraId="2E747AB5" w14:textId="60393054" w:rsidR="00622607" w:rsidRPr="00622607" w:rsidRDefault="00622607" w:rsidP="00A029C0">
      <w:pPr>
        <w:pStyle w:val="NoSpacing"/>
        <w:numPr>
          <w:ilvl w:val="0"/>
          <w:numId w:val="102"/>
        </w:numPr>
      </w:pPr>
      <w:r>
        <w:rPr>
          <w:i/>
          <w:u w:val="single"/>
        </w:rPr>
        <w:t>Trade Practices Act – s52</w:t>
      </w:r>
      <w:r w:rsidRPr="00CA06E6">
        <w:rPr>
          <w:i/>
        </w:rPr>
        <w:t xml:space="preserve"> </w:t>
      </w:r>
      <w:r w:rsidR="00CA06E6" w:rsidRPr="00CA06E6">
        <w:rPr>
          <w:i/>
        </w:rPr>
        <w:t>[see fair trading next page as well]</w:t>
      </w:r>
    </w:p>
    <w:p w14:paraId="755CBBB3" w14:textId="3440D4EE" w:rsidR="00622607" w:rsidRPr="005B5DCC" w:rsidRDefault="007A34AB" w:rsidP="00A029C0">
      <w:pPr>
        <w:pStyle w:val="NoSpacing"/>
        <w:numPr>
          <w:ilvl w:val="1"/>
          <w:numId w:val="102"/>
        </w:numPr>
      </w:pPr>
      <w:r w:rsidRPr="007A34AB">
        <w:rPr>
          <w:b/>
          <w:i/>
          <w:iCs/>
        </w:rPr>
        <w:t>S52</w:t>
      </w:r>
      <w:r>
        <w:rPr>
          <w:i/>
          <w:iCs/>
        </w:rPr>
        <w:t xml:space="preserve"> – </w:t>
      </w:r>
      <w:r w:rsidR="00622607" w:rsidRPr="00622607">
        <w:rPr>
          <w:i/>
          <w:iCs/>
        </w:rPr>
        <w:t>A corporation shall not, in trade or commerce, engage in conduct that is misleading or deceptive or is likely to mislead or deceive.</w:t>
      </w:r>
    </w:p>
    <w:p w14:paraId="18E08E53" w14:textId="2CB8F92B" w:rsidR="005B5DCC" w:rsidRPr="005B5DCC" w:rsidRDefault="005B5DCC" w:rsidP="005B5DCC">
      <w:pPr>
        <w:pStyle w:val="NoSpacing"/>
        <w:ind w:left="1440"/>
      </w:pPr>
    </w:p>
    <w:p w14:paraId="79C0BBA6" w14:textId="77777777" w:rsidR="005B5DCC" w:rsidRPr="0021791C" w:rsidRDefault="005B5DCC" w:rsidP="00A029C0">
      <w:pPr>
        <w:pStyle w:val="NoSpacing"/>
        <w:numPr>
          <w:ilvl w:val="1"/>
          <w:numId w:val="102"/>
        </w:numPr>
      </w:pPr>
      <w:r w:rsidRPr="000111B7">
        <w:rPr>
          <w:b/>
          <w:i/>
        </w:rPr>
        <w:t>Williams v Commonwealth Bank of Australia</w:t>
      </w:r>
    </w:p>
    <w:p w14:paraId="651B48D8" w14:textId="7D1BA0A4" w:rsidR="005B5DCC" w:rsidRDefault="005B5DCC" w:rsidP="00A029C0">
      <w:pPr>
        <w:pStyle w:val="NoSpacing"/>
        <w:numPr>
          <w:ilvl w:val="2"/>
          <w:numId w:val="102"/>
        </w:numPr>
      </w:pPr>
      <w:r>
        <w:rPr>
          <w:i/>
        </w:rPr>
        <w:t xml:space="preserve">Public Interest in ensuring no Court interruption – </w:t>
      </w:r>
      <w:r w:rsidRPr="005B5DCC">
        <w:t xml:space="preserve">s52 of the </w:t>
      </w:r>
      <w:r w:rsidRPr="005B5DCC">
        <w:rPr>
          <w:i/>
          <w:iCs/>
        </w:rPr>
        <w:t xml:space="preserve">Trade Practices Act </w:t>
      </w:r>
      <w:r w:rsidRPr="005B5DCC">
        <w:t xml:space="preserve">dealing with claimed misrepresentations made in the course of settlement negotiations whether in an ordinary commercial context or in the context of a litigious process indicate that the courts are well aware of the need not to be over zealous in interfering with settlement processes because of the public interest which there is in negotiations leading to agreement.  </w:t>
      </w:r>
    </w:p>
    <w:p w14:paraId="0F0AB7D1" w14:textId="77777777" w:rsidR="003D13DB" w:rsidRDefault="003D13DB" w:rsidP="003D13DB">
      <w:pPr>
        <w:pStyle w:val="NoSpacing"/>
      </w:pPr>
    </w:p>
    <w:p w14:paraId="15FED3E5" w14:textId="77777777" w:rsidR="00223BF5" w:rsidRPr="004775E2" w:rsidRDefault="00A726DD" w:rsidP="00A029C0">
      <w:pPr>
        <w:pStyle w:val="NoSpacing"/>
        <w:numPr>
          <w:ilvl w:val="0"/>
          <w:numId w:val="102"/>
        </w:numPr>
        <w:rPr>
          <w:u w:val="single"/>
        </w:rPr>
      </w:pPr>
      <w:r w:rsidRPr="004775E2">
        <w:rPr>
          <w:i/>
          <w:u w:val="single"/>
        </w:rPr>
        <w:t>Fair Trading Act 1999 (Vic)</w:t>
      </w:r>
    </w:p>
    <w:p w14:paraId="11AD380B" w14:textId="17E890BD" w:rsidR="00A726DD" w:rsidRPr="00223BF5" w:rsidRDefault="00223BF5" w:rsidP="00A029C0">
      <w:pPr>
        <w:pStyle w:val="NoSpacing"/>
        <w:numPr>
          <w:ilvl w:val="1"/>
          <w:numId w:val="102"/>
        </w:numPr>
      </w:pPr>
      <w:r>
        <w:t xml:space="preserve">s9(1) – </w:t>
      </w:r>
      <w:r w:rsidR="00A726DD" w:rsidRPr="00223BF5">
        <w:rPr>
          <w:i/>
          <w:iCs/>
        </w:rPr>
        <w:t>A person must not, in trade or commerce, engage in conduct that is misleading or deceptive or is likely to mislead or deceive.</w:t>
      </w:r>
    </w:p>
    <w:p w14:paraId="498301D4" w14:textId="77777777" w:rsidR="00A726DD" w:rsidRPr="00A726DD" w:rsidRDefault="00A726DD" w:rsidP="00A726DD">
      <w:pPr>
        <w:pStyle w:val="NoSpacing"/>
      </w:pPr>
    </w:p>
    <w:p w14:paraId="2B6E5D46" w14:textId="6E966CB7" w:rsidR="00223BF5" w:rsidRPr="005B5DCC" w:rsidRDefault="00CC535F" w:rsidP="00A029C0">
      <w:pPr>
        <w:pStyle w:val="NoSpacing"/>
        <w:numPr>
          <w:ilvl w:val="1"/>
          <w:numId w:val="102"/>
        </w:numPr>
      </w:pPr>
      <w:r>
        <w:rPr>
          <w:b/>
          <w:i/>
          <w:iCs/>
        </w:rPr>
        <w:t xml:space="preserve">Relevant Effect </w:t>
      </w:r>
      <w:r>
        <w:rPr>
          <w:b/>
          <w:iCs/>
        </w:rPr>
        <w:t xml:space="preserve">– </w:t>
      </w:r>
      <w:r>
        <w:rPr>
          <w:iCs/>
        </w:rPr>
        <w:t>The relevant effect of the fair trading in line with s52 of the TPA as another avenue to explore for the client.</w:t>
      </w:r>
    </w:p>
    <w:p w14:paraId="23C33736" w14:textId="77777777" w:rsidR="00A726DD" w:rsidRDefault="00A726DD" w:rsidP="00A726DD">
      <w:pPr>
        <w:pStyle w:val="NoSpacing"/>
      </w:pPr>
    </w:p>
    <w:p w14:paraId="6A065A74" w14:textId="77777777" w:rsidR="00400DEB" w:rsidRDefault="00400DEB" w:rsidP="000E3C20">
      <w:pPr>
        <w:pStyle w:val="NoSpacing"/>
      </w:pPr>
    </w:p>
    <w:p w14:paraId="10C8F241" w14:textId="77777777" w:rsidR="00400DEB" w:rsidRDefault="00400DEB" w:rsidP="000E3C20">
      <w:pPr>
        <w:pStyle w:val="NoSpacing"/>
      </w:pPr>
    </w:p>
    <w:p w14:paraId="1FD3FEA3" w14:textId="77777777" w:rsidR="00400DEB" w:rsidRPr="00ED1E21" w:rsidRDefault="00400DEB" w:rsidP="000E3C20">
      <w:pPr>
        <w:pStyle w:val="NoSpacing"/>
      </w:pPr>
    </w:p>
    <w:sectPr w:rsidR="00400DEB" w:rsidRPr="00ED1E21" w:rsidSect="003D13DB">
      <w:headerReference w:type="default" r:id="rId19"/>
      <w:footerReference w:type="default" r:id="rId20"/>
      <w:pgSz w:w="11906" w:h="16838"/>
      <w:pgMar w:top="36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ABA13" w14:textId="77777777" w:rsidR="00F715BF" w:rsidRDefault="00F715BF" w:rsidP="008D6E62">
      <w:r>
        <w:separator/>
      </w:r>
    </w:p>
  </w:endnote>
  <w:endnote w:type="continuationSeparator" w:id="0">
    <w:p w14:paraId="459FE906" w14:textId="77777777" w:rsidR="00F715BF" w:rsidRDefault="00F715BF" w:rsidP="008D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E2955" w14:textId="6830FDF6" w:rsidR="007B621E" w:rsidRPr="007B621E" w:rsidRDefault="007B621E" w:rsidP="007B621E">
    <w:pPr>
      <w:pStyle w:val="NoSpacing"/>
      <w:rPr>
        <w:i/>
        <w:sz w:val="16"/>
        <w:szCs w:val="16"/>
      </w:rPr>
    </w:pPr>
    <w:r w:rsidRPr="00E347EB">
      <w:rPr>
        <w:rStyle w:val="apple-style-span"/>
        <w:i/>
        <w:sz w:val="16"/>
        <w:szCs w:val="16"/>
      </w:rPr>
      <w:t>Notes by</w:t>
    </w:r>
    <w:r w:rsidRPr="00E347EB">
      <w:rPr>
        <w:rStyle w:val="apple-converted-space"/>
        <w:i/>
        <w:sz w:val="16"/>
        <w:szCs w:val="16"/>
      </w:rPr>
      <w:t> </w:t>
    </w:r>
    <w:r w:rsidRPr="00E347EB">
      <w:rPr>
        <w:rStyle w:val="apple-style-span"/>
        <w:b/>
        <w:i/>
        <w:sz w:val="16"/>
        <w:szCs w:val="16"/>
      </w:rPr>
      <w:t>All Things Law</w:t>
    </w:r>
    <w:r w:rsidRPr="00E347EB">
      <w:rPr>
        <w:rStyle w:val="apple-style-span"/>
        <w:i/>
        <w:sz w:val="16"/>
        <w:szCs w:val="16"/>
      </w:rPr>
      <w:t xml:space="preserve"> </w:t>
    </w:r>
    <w:r>
      <w:rPr>
        <w:rStyle w:val="apple-style-span"/>
        <w:i/>
        <w:sz w:val="16"/>
        <w:szCs w:val="16"/>
      </w:rPr>
      <w:t xml:space="preserve">– </w:t>
    </w:r>
    <w:hyperlink r:id="rId1" w:history="1">
      <w:r w:rsidRPr="00B3656D">
        <w:rPr>
          <w:rStyle w:val="Hyperlink"/>
          <w:i/>
          <w:sz w:val="16"/>
          <w:szCs w:val="16"/>
        </w:rPr>
        <w:t>http://law.timdavis.com.au</w:t>
      </w:r>
    </w:hyperlink>
    <w:r>
      <w:rPr>
        <w:rStyle w:val="apple-style-span"/>
        <w:i/>
        <w:sz w:val="16"/>
        <w:szCs w:val="16"/>
      </w:rPr>
      <w:t xml:space="preserve"> </w:t>
    </w:r>
    <w:r w:rsidRPr="00E347EB">
      <w:rPr>
        <w:rStyle w:val="apple-style-span"/>
        <w:i/>
        <w:sz w:val="16"/>
        <w:szCs w:val="16"/>
      </w:rPr>
      <w:t xml:space="preserve">- A Law Forum to discuss everything about Studying Law - from Law Subjects, Notes and Questions to Law Clerkships and Jobs.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3D085" w14:textId="77777777" w:rsidR="00F715BF" w:rsidRDefault="00F715BF" w:rsidP="008D6E62">
      <w:r>
        <w:separator/>
      </w:r>
    </w:p>
  </w:footnote>
  <w:footnote w:type="continuationSeparator" w:id="0">
    <w:p w14:paraId="2F0D5A5E" w14:textId="77777777" w:rsidR="00F715BF" w:rsidRDefault="00F715BF" w:rsidP="008D6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C34B6" w14:textId="13B4FA50" w:rsidR="007B621E" w:rsidRDefault="007B621E" w:rsidP="007B621E">
    <w:pPr>
      <w:pStyle w:val="Header"/>
      <w:jc w:val="right"/>
    </w:pPr>
    <w:r w:rsidRPr="00E347EB">
      <w:rPr>
        <w:i/>
        <w:noProof/>
        <w:sz w:val="20"/>
        <w:szCs w:val="20"/>
        <w:lang w:val="en-AU" w:eastAsia="en-AU"/>
      </w:rPr>
      <w:drawing>
        <wp:inline distT="0" distB="0" distL="0" distR="0" wp14:editId="01253382">
          <wp:extent cx="550119" cy="335280"/>
          <wp:effectExtent l="0" t="0" r="0" b="0"/>
          <wp:docPr id="8"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9594" cy="3349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68.85pt;height:103.05pt;visibility:visible;mso-wrap-style:square" o:bullet="t">
        <v:imagedata r:id="rId1" o:title=""/>
      </v:shape>
    </w:pict>
  </w:numPicBullet>
  <w:abstractNum w:abstractNumId="0">
    <w:nsid w:val="02605338"/>
    <w:multiLevelType w:val="hybridMultilevel"/>
    <w:tmpl w:val="8C226D32"/>
    <w:lvl w:ilvl="0" w:tplc="04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254F6C"/>
    <w:multiLevelType w:val="hybridMultilevel"/>
    <w:tmpl w:val="631226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6019F3"/>
    <w:multiLevelType w:val="hybridMultilevel"/>
    <w:tmpl w:val="AF0610BE"/>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8BEC64F0">
      <w:start w:val="1"/>
      <w:numFmt w:val="bullet"/>
      <w:lvlText w:val="•"/>
      <w:lvlJc w:val="left"/>
      <w:pPr>
        <w:ind w:left="4320" w:hanging="360"/>
      </w:pPr>
      <w:rPr>
        <w:rFonts w:ascii="Times New Roman" w:eastAsia="Times New Roman" w:hAnsi="Times New Roman" w:cs="Times New Roman"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F3164A"/>
    <w:multiLevelType w:val="hybridMultilevel"/>
    <w:tmpl w:val="2222C032"/>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54B3D5B"/>
    <w:multiLevelType w:val="hybridMultilevel"/>
    <w:tmpl w:val="CA5E0C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312F05"/>
    <w:multiLevelType w:val="hybridMultilevel"/>
    <w:tmpl w:val="0866717C"/>
    <w:lvl w:ilvl="0" w:tplc="04090019">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3B3EF2"/>
    <w:multiLevelType w:val="hybridMultilevel"/>
    <w:tmpl w:val="AF0610BE"/>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8BEC64F0">
      <w:start w:val="1"/>
      <w:numFmt w:val="bullet"/>
      <w:lvlText w:val="•"/>
      <w:lvlJc w:val="left"/>
      <w:pPr>
        <w:ind w:left="4320" w:hanging="360"/>
      </w:pPr>
      <w:rPr>
        <w:rFonts w:ascii="Times New Roman" w:eastAsia="Times New Roman" w:hAnsi="Times New Roman" w:cs="Times New Roman"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7E8763C"/>
    <w:multiLevelType w:val="hybridMultilevel"/>
    <w:tmpl w:val="050CF73E"/>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96E5F1D"/>
    <w:multiLevelType w:val="hybridMultilevel"/>
    <w:tmpl w:val="AF0610BE"/>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8BEC64F0">
      <w:start w:val="1"/>
      <w:numFmt w:val="bullet"/>
      <w:lvlText w:val="•"/>
      <w:lvlJc w:val="left"/>
      <w:pPr>
        <w:ind w:left="4320" w:hanging="360"/>
      </w:pPr>
      <w:rPr>
        <w:rFonts w:ascii="Times New Roman" w:eastAsia="Times New Roman" w:hAnsi="Times New Roman" w:cs="Times New Roman"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B1D0863"/>
    <w:multiLevelType w:val="hybridMultilevel"/>
    <w:tmpl w:val="AC722B6A"/>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DE2852F6">
      <w:start w:val="7"/>
      <w:numFmt w:val="bullet"/>
      <w:lvlText w:val="-"/>
      <w:lvlJc w:val="left"/>
      <w:pPr>
        <w:ind w:left="4320" w:hanging="360"/>
      </w:pPr>
      <w:rPr>
        <w:rFonts w:ascii="Times New Roman" w:eastAsiaTheme="minorHAnsi" w:hAnsi="Times New Roman" w:cs="Times New Roman"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C387E69"/>
    <w:multiLevelType w:val="hybridMultilevel"/>
    <w:tmpl w:val="F0B63E50"/>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99688F"/>
    <w:multiLevelType w:val="hybridMultilevel"/>
    <w:tmpl w:val="D64E1D8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0F015DB2"/>
    <w:multiLevelType w:val="hybridMultilevel"/>
    <w:tmpl w:val="1DE43316"/>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8BEC64F0">
      <w:start w:val="1"/>
      <w:numFmt w:val="bullet"/>
      <w:lvlText w:val="•"/>
      <w:lvlJc w:val="left"/>
      <w:pPr>
        <w:ind w:left="4320" w:hanging="360"/>
      </w:pPr>
      <w:rPr>
        <w:rFonts w:ascii="Times New Roman" w:eastAsia="Times New Roman" w:hAnsi="Times New Roman" w:cs="Times New Roman"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FFE4140"/>
    <w:multiLevelType w:val="hybridMultilevel"/>
    <w:tmpl w:val="8FB0F3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750750"/>
    <w:multiLevelType w:val="hybridMultilevel"/>
    <w:tmpl w:val="6D8615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606D9B"/>
    <w:multiLevelType w:val="hybridMultilevel"/>
    <w:tmpl w:val="404E49CE"/>
    <w:lvl w:ilvl="0" w:tplc="04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8A41A2"/>
    <w:multiLevelType w:val="hybridMultilevel"/>
    <w:tmpl w:val="72AA40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3903F7B"/>
    <w:multiLevelType w:val="hybridMultilevel"/>
    <w:tmpl w:val="9814ABBA"/>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6241A9B"/>
    <w:multiLevelType w:val="hybridMultilevel"/>
    <w:tmpl w:val="66F64734"/>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8BEC64F0">
      <w:start w:val="1"/>
      <w:numFmt w:val="bullet"/>
      <w:lvlText w:val="•"/>
      <w:lvlJc w:val="left"/>
      <w:pPr>
        <w:ind w:left="4320" w:hanging="360"/>
      </w:pPr>
      <w:rPr>
        <w:rFonts w:ascii="Times New Roman" w:eastAsia="Times New Roman" w:hAnsi="Times New Roman" w:cs="Times New Roman"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6ED39B1"/>
    <w:multiLevelType w:val="hybridMultilevel"/>
    <w:tmpl w:val="A22E3902"/>
    <w:lvl w:ilvl="0" w:tplc="C5A03738">
      <w:start w:val="1"/>
      <w:numFmt w:val="decimal"/>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0">
    <w:nsid w:val="170C5F93"/>
    <w:multiLevelType w:val="hybridMultilevel"/>
    <w:tmpl w:val="C9E26BEC"/>
    <w:lvl w:ilvl="0" w:tplc="8EEC65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172F0CFF"/>
    <w:multiLevelType w:val="hybridMultilevel"/>
    <w:tmpl w:val="5A5030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Times New Roman" w:eastAsia="Times New Roman" w:hAnsi="Times New Roman" w:cs="Times New Roman"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2">
    <w:nsid w:val="18437324"/>
    <w:multiLevelType w:val="hybridMultilevel"/>
    <w:tmpl w:val="D64E1D8C"/>
    <w:lvl w:ilvl="0" w:tplc="0C09000F">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C090003" w:tentative="1">
      <w:start w:val="1"/>
      <w:numFmt w:val="lowerLetter"/>
      <w:lvlText w:val="%5."/>
      <w:lvlJc w:val="left"/>
      <w:pPr>
        <w:ind w:left="4320" w:hanging="360"/>
      </w:pPr>
    </w:lvl>
    <w:lvl w:ilvl="5" w:tplc="8BEC64F0"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23">
    <w:nsid w:val="188132E8"/>
    <w:multiLevelType w:val="hybridMultilevel"/>
    <w:tmpl w:val="66F64734"/>
    <w:lvl w:ilvl="0" w:tplc="0C090019">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Times New Roman" w:eastAsia="Times New Roman" w:hAnsi="Times New Roman" w:cs="Times New Roman"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4">
    <w:nsid w:val="18BD4518"/>
    <w:multiLevelType w:val="hybridMultilevel"/>
    <w:tmpl w:val="299476A2"/>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8BEC64F0">
      <w:start w:val="7"/>
      <w:numFmt w:val="bullet"/>
      <w:lvlText w:val="-"/>
      <w:lvlJc w:val="left"/>
      <w:pPr>
        <w:ind w:left="4320" w:hanging="360"/>
      </w:pPr>
      <w:rPr>
        <w:rFonts w:ascii="Times New Roman" w:eastAsiaTheme="minorHAnsi" w:hAnsi="Times New Roman" w:cs="Times New Roman"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8E416CA"/>
    <w:multiLevelType w:val="hybridMultilevel"/>
    <w:tmpl w:val="5A503030"/>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DE2852F6">
      <w:start w:val="1"/>
      <w:numFmt w:val="bullet"/>
      <w:lvlText w:val="•"/>
      <w:lvlJc w:val="left"/>
      <w:pPr>
        <w:ind w:left="4320" w:hanging="360"/>
      </w:pPr>
      <w:rPr>
        <w:rFonts w:ascii="Times New Roman" w:eastAsia="Times New Roman" w:hAnsi="Times New Roman" w:cs="Times New Roman"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9F33B20"/>
    <w:multiLevelType w:val="hybridMultilevel"/>
    <w:tmpl w:val="6952E294"/>
    <w:lvl w:ilvl="0" w:tplc="0C09000F">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C090003" w:tentative="1">
      <w:start w:val="1"/>
      <w:numFmt w:val="lowerLetter"/>
      <w:lvlText w:val="%5."/>
      <w:lvlJc w:val="left"/>
      <w:pPr>
        <w:ind w:left="3600" w:hanging="360"/>
      </w:pPr>
    </w:lvl>
    <w:lvl w:ilvl="5" w:tplc="8BEC64F0"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7">
    <w:nsid w:val="1AD041F8"/>
    <w:multiLevelType w:val="hybridMultilevel"/>
    <w:tmpl w:val="EA2ADC6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8">
    <w:nsid w:val="1CBD2BF6"/>
    <w:multiLevelType w:val="hybridMultilevel"/>
    <w:tmpl w:val="8452AAB6"/>
    <w:lvl w:ilvl="0" w:tplc="04090019">
      <w:start w:val="1"/>
      <w:numFmt w:val="lowerRoman"/>
      <w:lvlText w:val="%1."/>
      <w:lvlJc w:val="right"/>
      <w:pPr>
        <w:ind w:left="2520" w:hanging="360"/>
      </w:p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9">
    <w:nsid w:val="1D2C6755"/>
    <w:multiLevelType w:val="hybridMultilevel"/>
    <w:tmpl w:val="63F2BB7A"/>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8BEC64F0"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1DDD5D94"/>
    <w:multiLevelType w:val="hybridMultilevel"/>
    <w:tmpl w:val="1AAA5D1C"/>
    <w:lvl w:ilvl="0" w:tplc="04090019">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1F0D71DB"/>
    <w:multiLevelType w:val="hybridMultilevel"/>
    <w:tmpl w:val="98AC81BA"/>
    <w:lvl w:ilvl="0" w:tplc="33A22476">
      <w:start w:val="1"/>
      <w:numFmt w:val="decimal"/>
      <w:lvlText w:val="%1."/>
      <w:lvlJc w:val="left"/>
      <w:pPr>
        <w:ind w:left="720" w:hanging="360"/>
      </w:pPr>
      <w:rPr>
        <w:rFonts w:ascii="Times New Roman" w:eastAsiaTheme="minorHAnsi" w:hAnsi="Times New Roman"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214C0702"/>
    <w:multiLevelType w:val="hybridMultilevel"/>
    <w:tmpl w:val="6C94F648"/>
    <w:lvl w:ilvl="0" w:tplc="04090019">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Times New Roman" w:eastAsia="Times New Roman" w:hAnsi="Times New Roman" w:cs="Times New Roman"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3">
    <w:nsid w:val="21A32979"/>
    <w:multiLevelType w:val="hybridMultilevel"/>
    <w:tmpl w:val="8FB0E204"/>
    <w:lvl w:ilvl="0" w:tplc="0C09000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8BEC64F0"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4">
    <w:nsid w:val="22B3786C"/>
    <w:multiLevelType w:val="hybridMultilevel"/>
    <w:tmpl w:val="3D5E8A92"/>
    <w:lvl w:ilvl="0" w:tplc="2716C5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22F843F7"/>
    <w:multiLevelType w:val="hybridMultilevel"/>
    <w:tmpl w:val="2C82F3D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6">
    <w:nsid w:val="24D07460"/>
    <w:multiLevelType w:val="hybridMultilevel"/>
    <w:tmpl w:val="30AA431C"/>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C090003">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7">
    <w:nsid w:val="26346161"/>
    <w:multiLevelType w:val="hybridMultilevel"/>
    <w:tmpl w:val="276C9FC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27041130"/>
    <w:multiLevelType w:val="hybridMultilevel"/>
    <w:tmpl w:val="442CB9D8"/>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27DF5A01"/>
    <w:multiLevelType w:val="hybridMultilevel"/>
    <w:tmpl w:val="2C7A97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285B75CE"/>
    <w:multiLevelType w:val="hybridMultilevel"/>
    <w:tmpl w:val="3D8CADFE"/>
    <w:lvl w:ilvl="0" w:tplc="0C09000F">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BD306CE2"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nsid w:val="2BCE3F2F"/>
    <w:multiLevelType w:val="hybridMultilevel"/>
    <w:tmpl w:val="5A503030"/>
    <w:lvl w:ilvl="0" w:tplc="0C090019">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Times New Roman" w:eastAsia="Times New Roman" w:hAnsi="Times New Roman" w:cs="Times New Roman"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2">
    <w:nsid w:val="2E065D86"/>
    <w:multiLevelType w:val="hybridMultilevel"/>
    <w:tmpl w:val="45089114"/>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8BEC64F0"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3">
    <w:nsid w:val="2E6100B7"/>
    <w:multiLevelType w:val="hybridMultilevel"/>
    <w:tmpl w:val="F0B63E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4">
    <w:nsid w:val="2E634764"/>
    <w:multiLevelType w:val="hybridMultilevel"/>
    <w:tmpl w:val="310ABC7C"/>
    <w:lvl w:ilvl="0" w:tplc="0C09000F">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5">
    <w:nsid w:val="2EE65836"/>
    <w:multiLevelType w:val="hybridMultilevel"/>
    <w:tmpl w:val="5A503030"/>
    <w:lvl w:ilvl="0" w:tplc="04090019">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Times New Roman" w:eastAsia="Times New Roman" w:hAnsi="Times New Roman" w:cs="Times New Roman"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6">
    <w:nsid w:val="2F5D3857"/>
    <w:multiLevelType w:val="hybridMultilevel"/>
    <w:tmpl w:val="301ACC84"/>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8BEC64F0"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47">
    <w:nsid w:val="30F27F4B"/>
    <w:multiLevelType w:val="hybridMultilevel"/>
    <w:tmpl w:val="8B1085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31FB1866"/>
    <w:multiLevelType w:val="hybridMultilevel"/>
    <w:tmpl w:val="4216CD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321C29F1"/>
    <w:multiLevelType w:val="hybridMultilevel"/>
    <w:tmpl w:val="599E96E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323146A7"/>
    <w:multiLevelType w:val="hybridMultilevel"/>
    <w:tmpl w:val="4CFE07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32676371"/>
    <w:multiLevelType w:val="hybridMultilevel"/>
    <w:tmpl w:val="301ACC84"/>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34BA6EF8"/>
    <w:multiLevelType w:val="hybridMultilevel"/>
    <w:tmpl w:val="8B1085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358C72C9"/>
    <w:multiLevelType w:val="hybridMultilevel"/>
    <w:tmpl w:val="AF0610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Times New Roman" w:eastAsia="Times New Roman" w:hAnsi="Times New Roman" w:cs="Times New Roman"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4">
    <w:nsid w:val="361E60C2"/>
    <w:multiLevelType w:val="hybridMultilevel"/>
    <w:tmpl w:val="F0B63E50"/>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8BEC64F0"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3660492B"/>
    <w:multiLevelType w:val="hybridMultilevel"/>
    <w:tmpl w:val="6C78B926"/>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Times New Roman" w:eastAsia="Times New Roman" w:hAnsi="Times New Roman" w:cs="Times New Roman"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36D411B0"/>
    <w:multiLevelType w:val="hybridMultilevel"/>
    <w:tmpl w:val="C23879F4"/>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C090003">
      <w:start w:val="1"/>
      <w:numFmt w:val="lowerLetter"/>
      <w:lvlText w:val="%5."/>
      <w:lvlJc w:val="left"/>
      <w:pPr>
        <w:ind w:left="3600" w:hanging="360"/>
      </w:pPr>
    </w:lvl>
    <w:lvl w:ilvl="5" w:tplc="8BEC64F0"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57">
    <w:nsid w:val="380D7EAC"/>
    <w:multiLevelType w:val="hybridMultilevel"/>
    <w:tmpl w:val="9814AB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58">
    <w:nsid w:val="39286560"/>
    <w:multiLevelType w:val="hybridMultilevel"/>
    <w:tmpl w:val="8FB0F3C0"/>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59">
    <w:nsid w:val="398723AE"/>
    <w:multiLevelType w:val="hybridMultilevel"/>
    <w:tmpl w:val="EC449A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3B432F1E"/>
    <w:multiLevelType w:val="hybridMultilevel"/>
    <w:tmpl w:val="F662D5D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Times New Roman" w:eastAsia="Times New Roman" w:hAnsi="Times New Roman" w:cs="Times New Roman"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1">
    <w:nsid w:val="3C821820"/>
    <w:multiLevelType w:val="hybridMultilevel"/>
    <w:tmpl w:val="BCA48CC6"/>
    <w:lvl w:ilvl="0" w:tplc="04090019">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3DBB64B6"/>
    <w:multiLevelType w:val="hybridMultilevel"/>
    <w:tmpl w:val="1A0EFBD4"/>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8BEC64F0"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63">
    <w:nsid w:val="3DD42967"/>
    <w:multiLevelType w:val="hybridMultilevel"/>
    <w:tmpl w:val="050CF73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4">
    <w:nsid w:val="405A0816"/>
    <w:multiLevelType w:val="hybridMultilevel"/>
    <w:tmpl w:val="DDD62000"/>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65">
    <w:nsid w:val="41075983"/>
    <w:multiLevelType w:val="hybridMultilevel"/>
    <w:tmpl w:val="BF6ADD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42811A91"/>
    <w:multiLevelType w:val="hybridMultilevel"/>
    <w:tmpl w:val="E2BA7B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7">
    <w:nsid w:val="43F4338B"/>
    <w:multiLevelType w:val="hybridMultilevel"/>
    <w:tmpl w:val="AE7A251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68">
    <w:nsid w:val="45510860"/>
    <w:multiLevelType w:val="hybridMultilevel"/>
    <w:tmpl w:val="0A8613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Times New Roman" w:eastAsia="Times New Roman" w:hAnsi="Times New Roman" w:cs="Times New Roman"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9">
    <w:nsid w:val="45F800B5"/>
    <w:multiLevelType w:val="hybridMultilevel"/>
    <w:tmpl w:val="4CFE07AE"/>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C090003" w:tentative="1">
      <w:start w:val="1"/>
      <w:numFmt w:val="lowerLetter"/>
      <w:lvlText w:val="%5."/>
      <w:lvlJc w:val="left"/>
      <w:pPr>
        <w:ind w:left="3600" w:hanging="360"/>
      </w:pPr>
    </w:lvl>
    <w:lvl w:ilvl="5" w:tplc="8BEC64F0"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70">
    <w:nsid w:val="470F48A7"/>
    <w:multiLevelType w:val="hybridMultilevel"/>
    <w:tmpl w:val="D64E1D8C"/>
    <w:lvl w:ilvl="0" w:tplc="0409000F">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nsid w:val="47E318E8"/>
    <w:multiLevelType w:val="hybridMultilevel"/>
    <w:tmpl w:val="183AE438"/>
    <w:lvl w:ilvl="0" w:tplc="0C090019">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482459F7"/>
    <w:multiLevelType w:val="hybridMultilevel"/>
    <w:tmpl w:val="4216CD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489F386A"/>
    <w:multiLevelType w:val="hybridMultilevel"/>
    <w:tmpl w:val="736C52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49700427"/>
    <w:multiLevelType w:val="hybridMultilevel"/>
    <w:tmpl w:val="FE801C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4D474F1A"/>
    <w:multiLevelType w:val="hybridMultilevel"/>
    <w:tmpl w:val="D2B05B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4DD05C0A"/>
    <w:multiLevelType w:val="hybridMultilevel"/>
    <w:tmpl w:val="63F2BB7A"/>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8BEC64F0"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4EF66781"/>
    <w:multiLevelType w:val="hybridMultilevel"/>
    <w:tmpl w:val="1CDA3EA0"/>
    <w:lvl w:ilvl="0" w:tplc="0C09000F">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8">
    <w:nsid w:val="51545B8B"/>
    <w:multiLevelType w:val="hybridMultilevel"/>
    <w:tmpl w:val="7B341F02"/>
    <w:lvl w:ilvl="0" w:tplc="0C090019">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516F6580"/>
    <w:multiLevelType w:val="hybridMultilevel"/>
    <w:tmpl w:val="D64E1D8C"/>
    <w:lvl w:ilvl="0" w:tplc="62028680">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0">
    <w:nsid w:val="523E5227"/>
    <w:multiLevelType w:val="hybridMultilevel"/>
    <w:tmpl w:val="E7C28B44"/>
    <w:lvl w:ilvl="0" w:tplc="0C090019">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530B0BC9"/>
    <w:multiLevelType w:val="hybridMultilevel"/>
    <w:tmpl w:val="2594FE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566063C3"/>
    <w:multiLevelType w:val="hybridMultilevel"/>
    <w:tmpl w:val="E33CFB14"/>
    <w:lvl w:ilvl="0" w:tplc="0C09000F">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BD306CE2"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nsid w:val="56E678F7"/>
    <w:multiLevelType w:val="hybridMultilevel"/>
    <w:tmpl w:val="28105F80"/>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4">
    <w:nsid w:val="5C35156C"/>
    <w:multiLevelType w:val="hybridMultilevel"/>
    <w:tmpl w:val="EFEE21D8"/>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nsid w:val="5CF31E99"/>
    <w:multiLevelType w:val="hybridMultilevel"/>
    <w:tmpl w:val="FE801C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5DD9273E"/>
    <w:multiLevelType w:val="hybridMultilevel"/>
    <w:tmpl w:val="76341B3C"/>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7">
    <w:nsid w:val="5E035E6C"/>
    <w:multiLevelType w:val="hybridMultilevel"/>
    <w:tmpl w:val="AF0610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Times New Roman" w:eastAsia="Times New Roman" w:hAnsi="Times New Roman" w:cs="Times New Roman"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88">
    <w:nsid w:val="5FA330A9"/>
    <w:multiLevelType w:val="hybridMultilevel"/>
    <w:tmpl w:val="EEA0388C"/>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C090003">
      <w:start w:val="1"/>
      <w:numFmt w:val="lowerLetter"/>
      <w:lvlText w:val="%5."/>
      <w:lvlJc w:val="left"/>
      <w:pPr>
        <w:ind w:left="3600" w:hanging="360"/>
      </w:pPr>
    </w:lvl>
    <w:lvl w:ilvl="5" w:tplc="8BEC64F0">
      <w:start w:val="1"/>
      <w:numFmt w:val="lowerRoman"/>
      <w:lvlText w:val="%6."/>
      <w:lvlJc w:val="right"/>
      <w:pPr>
        <w:ind w:left="4320" w:hanging="180"/>
      </w:pPr>
    </w:lvl>
    <w:lvl w:ilvl="6" w:tplc="0C09000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89">
    <w:nsid w:val="62D42F5F"/>
    <w:multiLevelType w:val="hybridMultilevel"/>
    <w:tmpl w:val="8020B7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nsid w:val="63840114"/>
    <w:multiLevelType w:val="hybridMultilevel"/>
    <w:tmpl w:val="098A5DF0"/>
    <w:lvl w:ilvl="0" w:tplc="0C09000F">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1">
    <w:nsid w:val="6ACD7C59"/>
    <w:multiLevelType w:val="hybridMultilevel"/>
    <w:tmpl w:val="8020B7C4"/>
    <w:lvl w:ilvl="0" w:tplc="0C090019">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nsid w:val="6B3E0826"/>
    <w:multiLevelType w:val="hybridMultilevel"/>
    <w:tmpl w:val="F0B63E50"/>
    <w:lvl w:ilvl="0" w:tplc="0C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F">
      <w:start w:val="1"/>
      <w:numFmt w:val="decimal"/>
      <w:lvlText w:val="%4."/>
      <w:lvlJc w:val="left"/>
      <w:pPr>
        <w:ind w:left="2880" w:hanging="360"/>
      </w:pPr>
      <w:rPr>
        <w:rFonts w:hint="default"/>
      </w:rPr>
    </w:lvl>
    <w:lvl w:ilvl="4" w:tplc="0C090003">
      <w:start w:val="1"/>
      <w:numFmt w:val="bullet"/>
      <w:lvlText w:val="o"/>
      <w:lvlJc w:val="left"/>
      <w:pPr>
        <w:ind w:left="3600" w:hanging="360"/>
      </w:pPr>
      <w:rPr>
        <w:rFonts w:ascii="Courier New" w:hAnsi="Courier New" w:cs="Courier New" w:hint="default"/>
      </w:rPr>
    </w:lvl>
    <w:lvl w:ilvl="5" w:tplc="8BEC64F0"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6E091F0D"/>
    <w:multiLevelType w:val="hybridMultilevel"/>
    <w:tmpl w:val="028E7FC2"/>
    <w:lvl w:ilvl="0" w:tplc="62D87D22">
      <w:start w:val="1"/>
      <w:numFmt w:val="decimal"/>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nsid w:val="6E737737"/>
    <w:multiLevelType w:val="hybridMultilevel"/>
    <w:tmpl w:val="EEA038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nsid w:val="6E823E10"/>
    <w:multiLevelType w:val="hybridMultilevel"/>
    <w:tmpl w:val="2C02A9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6">
    <w:nsid w:val="6F0F5670"/>
    <w:multiLevelType w:val="hybridMultilevel"/>
    <w:tmpl w:val="2020E22C"/>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C090003">
      <w:start w:val="1"/>
      <w:numFmt w:val="lowerLetter"/>
      <w:lvlText w:val="%5."/>
      <w:lvlJc w:val="left"/>
      <w:pPr>
        <w:ind w:left="3600" w:hanging="360"/>
      </w:pPr>
    </w:lvl>
    <w:lvl w:ilvl="5" w:tplc="0C090005">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97">
    <w:nsid w:val="6FDA4BEE"/>
    <w:multiLevelType w:val="hybridMultilevel"/>
    <w:tmpl w:val="5684A2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nsid w:val="7029126C"/>
    <w:multiLevelType w:val="hybridMultilevel"/>
    <w:tmpl w:val="7B341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nsid w:val="70A40D08"/>
    <w:multiLevelType w:val="hybridMultilevel"/>
    <w:tmpl w:val="DB889B56"/>
    <w:lvl w:ilvl="0" w:tplc="6202868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nsid w:val="72027FC9"/>
    <w:multiLevelType w:val="hybridMultilevel"/>
    <w:tmpl w:val="5A5030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Times New Roman" w:eastAsia="Times New Roman" w:hAnsi="Times New Roman" w:cs="Times New Roman"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1">
    <w:nsid w:val="74A11286"/>
    <w:multiLevelType w:val="hybridMultilevel"/>
    <w:tmpl w:val="05B0B3AE"/>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C090003">
      <w:start w:val="1"/>
      <w:numFmt w:val="lowerLetter"/>
      <w:lvlText w:val="%5."/>
      <w:lvlJc w:val="left"/>
      <w:pPr>
        <w:ind w:left="3600" w:hanging="360"/>
      </w:pPr>
    </w:lvl>
    <w:lvl w:ilvl="5" w:tplc="8BEC64F0"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02">
    <w:nsid w:val="75230418"/>
    <w:multiLevelType w:val="hybridMultilevel"/>
    <w:tmpl w:val="C98447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nsid w:val="75A87717"/>
    <w:multiLevelType w:val="hybridMultilevel"/>
    <w:tmpl w:val="D17042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nsid w:val="76D22597"/>
    <w:multiLevelType w:val="hybridMultilevel"/>
    <w:tmpl w:val="8B1085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77E3041F"/>
    <w:multiLevelType w:val="hybridMultilevel"/>
    <w:tmpl w:val="5A5030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Times New Roman" w:eastAsia="Times New Roman" w:hAnsi="Times New Roman" w:cs="Times New Roman"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6">
    <w:nsid w:val="790924D7"/>
    <w:multiLevelType w:val="hybridMultilevel"/>
    <w:tmpl w:val="3F7C01DE"/>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C090003">
      <w:start w:val="1"/>
      <w:numFmt w:val="lowerLetter"/>
      <w:lvlText w:val="%5."/>
      <w:lvlJc w:val="left"/>
      <w:pPr>
        <w:ind w:left="3600" w:hanging="360"/>
      </w:pPr>
    </w:lvl>
    <w:lvl w:ilvl="5" w:tplc="8BEC64F0"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07">
    <w:nsid w:val="7A0274C4"/>
    <w:multiLevelType w:val="hybridMultilevel"/>
    <w:tmpl w:val="6246769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8">
    <w:nsid w:val="7D144EA2"/>
    <w:multiLevelType w:val="hybridMultilevel"/>
    <w:tmpl w:val="B1685F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Times New Roman" w:eastAsia="Times New Roman" w:hAnsi="Times New Roman" w:cs="Times New Roman"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9">
    <w:nsid w:val="7D7B27EF"/>
    <w:multiLevelType w:val="hybridMultilevel"/>
    <w:tmpl w:val="70285116"/>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8BEC64F0"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10">
    <w:nsid w:val="7E9A309E"/>
    <w:multiLevelType w:val="hybridMultilevel"/>
    <w:tmpl w:val="B9CC62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nsid w:val="7EA55AA3"/>
    <w:multiLevelType w:val="hybridMultilevel"/>
    <w:tmpl w:val="AF0610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1B">
      <w:start w:val="1"/>
      <w:numFmt w:val="lowerRoman"/>
      <w:lvlText w:val="%3."/>
      <w:lvlJc w:val="right"/>
      <w:pPr>
        <w:ind w:left="2160" w:hanging="360"/>
      </w:pPr>
      <w:rPr>
        <w:rFonts w:hint="default"/>
      </w:rPr>
    </w:lvl>
    <w:lvl w:ilvl="3" w:tplc="0C09000F">
      <w:start w:val="1"/>
      <w:numFmt w:val="decimal"/>
      <w:lvlText w:val="%4."/>
      <w:lvlJc w:val="left"/>
      <w:pPr>
        <w:ind w:left="2880" w:hanging="360"/>
      </w:pPr>
      <w:rPr>
        <w:rFonts w:hint="default"/>
      </w:rPr>
    </w:lvl>
    <w:lvl w:ilvl="4" w:tplc="0C090019">
      <w:start w:val="1"/>
      <w:numFmt w:val="bullet"/>
      <w:lvlText w:val="o"/>
      <w:lvlJc w:val="left"/>
      <w:pPr>
        <w:ind w:left="3600" w:hanging="360"/>
      </w:pPr>
      <w:rPr>
        <w:rFonts w:ascii="Courier New" w:hAnsi="Courier New" w:cs="Courier New" w:hint="default"/>
      </w:rPr>
    </w:lvl>
    <w:lvl w:ilvl="5" w:tplc="0C09001B">
      <w:start w:val="1"/>
      <w:numFmt w:val="bullet"/>
      <w:lvlText w:val="•"/>
      <w:lvlJc w:val="left"/>
      <w:pPr>
        <w:ind w:left="4320" w:hanging="360"/>
      </w:pPr>
      <w:rPr>
        <w:rFonts w:ascii="Times New Roman" w:eastAsia="Times New Roman" w:hAnsi="Times New Roman" w:cs="Times New Roman"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69"/>
  </w:num>
  <w:num w:numId="4">
    <w:abstractNumId w:val="50"/>
  </w:num>
  <w:num w:numId="5">
    <w:abstractNumId w:val="15"/>
  </w:num>
  <w:num w:numId="6">
    <w:abstractNumId w:val="81"/>
  </w:num>
  <w:num w:numId="7">
    <w:abstractNumId w:val="51"/>
  </w:num>
  <w:num w:numId="8">
    <w:abstractNumId w:val="46"/>
  </w:num>
  <w:num w:numId="9">
    <w:abstractNumId w:val="28"/>
  </w:num>
  <w:num w:numId="10">
    <w:abstractNumId w:val="54"/>
  </w:num>
  <w:num w:numId="11">
    <w:abstractNumId w:val="39"/>
  </w:num>
  <w:num w:numId="12">
    <w:abstractNumId w:val="0"/>
  </w:num>
  <w:num w:numId="13">
    <w:abstractNumId w:val="26"/>
  </w:num>
  <w:num w:numId="14">
    <w:abstractNumId w:val="5"/>
  </w:num>
  <w:num w:numId="15">
    <w:abstractNumId w:val="17"/>
  </w:num>
  <w:num w:numId="16">
    <w:abstractNumId w:val="57"/>
  </w:num>
  <w:num w:numId="17">
    <w:abstractNumId w:val="63"/>
  </w:num>
  <w:num w:numId="18">
    <w:abstractNumId w:val="35"/>
  </w:num>
  <w:num w:numId="19">
    <w:abstractNumId w:val="67"/>
  </w:num>
  <w:num w:numId="20">
    <w:abstractNumId w:val="7"/>
  </w:num>
  <w:num w:numId="21">
    <w:abstractNumId w:val="95"/>
  </w:num>
  <w:num w:numId="22">
    <w:abstractNumId w:val="9"/>
  </w:num>
  <w:num w:numId="23">
    <w:abstractNumId w:val="75"/>
  </w:num>
  <w:num w:numId="24">
    <w:abstractNumId w:val="21"/>
  </w:num>
  <w:num w:numId="25">
    <w:abstractNumId w:val="24"/>
  </w:num>
  <w:num w:numId="26">
    <w:abstractNumId w:val="44"/>
  </w:num>
  <w:num w:numId="27">
    <w:abstractNumId w:val="14"/>
  </w:num>
  <w:num w:numId="28">
    <w:abstractNumId w:val="80"/>
  </w:num>
  <w:num w:numId="29">
    <w:abstractNumId w:val="109"/>
  </w:num>
  <w:num w:numId="30">
    <w:abstractNumId w:val="105"/>
  </w:num>
  <w:num w:numId="31">
    <w:abstractNumId w:val="100"/>
  </w:num>
  <w:num w:numId="32">
    <w:abstractNumId w:val="42"/>
  </w:num>
  <w:num w:numId="33">
    <w:abstractNumId w:val="110"/>
  </w:num>
  <w:num w:numId="34">
    <w:abstractNumId w:val="45"/>
  </w:num>
  <w:num w:numId="35">
    <w:abstractNumId w:val="23"/>
  </w:num>
  <w:num w:numId="36">
    <w:abstractNumId w:val="97"/>
  </w:num>
  <w:num w:numId="37">
    <w:abstractNumId w:val="40"/>
  </w:num>
  <w:num w:numId="38">
    <w:abstractNumId w:val="101"/>
  </w:num>
  <w:num w:numId="39">
    <w:abstractNumId w:val="18"/>
  </w:num>
  <w:num w:numId="40">
    <w:abstractNumId w:val="32"/>
  </w:num>
  <w:num w:numId="41">
    <w:abstractNumId w:val="38"/>
  </w:num>
  <w:num w:numId="42">
    <w:abstractNumId w:val="103"/>
  </w:num>
  <w:num w:numId="43">
    <w:abstractNumId w:val="19"/>
  </w:num>
  <w:num w:numId="44">
    <w:abstractNumId w:val="16"/>
  </w:num>
  <w:num w:numId="45">
    <w:abstractNumId w:val="99"/>
  </w:num>
  <w:num w:numId="46">
    <w:abstractNumId w:val="85"/>
  </w:num>
  <w:num w:numId="47">
    <w:abstractNumId w:val="20"/>
  </w:num>
  <w:num w:numId="48">
    <w:abstractNumId w:val="83"/>
  </w:num>
  <w:num w:numId="49">
    <w:abstractNumId w:val="78"/>
  </w:num>
  <w:num w:numId="50">
    <w:abstractNumId w:val="74"/>
  </w:num>
  <w:num w:numId="51">
    <w:abstractNumId w:val="34"/>
  </w:num>
  <w:num w:numId="52">
    <w:abstractNumId w:val="98"/>
  </w:num>
  <w:num w:numId="53">
    <w:abstractNumId w:val="33"/>
  </w:num>
  <w:num w:numId="54">
    <w:abstractNumId w:val="41"/>
  </w:num>
  <w:num w:numId="55">
    <w:abstractNumId w:val="25"/>
  </w:num>
  <w:num w:numId="56">
    <w:abstractNumId w:val="2"/>
  </w:num>
  <w:num w:numId="57">
    <w:abstractNumId w:val="6"/>
  </w:num>
  <w:num w:numId="58">
    <w:abstractNumId w:val="111"/>
  </w:num>
  <w:num w:numId="59">
    <w:abstractNumId w:val="53"/>
  </w:num>
  <w:num w:numId="60">
    <w:abstractNumId w:val="87"/>
  </w:num>
  <w:num w:numId="61">
    <w:abstractNumId w:val="8"/>
  </w:num>
  <w:num w:numId="62">
    <w:abstractNumId w:val="108"/>
  </w:num>
  <w:num w:numId="63">
    <w:abstractNumId w:val="68"/>
  </w:num>
  <w:num w:numId="64">
    <w:abstractNumId w:val="60"/>
  </w:num>
  <w:num w:numId="65">
    <w:abstractNumId w:val="104"/>
  </w:num>
  <w:num w:numId="66">
    <w:abstractNumId w:val="12"/>
  </w:num>
  <w:num w:numId="67">
    <w:abstractNumId w:val="55"/>
  </w:num>
  <w:num w:numId="68">
    <w:abstractNumId w:val="96"/>
  </w:num>
  <w:num w:numId="69">
    <w:abstractNumId w:val="94"/>
  </w:num>
  <w:num w:numId="70">
    <w:abstractNumId w:val="88"/>
  </w:num>
  <w:num w:numId="71">
    <w:abstractNumId w:val="52"/>
  </w:num>
  <w:num w:numId="72">
    <w:abstractNumId w:val="71"/>
  </w:num>
  <w:num w:numId="73">
    <w:abstractNumId w:val="62"/>
  </w:num>
  <w:num w:numId="74">
    <w:abstractNumId w:val="90"/>
  </w:num>
  <w:num w:numId="75">
    <w:abstractNumId w:val="10"/>
  </w:num>
  <w:num w:numId="76">
    <w:abstractNumId w:val="43"/>
  </w:num>
  <w:num w:numId="77">
    <w:abstractNumId w:val="107"/>
  </w:num>
  <w:num w:numId="78">
    <w:abstractNumId w:val="66"/>
  </w:num>
  <w:num w:numId="79">
    <w:abstractNumId w:val="89"/>
  </w:num>
  <w:num w:numId="80">
    <w:abstractNumId w:val="91"/>
  </w:num>
  <w:num w:numId="81">
    <w:abstractNumId w:val="36"/>
  </w:num>
  <w:num w:numId="82">
    <w:abstractNumId w:val="58"/>
  </w:num>
  <w:num w:numId="83">
    <w:abstractNumId w:val="13"/>
  </w:num>
  <w:num w:numId="84">
    <w:abstractNumId w:val="102"/>
  </w:num>
  <w:num w:numId="85">
    <w:abstractNumId w:val="1"/>
  </w:num>
  <w:num w:numId="86">
    <w:abstractNumId w:val="4"/>
  </w:num>
  <w:num w:numId="87">
    <w:abstractNumId w:val="84"/>
  </w:num>
  <w:num w:numId="88">
    <w:abstractNumId w:val="70"/>
  </w:num>
  <w:num w:numId="89">
    <w:abstractNumId w:val="106"/>
  </w:num>
  <w:num w:numId="90">
    <w:abstractNumId w:val="22"/>
  </w:num>
  <w:num w:numId="91">
    <w:abstractNumId w:val="11"/>
  </w:num>
  <w:num w:numId="92">
    <w:abstractNumId w:val="79"/>
  </w:num>
  <w:num w:numId="93">
    <w:abstractNumId w:val="77"/>
  </w:num>
  <w:num w:numId="94">
    <w:abstractNumId w:val="56"/>
  </w:num>
  <w:num w:numId="95">
    <w:abstractNumId w:val="82"/>
  </w:num>
  <w:num w:numId="96">
    <w:abstractNumId w:val="64"/>
  </w:num>
  <w:num w:numId="97">
    <w:abstractNumId w:val="59"/>
  </w:num>
  <w:num w:numId="98">
    <w:abstractNumId w:val="47"/>
  </w:num>
  <w:num w:numId="99">
    <w:abstractNumId w:val="48"/>
  </w:num>
  <w:num w:numId="100">
    <w:abstractNumId w:val="72"/>
  </w:num>
  <w:num w:numId="101">
    <w:abstractNumId w:val="65"/>
  </w:num>
  <w:num w:numId="102">
    <w:abstractNumId w:val="73"/>
  </w:num>
  <w:num w:numId="103">
    <w:abstractNumId w:val="92"/>
  </w:num>
  <w:num w:numId="104">
    <w:abstractNumId w:val="29"/>
  </w:num>
  <w:num w:numId="105">
    <w:abstractNumId w:val="61"/>
  </w:num>
  <w:num w:numId="106">
    <w:abstractNumId w:val="30"/>
  </w:num>
  <w:num w:numId="107">
    <w:abstractNumId w:val="86"/>
  </w:num>
  <w:num w:numId="108">
    <w:abstractNumId w:val="27"/>
  </w:num>
  <w:num w:numId="109">
    <w:abstractNumId w:val="49"/>
  </w:num>
  <w:num w:numId="110">
    <w:abstractNumId w:val="3"/>
  </w:num>
  <w:num w:numId="111">
    <w:abstractNumId w:val="93"/>
  </w:num>
  <w:num w:numId="112">
    <w:abstractNumId w:val="7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BF"/>
    <w:rsid w:val="00000838"/>
    <w:rsid w:val="0000137D"/>
    <w:rsid w:val="00002DB3"/>
    <w:rsid w:val="00002E7C"/>
    <w:rsid w:val="00002FC1"/>
    <w:rsid w:val="00004266"/>
    <w:rsid w:val="000042AF"/>
    <w:rsid w:val="000042F4"/>
    <w:rsid w:val="00004328"/>
    <w:rsid w:val="00004C6F"/>
    <w:rsid w:val="000056CD"/>
    <w:rsid w:val="00005D3F"/>
    <w:rsid w:val="000079A8"/>
    <w:rsid w:val="000100BF"/>
    <w:rsid w:val="00010511"/>
    <w:rsid w:val="0001081D"/>
    <w:rsid w:val="000110A0"/>
    <w:rsid w:val="000111B7"/>
    <w:rsid w:val="00012D36"/>
    <w:rsid w:val="000130C3"/>
    <w:rsid w:val="00013745"/>
    <w:rsid w:val="00014008"/>
    <w:rsid w:val="000151E2"/>
    <w:rsid w:val="000154F7"/>
    <w:rsid w:val="0001592E"/>
    <w:rsid w:val="000159F4"/>
    <w:rsid w:val="00015CE0"/>
    <w:rsid w:val="00016081"/>
    <w:rsid w:val="000164FA"/>
    <w:rsid w:val="0001687C"/>
    <w:rsid w:val="00017CBE"/>
    <w:rsid w:val="00017DC1"/>
    <w:rsid w:val="000207D8"/>
    <w:rsid w:val="0002085E"/>
    <w:rsid w:val="00022447"/>
    <w:rsid w:val="00022477"/>
    <w:rsid w:val="00022B13"/>
    <w:rsid w:val="00022E62"/>
    <w:rsid w:val="00024733"/>
    <w:rsid w:val="00024BE2"/>
    <w:rsid w:val="00025BA6"/>
    <w:rsid w:val="00025D5E"/>
    <w:rsid w:val="00025F96"/>
    <w:rsid w:val="00026191"/>
    <w:rsid w:val="00026AA7"/>
    <w:rsid w:val="00026C13"/>
    <w:rsid w:val="00027A95"/>
    <w:rsid w:val="00027BFE"/>
    <w:rsid w:val="0003136C"/>
    <w:rsid w:val="000314FF"/>
    <w:rsid w:val="0003164D"/>
    <w:rsid w:val="00031BC8"/>
    <w:rsid w:val="00031D14"/>
    <w:rsid w:val="000333D1"/>
    <w:rsid w:val="0003362F"/>
    <w:rsid w:val="000337AA"/>
    <w:rsid w:val="0003406D"/>
    <w:rsid w:val="000348AB"/>
    <w:rsid w:val="00035374"/>
    <w:rsid w:val="00035F09"/>
    <w:rsid w:val="00036B6B"/>
    <w:rsid w:val="00037722"/>
    <w:rsid w:val="0004060C"/>
    <w:rsid w:val="00041847"/>
    <w:rsid w:val="00041871"/>
    <w:rsid w:val="0004208B"/>
    <w:rsid w:val="000420A1"/>
    <w:rsid w:val="00042A13"/>
    <w:rsid w:val="00042DC1"/>
    <w:rsid w:val="000435CA"/>
    <w:rsid w:val="0004465B"/>
    <w:rsid w:val="00044956"/>
    <w:rsid w:val="00044B81"/>
    <w:rsid w:val="00044C22"/>
    <w:rsid w:val="00045B0B"/>
    <w:rsid w:val="00045C70"/>
    <w:rsid w:val="00045F7E"/>
    <w:rsid w:val="00046E5D"/>
    <w:rsid w:val="00047B8C"/>
    <w:rsid w:val="00047E9E"/>
    <w:rsid w:val="0005153C"/>
    <w:rsid w:val="000515B9"/>
    <w:rsid w:val="00051CC6"/>
    <w:rsid w:val="000521E9"/>
    <w:rsid w:val="00052FA4"/>
    <w:rsid w:val="00052FD6"/>
    <w:rsid w:val="00053B66"/>
    <w:rsid w:val="00053EED"/>
    <w:rsid w:val="00054015"/>
    <w:rsid w:val="00055D8B"/>
    <w:rsid w:val="00055D9F"/>
    <w:rsid w:val="00056395"/>
    <w:rsid w:val="000564FD"/>
    <w:rsid w:val="00056E4F"/>
    <w:rsid w:val="000571F4"/>
    <w:rsid w:val="00057E25"/>
    <w:rsid w:val="00060916"/>
    <w:rsid w:val="000616BC"/>
    <w:rsid w:val="00061AC0"/>
    <w:rsid w:val="000627C2"/>
    <w:rsid w:val="00063645"/>
    <w:rsid w:val="00063701"/>
    <w:rsid w:val="00063CEC"/>
    <w:rsid w:val="0006419A"/>
    <w:rsid w:val="00065393"/>
    <w:rsid w:val="000653EF"/>
    <w:rsid w:val="000657E5"/>
    <w:rsid w:val="00065B30"/>
    <w:rsid w:val="0006634C"/>
    <w:rsid w:val="00066944"/>
    <w:rsid w:val="00066BC2"/>
    <w:rsid w:val="00066CB9"/>
    <w:rsid w:val="00066D53"/>
    <w:rsid w:val="00066E65"/>
    <w:rsid w:val="000676EC"/>
    <w:rsid w:val="000713B8"/>
    <w:rsid w:val="00072451"/>
    <w:rsid w:val="00072463"/>
    <w:rsid w:val="00072E55"/>
    <w:rsid w:val="00073A8C"/>
    <w:rsid w:val="00073AFF"/>
    <w:rsid w:val="00073F5F"/>
    <w:rsid w:val="000741BC"/>
    <w:rsid w:val="0007464F"/>
    <w:rsid w:val="000747C1"/>
    <w:rsid w:val="00076BE9"/>
    <w:rsid w:val="00076E92"/>
    <w:rsid w:val="0007708E"/>
    <w:rsid w:val="00077C92"/>
    <w:rsid w:val="00077DC2"/>
    <w:rsid w:val="000800DD"/>
    <w:rsid w:val="00081B29"/>
    <w:rsid w:val="00081E15"/>
    <w:rsid w:val="000822C2"/>
    <w:rsid w:val="000835E1"/>
    <w:rsid w:val="000848E5"/>
    <w:rsid w:val="00085C6F"/>
    <w:rsid w:val="00086A09"/>
    <w:rsid w:val="00086AEC"/>
    <w:rsid w:val="00086F62"/>
    <w:rsid w:val="00087CED"/>
    <w:rsid w:val="00091E59"/>
    <w:rsid w:val="00092080"/>
    <w:rsid w:val="0009212A"/>
    <w:rsid w:val="00092681"/>
    <w:rsid w:val="000945DA"/>
    <w:rsid w:val="00096170"/>
    <w:rsid w:val="00096645"/>
    <w:rsid w:val="00096DBC"/>
    <w:rsid w:val="000971BE"/>
    <w:rsid w:val="00097B27"/>
    <w:rsid w:val="000A0364"/>
    <w:rsid w:val="000A080E"/>
    <w:rsid w:val="000A0EC5"/>
    <w:rsid w:val="000A1140"/>
    <w:rsid w:val="000A1182"/>
    <w:rsid w:val="000A1443"/>
    <w:rsid w:val="000A153E"/>
    <w:rsid w:val="000A2107"/>
    <w:rsid w:val="000A24FC"/>
    <w:rsid w:val="000A2651"/>
    <w:rsid w:val="000A2B4A"/>
    <w:rsid w:val="000A2D0C"/>
    <w:rsid w:val="000A2DDC"/>
    <w:rsid w:val="000A367F"/>
    <w:rsid w:val="000A3949"/>
    <w:rsid w:val="000A3AF1"/>
    <w:rsid w:val="000A417A"/>
    <w:rsid w:val="000A4D90"/>
    <w:rsid w:val="000A4D94"/>
    <w:rsid w:val="000A4DEB"/>
    <w:rsid w:val="000A4FF1"/>
    <w:rsid w:val="000A5082"/>
    <w:rsid w:val="000A527D"/>
    <w:rsid w:val="000A5B76"/>
    <w:rsid w:val="000A617F"/>
    <w:rsid w:val="000A647E"/>
    <w:rsid w:val="000A6C17"/>
    <w:rsid w:val="000B005E"/>
    <w:rsid w:val="000B0204"/>
    <w:rsid w:val="000B0288"/>
    <w:rsid w:val="000B2A28"/>
    <w:rsid w:val="000B342E"/>
    <w:rsid w:val="000B3607"/>
    <w:rsid w:val="000B390A"/>
    <w:rsid w:val="000B4323"/>
    <w:rsid w:val="000B4A46"/>
    <w:rsid w:val="000B51CF"/>
    <w:rsid w:val="000B60F7"/>
    <w:rsid w:val="000B691F"/>
    <w:rsid w:val="000B69D3"/>
    <w:rsid w:val="000B6F02"/>
    <w:rsid w:val="000B7662"/>
    <w:rsid w:val="000C18BB"/>
    <w:rsid w:val="000C293B"/>
    <w:rsid w:val="000C3BC4"/>
    <w:rsid w:val="000C3CE7"/>
    <w:rsid w:val="000C42AB"/>
    <w:rsid w:val="000C42EF"/>
    <w:rsid w:val="000C42FA"/>
    <w:rsid w:val="000C6321"/>
    <w:rsid w:val="000C6670"/>
    <w:rsid w:val="000C68F7"/>
    <w:rsid w:val="000C7CE7"/>
    <w:rsid w:val="000D089F"/>
    <w:rsid w:val="000D1AE3"/>
    <w:rsid w:val="000D2D1F"/>
    <w:rsid w:val="000D3325"/>
    <w:rsid w:val="000D3B59"/>
    <w:rsid w:val="000D40C6"/>
    <w:rsid w:val="000D4885"/>
    <w:rsid w:val="000D49ED"/>
    <w:rsid w:val="000D52AD"/>
    <w:rsid w:val="000D534A"/>
    <w:rsid w:val="000D542D"/>
    <w:rsid w:val="000D555C"/>
    <w:rsid w:val="000D5B60"/>
    <w:rsid w:val="000D61DA"/>
    <w:rsid w:val="000E07C8"/>
    <w:rsid w:val="000E3077"/>
    <w:rsid w:val="000E3C01"/>
    <w:rsid w:val="000E3C20"/>
    <w:rsid w:val="000E43CA"/>
    <w:rsid w:val="000E4A06"/>
    <w:rsid w:val="000E4CE5"/>
    <w:rsid w:val="000E51CF"/>
    <w:rsid w:val="000E57F5"/>
    <w:rsid w:val="000E5943"/>
    <w:rsid w:val="000E5C3C"/>
    <w:rsid w:val="000E6082"/>
    <w:rsid w:val="000E77BF"/>
    <w:rsid w:val="000E7B06"/>
    <w:rsid w:val="000E7B32"/>
    <w:rsid w:val="000E7F8E"/>
    <w:rsid w:val="000F0212"/>
    <w:rsid w:val="000F0BE1"/>
    <w:rsid w:val="000F1472"/>
    <w:rsid w:val="000F1D5D"/>
    <w:rsid w:val="000F1D6E"/>
    <w:rsid w:val="000F2F33"/>
    <w:rsid w:val="000F3815"/>
    <w:rsid w:val="000F44B8"/>
    <w:rsid w:val="000F45CC"/>
    <w:rsid w:val="000F4E83"/>
    <w:rsid w:val="000F5DDE"/>
    <w:rsid w:val="000F661C"/>
    <w:rsid w:val="000F6BD4"/>
    <w:rsid w:val="000F795C"/>
    <w:rsid w:val="0010076A"/>
    <w:rsid w:val="00100996"/>
    <w:rsid w:val="00101067"/>
    <w:rsid w:val="0010197A"/>
    <w:rsid w:val="001030EA"/>
    <w:rsid w:val="00105F48"/>
    <w:rsid w:val="00107204"/>
    <w:rsid w:val="00107391"/>
    <w:rsid w:val="001074B2"/>
    <w:rsid w:val="0011042A"/>
    <w:rsid w:val="001108BF"/>
    <w:rsid w:val="00110989"/>
    <w:rsid w:val="00110F44"/>
    <w:rsid w:val="0011291E"/>
    <w:rsid w:val="00112D4B"/>
    <w:rsid w:val="00112D9E"/>
    <w:rsid w:val="00113CCF"/>
    <w:rsid w:val="00113CF7"/>
    <w:rsid w:val="0011568F"/>
    <w:rsid w:val="00115A71"/>
    <w:rsid w:val="00116ECC"/>
    <w:rsid w:val="00117965"/>
    <w:rsid w:val="001217E8"/>
    <w:rsid w:val="00122098"/>
    <w:rsid w:val="00122350"/>
    <w:rsid w:val="001223C8"/>
    <w:rsid w:val="00122725"/>
    <w:rsid w:val="00123014"/>
    <w:rsid w:val="00123751"/>
    <w:rsid w:val="00123936"/>
    <w:rsid w:val="00123A93"/>
    <w:rsid w:val="00124771"/>
    <w:rsid w:val="00124885"/>
    <w:rsid w:val="00126045"/>
    <w:rsid w:val="001266F0"/>
    <w:rsid w:val="0012688B"/>
    <w:rsid w:val="00131162"/>
    <w:rsid w:val="00131953"/>
    <w:rsid w:val="00132B4F"/>
    <w:rsid w:val="001347DC"/>
    <w:rsid w:val="00134EBD"/>
    <w:rsid w:val="00135803"/>
    <w:rsid w:val="001370A0"/>
    <w:rsid w:val="001379DC"/>
    <w:rsid w:val="00137E9C"/>
    <w:rsid w:val="00137F4D"/>
    <w:rsid w:val="00140DF6"/>
    <w:rsid w:val="0014124F"/>
    <w:rsid w:val="0014187D"/>
    <w:rsid w:val="0014222F"/>
    <w:rsid w:val="0014262D"/>
    <w:rsid w:val="001435F2"/>
    <w:rsid w:val="00143DE6"/>
    <w:rsid w:val="00145331"/>
    <w:rsid w:val="00145E27"/>
    <w:rsid w:val="00147240"/>
    <w:rsid w:val="00147856"/>
    <w:rsid w:val="00147C91"/>
    <w:rsid w:val="00147F34"/>
    <w:rsid w:val="001509DE"/>
    <w:rsid w:val="00150A63"/>
    <w:rsid w:val="00150F4C"/>
    <w:rsid w:val="0015243A"/>
    <w:rsid w:val="00152AA7"/>
    <w:rsid w:val="00152BBE"/>
    <w:rsid w:val="00153409"/>
    <w:rsid w:val="00153828"/>
    <w:rsid w:val="0015382F"/>
    <w:rsid w:val="00155109"/>
    <w:rsid w:val="00156200"/>
    <w:rsid w:val="001568AB"/>
    <w:rsid w:val="00156C86"/>
    <w:rsid w:val="0015798B"/>
    <w:rsid w:val="00157E81"/>
    <w:rsid w:val="0016007C"/>
    <w:rsid w:val="0016040D"/>
    <w:rsid w:val="001641C6"/>
    <w:rsid w:val="00164D04"/>
    <w:rsid w:val="001679FE"/>
    <w:rsid w:val="00167BEE"/>
    <w:rsid w:val="00167C9E"/>
    <w:rsid w:val="00167CA8"/>
    <w:rsid w:val="00170368"/>
    <w:rsid w:val="00170F17"/>
    <w:rsid w:val="00171499"/>
    <w:rsid w:val="0017238B"/>
    <w:rsid w:val="00172496"/>
    <w:rsid w:val="001744B0"/>
    <w:rsid w:val="0017512C"/>
    <w:rsid w:val="0017547C"/>
    <w:rsid w:val="00175623"/>
    <w:rsid w:val="00176A3F"/>
    <w:rsid w:val="001772BA"/>
    <w:rsid w:val="001801D1"/>
    <w:rsid w:val="00180568"/>
    <w:rsid w:val="00180C6A"/>
    <w:rsid w:val="00181C19"/>
    <w:rsid w:val="00181D93"/>
    <w:rsid w:val="0018221A"/>
    <w:rsid w:val="00182A9A"/>
    <w:rsid w:val="00182F0C"/>
    <w:rsid w:val="001838EF"/>
    <w:rsid w:val="00183F22"/>
    <w:rsid w:val="001848C3"/>
    <w:rsid w:val="0018592B"/>
    <w:rsid w:val="00185AA6"/>
    <w:rsid w:val="00185B28"/>
    <w:rsid w:val="00186616"/>
    <w:rsid w:val="00187285"/>
    <w:rsid w:val="001875EC"/>
    <w:rsid w:val="00191434"/>
    <w:rsid w:val="001916C5"/>
    <w:rsid w:val="0019274D"/>
    <w:rsid w:val="00193657"/>
    <w:rsid w:val="0019365B"/>
    <w:rsid w:val="00193FEA"/>
    <w:rsid w:val="001942D8"/>
    <w:rsid w:val="001A0744"/>
    <w:rsid w:val="001A07E0"/>
    <w:rsid w:val="001A091B"/>
    <w:rsid w:val="001A1A7D"/>
    <w:rsid w:val="001A2A21"/>
    <w:rsid w:val="001A2E3C"/>
    <w:rsid w:val="001A31F7"/>
    <w:rsid w:val="001A348B"/>
    <w:rsid w:val="001A4AB3"/>
    <w:rsid w:val="001A533F"/>
    <w:rsid w:val="001A6CA2"/>
    <w:rsid w:val="001A6CC3"/>
    <w:rsid w:val="001A7A8A"/>
    <w:rsid w:val="001B03A4"/>
    <w:rsid w:val="001B0697"/>
    <w:rsid w:val="001B12C2"/>
    <w:rsid w:val="001B13A7"/>
    <w:rsid w:val="001B1BEA"/>
    <w:rsid w:val="001B1EB0"/>
    <w:rsid w:val="001B3172"/>
    <w:rsid w:val="001B31DF"/>
    <w:rsid w:val="001B3567"/>
    <w:rsid w:val="001B4DE0"/>
    <w:rsid w:val="001B51B6"/>
    <w:rsid w:val="001B57CB"/>
    <w:rsid w:val="001B59F9"/>
    <w:rsid w:val="001B5A79"/>
    <w:rsid w:val="001B5AD0"/>
    <w:rsid w:val="001B5F35"/>
    <w:rsid w:val="001B65B6"/>
    <w:rsid w:val="001B66DF"/>
    <w:rsid w:val="001B7057"/>
    <w:rsid w:val="001B737E"/>
    <w:rsid w:val="001B761B"/>
    <w:rsid w:val="001B76D8"/>
    <w:rsid w:val="001C0733"/>
    <w:rsid w:val="001C087F"/>
    <w:rsid w:val="001C0A8A"/>
    <w:rsid w:val="001C14C7"/>
    <w:rsid w:val="001C306B"/>
    <w:rsid w:val="001C35B2"/>
    <w:rsid w:val="001C4BE9"/>
    <w:rsid w:val="001C4E06"/>
    <w:rsid w:val="001C5289"/>
    <w:rsid w:val="001C61AD"/>
    <w:rsid w:val="001C6B43"/>
    <w:rsid w:val="001C7C68"/>
    <w:rsid w:val="001C7F79"/>
    <w:rsid w:val="001D01C9"/>
    <w:rsid w:val="001D199B"/>
    <w:rsid w:val="001D1CAC"/>
    <w:rsid w:val="001D1E54"/>
    <w:rsid w:val="001D26E2"/>
    <w:rsid w:val="001D2E3E"/>
    <w:rsid w:val="001D44FD"/>
    <w:rsid w:val="001D477D"/>
    <w:rsid w:val="001D4BDC"/>
    <w:rsid w:val="001D53CF"/>
    <w:rsid w:val="001D5485"/>
    <w:rsid w:val="001D591E"/>
    <w:rsid w:val="001D5D45"/>
    <w:rsid w:val="001D5EE6"/>
    <w:rsid w:val="001D6127"/>
    <w:rsid w:val="001D6564"/>
    <w:rsid w:val="001D6989"/>
    <w:rsid w:val="001D6F6C"/>
    <w:rsid w:val="001D7804"/>
    <w:rsid w:val="001E09C0"/>
    <w:rsid w:val="001E2A91"/>
    <w:rsid w:val="001E2F4C"/>
    <w:rsid w:val="001E3409"/>
    <w:rsid w:val="001E3A0C"/>
    <w:rsid w:val="001E3CDF"/>
    <w:rsid w:val="001E3DE0"/>
    <w:rsid w:val="001E4686"/>
    <w:rsid w:val="001E4BD9"/>
    <w:rsid w:val="001E4CB2"/>
    <w:rsid w:val="001E5BF4"/>
    <w:rsid w:val="001E60E6"/>
    <w:rsid w:val="001E6150"/>
    <w:rsid w:val="001E6528"/>
    <w:rsid w:val="001E6EF4"/>
    <w:rsid w:val="001E7B4A"/>
    <w:rsid w:val="001F1861"/>
    <w:rsid w:val="001F1A83"/>
    <w:rsid w:val="001F216A"/>
    <w:rsid w:val="001F2407"/>
    <w:rsid w:val="001F29CC"/>
    <w:rsid w:val="001F3311"/>
    <w:rsid w:val="001F3930"/>
    <w:rsid w:val="001F6FD8"/>
    <w:rsid w:val="001F724A"/>
    <w:rsid w:val="001F730B"/>
    <w:rsid w:val="001F7B9B"/>
    <w:rsid w:val="0020067B"/>
    <w:rsid w:val="0020079F"/>
    <w:rsid w:val="00201045"/>
    <w:rsid w:val="00201AD1"/>
    <w:rsid w:val="0020297A"/>
    <w:rsid w:val="00203E8E"/>
    <w:rsid w:val="002040CA"/>
    <w:rsid w:val="00204334"/>
    <w:rsid w:val="00204471"/>
    <w:rsid w:val="002048AC"/>
    <w:rsid w:val="002054C7"/>
    <w:rsid w:val="00206AB4"/>
    <w:rsid w:val="00206BFE"/>
    <w:rsid w:val="00207F27"/>
    <w:rsid w:val="00210281"/>
    <w:rsid w:val="002102D1"/>
    <w:rsid w:val="00210473"/>
    <w:rsid w:val="0021118C"/>
    <w:rsid w:val="00212153"/>
    <w:rsid w:val="002123A9"/>
    <w:rsid w:val="00212618"/>
    <w:rsid w:val="00215350"/>
    <w:rsid w:val="00215684"/>
    <w:rsid w:val="0021656F"/>
    <w:rsid w:val="00216DEA"/>
    <w:rsid w:val="0021791C"/>
    <w:rsid w:val="00220E79"/>
    <w:rsid w:val="00221858"/>
    <w:rsid w:val="00221F5D"/>
    <w:rsid w:val="0022209D"/>
    <w:rsid w:val="0022275D"/>
    <w:rsid w:val="00222B33"/>
    <w:rsid w:val="0022355B"/>
    <w:rsid w:val="002239B3"/>
    <w:rsid w:val="00223A84"/>
    <w:rsid w:val="00223BF5"/>
    <w:rsid w:val="002245BC"/>
    <w:rsid w:val="00224BA7"/>
    <w:rsid w:val="00224CED"/>
    <w:rsid w:val="00224D0F"/>
    <w:rsid w:val="0022562D"/>
    <w:rsid w:val="002256AE"/>
    <w:rsid w:val="002264C2"/>
    <w:rsid w:val="00226E1C"/>
    <w:rsid w:val="00227750"/>
    <w:rsid w:val="00227B6E"/>
    <w:rsid w:val="00227D2A"/>
    <w:rsid w:val="002306AF"/>
    <w:rsid w:val="00230BAE"/>
    <w:rsid w:val="00230CC5"/>
    <w:rsid w:val="00231363"/>
    <w:rsid w:val="0023158B"/>
    <w:rsid w:val="00232B64"/>
    <w:rsid w:val="00234250"/>
    <w:rsid w:val="00234BE4"/>
    <w:rsid w:val="00236AE0"/>
    <w:rsid w:val="002373D2"/>
    <w:rsid w:val="00237D11"/>
    <w:rsid w:val="00240374"/>
    <w:rsid w:val="00240868"/>
    <w:rsid w:val="00240E03"/>
    <w:rsid w:val="0024160E"/>
    <w:rsid w:val="00241AEE"/>
    <w:rsid w:val="00241D06"/>
    <w:rsid w:val="002421A5"/>
    <w:rsid w:val="00242B8E"/>
    <w:rsid w:val="00242BD5"/>
    <w:rsid w:val="00242D35"/>
    <w:rsid w:val="002430B7"/>
    <w:rsid w:val="00243A53"/>
    <w:rsid w:val="00243DD0"/>
    <w:rsid w:val="0024532F"/>
    <w:rsid w:val="0024582A"/>
    <w:rsid w:val="00245D79"/>
    <w:rsid w:val="00245FE6"/>
    <w:rsid w:val="00246F29"/>
    <w:rsid w:val="00247455"/>
    <w:rsid w:val="002474A7"/>
    <w:rsid w:val="0024778F"/>
    <w:rsid w:val="00247BBC"/>
    <w:rsid w:val="00247D7C"/>
    <w:rsid w:val="00250340"/>
    <w:rsid w:val="00250406"/>
    <w:rsid w:val="0025058B"/>
    <w:rsid w:val="00250825"/>
    <w:rsid w:val="00250CB5"/>
    <w:rsid w:val="002512D4"/>
    <w:rsid w:val="002512FE"/>
    <w:rsid w:val="00251DE9"/>
    <w:rsid w:val="00251E67"/>
    <w:rsid w:val="00251EB4"/>
    <w:rsid w:val="00252BF0"/>
    <w:rsid w:val="00254271"/>
    <w:rsid w:val="0025459F"/>
    <w:rsid w:val="00254AB9"/>
    <w:rsid w:val="00255D9A"/>
    <w:rsid w:val="00256288"/>
    <w:rsid w:val="00256728"/>
    <w:rsid w:val="00257068"/>
    <w:rsid w:val="00257213"/>
    <w:rsid w:val="00257E73"/>
    <w:rsid w:val="00260BF9"/>
    <w:rsid w:val="002617CB"/>
    <w:rsid w:val="00262E80"/>
    <w:rsid w:val="00263421"/>
    <w:rsid w:val="00263B86"/>
    <w:rsid w:val="00263D2F"/>
    <w:rsid w:val="0026530E"/>
    <w:rsid w:val="0026587E"/>
    <w:rsid w:val="00266459"/>
    <w:rsid w:val="00266799"/>
    <w:rsid w:val="00270587"/>
    <w:rsid w:val="0027107F"/>
    <w:rsid w:val="00271824"/>
    <w:rsid w:val="00272206"/>
    <w:rsid w:val="00272D84"/>
    <w:rsid w:val="00273C8B"/>
    <w:rsid w:val="00274D88"/>
    <w:rsid w:val="00274DC2"/>
    <w:rsid w:val="00275289"/>
    <w:rsid w:val="00275E91"/>
    <w:rsid w:val="002777B7"/>
    <w:rsid w:val="002807CE"/>
    <w:rsid w:val="00280C76"/>
    <w:rsid w:val="00281D6A"/>
    <w:rsid w:val="00281FE6"/>
    <w:rsid w:val="00282FEE"/>
    <w:rsid w:val="00283161"/>
    <w:rsid w:val="0028339C"/>
    <w:rsid w:val="0028375E"/>
    <w:rsid w:val="002840C4"/>
    <w:rsid w:val="002842D5"/>
    <w:rsid w:val="0028446E"/>
    <w:rsid w:val="00284C24"/>
    <w:rsid w:val="002853FF"/>
    <w:rsid w:val="00285F11"/>
    <w:rsid w:val="002874D7"/>
    <w:rsid w:val="00287510"/>
    <w:rsid w:val="00287810"/>
    <w:rsid w:val="00287FFE"/>
    <w:rsid w:val="00290336"/>
    <w:rsid w:val="00290353"/>
    <w:rsid w:val="0029078E"/>
    <w:rsid w:val="00291A89"/>
    <w:rsid w:val="00291F6D"/>
    <w:rsid w:val="0029303A"/>
    <w:rsid w:val="00293E77"/>
    <w:rsid w:val="00294207"/>
    <w:rsid w:val="00294276"/>
    <w:rsid w:val="00294C01"/>
    <w:rsid w:val="00294DA9"/>
    <w:rsid w:val="00295A3C"/>
    <w:rsid w:val="0029617C"/>
    <w:rsid w:val="00296186"/>
    <w:rsid w:val="00296971"/>
    <w:rsid w:val="00296B8C"/>
    <w:rsid w:val="002970E4"/>
    <w:rsid w:val="002A19A2"/>
    <w:rsid w:val="002A1A24"/>
    <w:rsid w:val="002A3AD2"/>
    <w:rsid w:val="002A41F5"/>
    <w:rsid w:val="002A450C"/>
    <w:rsid w:val="002A46A0"/>
    <w:rsid w:val="002B0A8B"/>
    <w:rsid w:val="002B0C11"/>
    <w:rsid w:val="002B160D"/>
    <w:rsid w:val="002B2471"/>
    <w:rsid w:val="002B26E1"/>
    <w:rsid w:val="002B2774"/>
    <w:rsid w:val="002B3B22"/>
    <w:rsid w:val="002B47DD"/>
    <w:rsid w:val="002B4ADA"/>
    <w:rsid w:val="002B57E1"/>
    <w:rsid w:val="002B591E"/>
    <w:rsid w:val="002B5B55"/>
    <w:rsid w:val="002B69FE"/>
    <w:rsid w:val="002B6F05"/>
    <w:rsid w:val="002C1E3C"/>
    <w:rsid w:val="002C2C2D"/>
    <w:rsid w:val="002C328F"/>
    <w:rsid w:val="002C35E4"/>
    <w:rsid w:val="002C3753"/>
    <w:rsid w:val="002C3F35"/>
    <w:rsid w:val="002C6208"/>
    <w:rsid w:val="002C623D"/>
    <w:rsid w:val="002C6B30"/>
    <w:rsid w:val="002D0219"/>
    <w:rsid w:val="002D25A8"/>
    <w:rsid w:val="002D2FFD"/>
    <w:rsid w:val="002D3965"/>
    <w:rsid w:val="002D43EB"/>
    <w:rsid w:val="002D660D"/>
    <w:rsid w:val="002D6A8C"/>
    <w:rsid w:val="002D7754"/>
    <w:rsid w:val="002E05A4"/>
    <w:rsid w:val="002E0635"/>
    <w:rsid w:val="002E0699"/>
    <w:rsid w:val="002E2043"/>
    <w:rsid w:val="002E204D"/>
    <w:rsid w:val="002E213C"/>
    <w:rsid w:val="002E251C"/>
    <w:rsid w:val="002E38C0"/>
    <w:rsid w:val="002E3BC7"/>
    <w:rsid w:val="002E5D18"/>
    <w:rsid w:val="002E6C29"/>
    <w:rsid w:val="002F0255"/>
    <w:rsid w:val="002F054F"/>
    <w:rsid w:val="002F0BCE"/>
    <w:rsid w:val="002F0FCC"/>
    <w:rsid w:val="002F1158"/>
    <w:rsid w:val="002F119C"/>
    <w:rsid w:val="002F1C51"/>
    <w:rsid w:val="002F1DFE"/>
    <w:rsid w:val="002F233E"/>
    <w:rsid w:val="002F349A"/>
    <w:rsid w:val="002F34ED"/>
    <w:rsid w:val="002F3738"/>
    <w:rsid w:val="002F418B"/>
    <w:rsid w:val="002F5A85"/>
    <w:rsid w:val="002F708F"/>
    <w:rsid w:val="002F7D5A"/>
    <w:rsid w:val="003005FF"/>
    <w:rsid w:val="00300E8B"/>
    <w:rsid w:val="00301F92"/>
    <w:rsid w:val="00302368"/>
    <w:rsid w:val="00302495"/>
    <w:rsid w:val="00303244"/>
    <w:rsid w:val="003034E9"/>
    <w:rsid w:val="00305178"/>
    <w:rsid w:val="00306085"/>
    <w:rsid w:val="003063F4"/>
    <w:rsid w:val="00306972"/>
    <w:rsid w:val="003111DB"/>
    <w:rsid w:val="00311AAE"/>
    <w:rsid w:val="0031291F"/>
    <w:rsid w:val="00313AA9"/>
    <w:rsid w:val="003143A8"/>
    <w:rsid w:val="00314855"/>
    <w:rsid w:val="00316A54"/>
    <w:rsid w:val="00317943"/>
    <w:rsid w:val="003208C1"/>
    <w:rsid w:val="003212E8"/>
    <w:rsid w:val="0032209D"/>
    <w:rsid w:val="003227A1"/>
    <w:rsid w:val="00323B8D"/>
    <w:rsid w:val="00324318"/>
    <w:rsid w:val="003244AA"/>
    <w:rsid w:val="0032487A"/>
    <w:rsid w:val="003248C8"/>
    <w:rsid w:val="003248EF"/>
    <w:rsid w:val="0032661A"/>
    <w:rsid w:val="0032663F"/>
    <w:rsid w:val="00327A8C"/>
    <w:rsid w:val="003300E7"/>
    <w:rsid w:val="0033061A"/>
    <w:rsid w:val="00330713"/>
    <w:rsid w:val="00330D00"/>
    <w:rsid w:val="003311FE"/>
    <w:rsid w:val="00331813"/>
    <w:rsid w:val="003332E6"/>
    <w:rsid w:val="00333462"/>
    <w:rsid w:val="00334EF7"/>
    <w:rsid w:val="00334FF6"/>
    <w:rsid w:val="003367FF"/>
    <w:rsid w:val="003404FB"/>
    <w:rsid w:val="003405B1"/>
    <w:rsid w:val="00341B34"/>
    <w:rsid w:val="0034255C"/>
    <w:rsid w:val="00342575"/>
    <w:rsid w:val="00344C1C"/>
    <w:rsid w:val="00344CA5"/>
    <w:rsid w:val="0034559A"/>
    <w:rsid w:val="0034579E"/>
    <w:rsid w:val="003462A5"/>
    <w:rsid w:val="003467F7"/>
    <w:rsid w:val="00346A6E"/>
    <w:rsid w:val="00346B2A"/>
    <w:rsid w:val="00346F1C"/>
    <w:rsid w:val="0034745F"/>
    <w:rsid w:val="00347E5B"/>
    <w:rsid w:val="00350C36"/>
    <w:rsid w:val="003514F4"/>
    <w:rsid w:val="0035163B"/>
    <w:rsid w:val="00351699"/>
    <w:rsid w:val="00351955"/>
    <w:rsid w:val="00351E77"/>
    <w:rsid w:val="00352496"/>
    <w:rsid w:val="0035304C"/>
    <w:rsid w:val="00353221"/>
    <w:rsid w:val="0035653E"/>
    <w:rsid w:val="0035695A"/>
    <w:rsid w:val="00356EE4"/>
    <w:rsid w:val="00360692"/>
    <w:rsid w:val="003609F1"/>
    <w:rsid w:val="00361296"/>
    <w:rsid w:val="0036156B"/>
    <w:rsid w:val="003616CF"/>
    <w:rsid w:val="00363123"/>
    <w:rsid w:val="00363442"/>
    <w:rsid w:val="003637F0"/>
    <w:rsid w:val="00364D29"/>
    <w:rsid w:val="00364F25"/>
    <w:rsid w:val="0036545A"/>
    <w:rsid w:val="00365BC0"/>
    <w:rsid w:val="00366720"/>
    <w:rsid w:val="00366DE3"/>
    <w:rsid w:val="0037031A"/>
    <w:rsid w:val="00371936"/>
    <w:rsid w:val="00371D5A"/>
    <w:rsid w:val="003720E2"/>
    <w:rsid w:val="00372B60"/>
    <w:rsid w:val="003730D6"/>
    <w:rsid w:val="00373221"/>
    <w:rsid w:val="00373963"/>
    <w:rsid w:val="00373C2E"/>
    <w:rsid w:val="00373D4F"/>
    <w:rsid w:val="003747F3"/>
    <w:rsid w:val="00375A43"/>
    <w:rsid w:val="00375AAB"/>
    <w:rsid w:val="00375E09"/>
    <w:rsid w:val="00376C5A"/>
    <w:rsid w:val="00380BAC"/>
    <w:rsid w:val="0038268D"/>
    <w:rsid w:val="003827BD"/>
    <w:rsid w:val="00384340"/>
    <w:rsid w:val="0038570E"/>
    <w:rsid w:val="0038583E"/>
    <w:rsid w:val="00385CBD"/>
    <w:rsid w:val="00386EB3"/>
    <w:rsid w:val="0038790E"/>
    <w:rsid w:val="00390771"/>
    <w:rsid w:val="0039089F"/>
    <w:rsid w:val="003919BA"/>
    <w:rsid w:val="00392459"/>
    <w:rsid w:val="0039276C"/>
    <w:rsid w:val="00392BC9"/>
    <w:rsid w:val="00393EEA"/>
    <w:rsid w:val="00394666"/>
    <w:rsid w:val="003951E3"/>
    <w:rsid w:val="00395594"/>
    <w:rsid w:val="0039596A"/>
    <w:rsid w:val="00397F1F"/>
    <w:rsid w:val="003A03F9"/>
    <w:rsid w:val="003A076A"/>
    <w:rsid w:val="003A0C08"/>
    <w:rsid w:val="003A0CA7"/>
    <w:rsid w:val="003A1005"/>
    <w:rsid w:val="003A124B"/>
    <w:rsid w:val="003A265D"/>
    <w:rsid w:val="003A2A5C"/>
    <w:rsid w:val="003A3202"/>
    <w:rsid w:val="003A3C50"/>
    <w:rsid w:val="003A4253"/>
    <w:rsid w:val="003A5757"/>
    <w:rsid w:val="003A5F91"/>
    <w:rsid w:val="003A74C9"/>
    <w:rsid w:val="003A77D0"/>
    <w:rsid w:val="003B00E1"/>
    <w:rsid w:val="003B0C99"/>
    <w:rsid w:val="003B0E13"/>
    <w:rsid w:val="003B2DCD"/>
    <w:rsid w:val="003B3182"/>
    <w:rsid w:val="003B3BE7"/>
    <w:rsid w:val="003B3F36"/>
    <w:rsid w:val="003B454E"/>
    <w:rsid w:val="003B46EB"/>
    <w:rsid w:val="003B5355"/>
    <w:rsid w:val="003B57DD"/>
    <w:rsid w:val="003B5941"/>
    <w:rsid w:val="003B60D0"/>
    <w:rsid w:val="003B650D"/>
    <w:rsid w:val="003B6DC9"/>
    <w:rsid w:val="003B6F62"/>
    <w:rsid w:val="003B71F7"/>
    <w:rsid w:val="003C02C4"/>
    <w:rsid w:val="003C04ED"/>
    <w:rsid w:val="003C0A43"/>
    <w:rsid w:val="003C0AB0"/>
    <w:rsid w:val="003C1D0D"/>
    <w:rsid w:val="003C2F56"/>
    <w:rsid w:val="003C3034"/>
    <w:rsid w:val="003C3ADD"/>
    <w:rsid w:val="003C4472"/>
    <w:rsid w:val="003C4825"/>
    <w:rsid w:val="003C4901"/>
    <w:rsid w:val="003C4BBD"/>
    <w:rsid w:val="003C58CC"/>
    <w:rsid w:val="003C6195"/>
    <w:rsid w:val="003C6357"/>
    <w:rsid w:val="003C6A10"/>
    <w:rsid w:val="003C6B3C"/>
    <w:rsid w:val="003C70F0"/>
    <w:rsid w:val="003C78EF"/>
    <w:rsid w:val="003D13DB"/>
    <w:rsid w:val="003D1DAB"/>
    <w:rsid w:val="003D2BF1"/>
    <w:rsid w:val="003D34AE"/>
    <w:rsid w:val="003D3A67"/>
    <w:rsid w:val="003D3D5F"/>
    <w:rsid w:val="003D438A"/>
    <w:rsid w:val="003D4C0F"/>
    <w:rsid w:val="003D4CFA"/>
    <w:rsid w:val="003D5081"/>
    <w:rsid w:val="003D53BC"/>
    <w:rsid w:val="003D5889"/>
    <w:rsid w:val="003D6044"/>
    <w:rsid w:val="003D6063"/>
    <w:rsid w:val="003D7D61"/>
    <w:rsid w:val="003D7EB6"/>
    <w:rsid w:val="003E01D8"/>
    <w:rsid w:val="003E204B"/>
    <w:rsid w:val="003E2510"/>
    <w:rsid w:val="003E2618"/>
    <w:rsid w:val="003E2DBB"/>
    <w:rsid w:val="003E34BD"/>
    <w:rsid w:val="003E3517"/>
    <w:rsid w:val="003E3734"/>
    <w:rsid w:val="003E3D05"/>
    <w:rsid w:val="003E482C"/>
    <w:rsid w:val="003E4DB1"/>
    <w:rsid w:val="003E54F3"/>
    <w:rsid w:val="003E60A3"/>
    <w:rsid w:val="003F01BE"/>
    <w:rsid w:val="003F0CD1"/>
    <w:rsid w:val="003F0F69"/>
    <w:rsid w:val="003F0F6F"/>
    <w:rsid w:val="003F1F2F"/>
    <w:rsid w:val="003F24C7"/>
    <w:rsid w:val="003F27B3"/>
    <w:rsid w:val="003F3D57"/>
    <w:rsid w:val="003F63BE"/>
    <w:rsid w:val="003F65A2"/>
    <w:rsid w:val="003F6B2A"/>
    <w:rsid w:val="003F6CA6"/>
    <w:rsid w:val="003F6E25"/>
    <w:rsid w:val="0040016F"/>
    <w:rsid w:val="004002E7"/>
    <w:rsid w:val="00400389"/>
    <w:rsid w:val="004007C8"/>
    <w:rsid w:val="00400DEB"/>
    <w:rsid w:val="00401D58"/>
    <w:rsid w:val="00402430"/>
    <w:rsid w:val="00402C4A"/>
    <w:rsid w:val="00402D3D"/>
    <w:rsid w:val="00402ED6"/>
    <w:rsid w:val="00403248"/>
    <w:rsid w:val="00403618"/>
    <w:rsid w:val="00403EAD"/>
    <w:rsid w:val="00404EBD"/>
    <w:rsid w:val="004050A1"/>
    <w:rsid w:val="004050BC"/>
    <w:rsid w:val="0040570B"/>
    <w:rsid w:val="004064A3"/>
    <w:rsid w:val="00407453"/>
    <w:rsid w:val="004100D8"/>
    <w:rsid w:val="004106DF"/>
    <w:rsid w:val="0041096F"/>
    <w:rsid w:val="00410B55"/>
    <w:rsid w:val="00411E46"/>
    <w:rsid w:val="004127EB"/>
    <w:rsid w:val="00412C02"/>
    <w:rsid w:val="00414194"/>
    <w:rsid w:val="00414275"/>
    <w:rsid w:val="004144E4"/>
    <w:rsid w:val="004149D7"/>
    <w:rsid w:val="00415F24"/>
    <w:rsid w:val="004162DF"/>
    <w:rsid w:val="00416A69"/>
    <w:rsid w:val="004178A1"/>
    <w:rsid w:val="00417EFC"/>
    <w:rsid w:val="00420449"/>
    <w:rsid w:val="00420AD4"/>
    <w:rsid w:val="00421EDE"/>
    <w:rsid w:val="0042206C"/>
    <w:rsid w:val="00422111"/>
    <w:rsid w:val="00422EF9"/>
    <w:rsid w:val="0042305C"/>
    <w:rsid w:val="00423073"/>
    <w:rsid w:val="0042310F"/>
    <w:rsid w:val="00423CAD"/>
    <w:rsid w:val="0042420F"/>
    <w:rsid w:val="004249D2"/>
    <w:rsid w:val="00425274"/>
    <w:rsid w:val="00426020"/>
    <w:rsid w:val="00426254"/>
    <w:rsid w:val="00427056"/>
    <w:rsid w:val="00427632"/>
    <w:rsid w:val="00427853"/>
    <w:rsid w:val="00430059"/>
    <w:rsid w:val="00430499"/>
    <w:rsid w:val="004304CD"/>
    <w:rsid w:val="004308FB"/>
    <w:rsid w:val="00430EB3"/>
    <w:rsid w:val="00431128"/>
    <w:rsid w:val="00431A7B"/>
    <w:rsid w:val="004334CE"/>
    <w:rsid w:val="00433E35"/>
    <w:rsid w:val="00434FC1"/>
    <w:rsid w:val="004357D9"/>
    <w:rsid w:val="00436E40"/>
    <w:rsid w:val="004376C3"/>
    <w:rsid w:val="00437862"/>
    <w:rsid w:val="004405CD"/>
    <w:rsid w:val="004409A7"/>
    <w:rsid w:val="00440E99"/>
    <w:rsid w:val="00440ECB"/>
    <w:rsid w:val="00441483"/>
    <w:rsid w:val="0044166A"/>
    <w:rsid w:val="00443C72"/>
    <w:rsid w:val="004442E4"/>
    <w:rsid w:val="00444C45"/>
    <w:rsid w:val="00445BCF"/>
    <w:rsid w:val="00446032"/>
    <w:rsid w:val="00446648"/>
    <w:rsid w:val="00446A38"/>
    <w:rsid w:val="00447CF9"/>
    <w:rsid w:val="00450325"/>
    <w:rsid w:val="004509A7"/>
    <w:rsid w:val="00450CAA"/>
    <w:rsid w:val="0045195C"/>
    <w:rsid w:val="00451E86"/>
    <w:rsid w:val="00452E5D"/>
    <w:rsid w:val="0045493E"/>
    <w:rsid w:val="0045590B"/>
    <w:rsid w:val="00455E67"/>
    <w:rsid w:val="00456181"/>
    <w:rsid w:val="00456553"/>
    <w:rsid w:val="004578BA"/>
    <w:rsid w:val="00460A7F"/>
    <w:rsid w:val="00461D4B"/>
    <w:rsid w:val="004624F2"/>
    <w:rsid w:val="00462FFA"/>
    <w:rsid w:val="00463BDF"/>
    <w:rsid w:val="00464088"/>
    <w:rsid w:val="00465CCF"/>
    <w:rsid w:val="00465F52"/>
    <w:rsid w:val="0046647E"/>
    <w:rsid w:val="00466F81"/>
    <w:rsid w:val="0046738A"/>
    <w:rsid w:val="00467E4A"/>
    <w:rsid w:val="00470239"/>
    <w:rsid w:val="004706A7"/>
    <w:rsid w:val="004709EE"/>
    <w:rsid w:val="00470C72"/>
    <w:rsid w:val="00470CAA"/>
    <w:rsid w:val="00471FFC"/>
    <w:rsid w:val="00472475"/>
    <w:rsid w:val="00472694"/>
    <w:rsid w:val="00472B8B"/>
    <w:rsid w:val="00472C4F"/>
    <w:rsid w:val="00472CDF"/>
    <w:rsid w:val="00472DB0"/>
    <w:rsid w:val="00473372"/>
    <w:rsid w:val="004738BC"/>
    <w:rsid w:val="00474340"/>
    <w:rsid w:val="004747BF"/>
    <w:rsid w:val="00474A71"/>
    <w:rsid w:val="00474C33"/>
    <w:rsid w:val="00475A12"/>
    <w:rsid w:val="004769A9"/>
    <w:rsid w:val="0047711A"/>
    <w:rsid w:val="004775E2"/>
    <w:rsid w:val="00477AF1"/>
    <w:rsid w:val="00477B10"/>
    <w:rsid w:val="00480685"/>
    <w:rsid w:val="0048115E"/>
    <w:rsid w:val="0048135F"/>
    <w:rsid w:val="00481CE5"/>
    <w:rsid w:val="004823EB"/>
    <w:rsid w:val="00482616"/>
    <w:rsid w:val="0048315E"/>
    <w:rsid w:val="0048393F"/>
    <w:rsid w:val="00484277"/>
    <w:rsid w:val="00484984"/>
    <w:rsid w:val="00484D05"/>
    <w:rsid w:val="00484D92"/>
    <w:rsid w:val="00484EC0"/>
    <w:rsid w:val="00485887"/>
    <w:rsid w:val="00485AE4"/>
    <w:rsid w:val="00485D76"/>
    <w:rsid w:val="00485ED1"/>
    <w:rsid w:val="00485FEA"/>
    <w:rsid w:val="00486A55"/>
    <w:rsid w:val="004872C3"/>
    <w:rsid w:val="004874E3"/>
    <w:rsid w:val="004875AA"/>
    <w:rsid w:val="00487773"/>
    <w:rsid w:val="00492230"/>
    <w:rsid w:val="004924D4"/>
    <w:rsid w:val="0049355E"/>
    <w:rsid w:val="00493970"/>
    <w:rsid w:val="00493C8F"/>
    <w:rsid w:val="00494E5D"/>
    <w:rsid w:val="00495246"/>
    <w:rsid w:val="004957A0"/>
    <w:rsid w:val="00495B6B"/>
    <w:rsid w:val="00495C29"/>
    <w:rsid w:val="00496F08"/>
    <w:rsid w:val="00497FCB"/>
    <w:rsid w:val="004A10A5"/>
    <w:rsid w:val="004A148C"/>
    <w:rsid w:val="004A289B"/>
    <w:rsid w:val="004A2E33"/>
    <w:rsid w:val="004A301A"/>
    <w:rsid w:val="004A30D8"/>
    <w:rsid w:val="004A313E"/>
    <w:rsid w:val="004A32F3"/>
    <w:rsid w:val="004A3674"/>
    <w:rsid w:val="004A3D8B"/>
    <w:rsid w:val="004A41D7"/>
    <w:rsid w:val="004A490A"/>
    <w:rsid w:val="004A5E80"/>
    <w:rsid w:val="004A6240"/>
    <w:rsid w:val="004A6465"/>
    <w:rsid w:val="004A6468"/>
    <w:rsid w:val="004A6912"/>
    <w:rsid w:val="004B0367"/>
    <w:rsid w:val="004B0DB8"/>
    <w:rsid w:val="004B14A1"/>
    <w:rsid w:val="004B1A94"/>
    <w:rsid w:val="004B2932"/>
    <w:rsid w:val="004B34E2"/>
    <w:rsid w:val="004B4582"/>
    <w:rsid w:val="004B59A8"/>
    <w:rsid w:val="004B5E11"/>
    <w:rsid w:val="004C15E3"/>
    <w:rsid w:val="004C2289"/>
    <w:rsid w:val="004C22DA"/>
    <w:rsid w:val="004C4421"/>
    <w:rsid w:val="004C4D60"/>
    <w:rsid w:val="004C52C0"/>
    <w:rsid w:val="004D0A61"/>
    <w:rsid w:val="004D259B"/>
    <w:rsid w:val="004D4258"/>
    <w:rsid w:val="004D4A31"/>
    <w:rsid w:val="004D4C23"/>
    <w:rsid w:val="004D65B3"/>
    <w:rsid w:val="004D77D6"/>
    <w:rsid w:val="004D7AFA"/>
    <w:rsid w:val="004D7B38"/>
    <w:rsid w:val="004E018B"/>
    <w:rsid w:val="004E0688"/>
    <w:rsid w:val="004E0950"/>
    <w:rsid w:val="004E0B02"/>
    <w:rsid w:val="004E145E"/>
    <w:rsid w:val="004E169C"/>
    <w:rsid w:val="004E2047"/>
    <w:rsid w:val="004E3902"/>
    <w:rsid w:val="004E474F"/>
    <w:rsid w:val="004E5A6A"/>
    <w:rsid w:val="004E5D32"/>
    <w:rsid w:val="004E6D28"/>
    <w:rsid w:val="004E6DC5"/>
    <w:rsid w:val="004E735B"/>
    <w:rsid w:val="004E7748"/>
    <w:rsid w:val="004E7D8D"/>
    <w:rsid w:val="004E7EB9"/>
    <w:rsid w:val="004E7EF4"/>
    <w:rsid w:val="004F0161"/>
    <w:rsid w:val="004F11BB"/>
    <w:rsid w:val="004F1B7D"/>
    <w:rsid w:val="004F31BB"/>
    <w:rsid w:val="004F338D"/>
    <w:rsid w:val="004F3A43"/>
    <w:rsid w:val="004F5059"/>
    <w:rsid w:val="004F6A2E"/>
    <w:rsid w:val="004F6E3C"/>
    <w:rsid w:val="004F6F11"/>
    <w:rsid w:val="004F771C"/>
    <w:rsid w:val="004F7DFA"/>
    <w:rsid w:val="004F7F31"/>
    <w:rsid w:val="00500291"/>
    <w:rsid w:val="00500527"/>
    <w:rsid w:val="00500867"/>
    <w:rsid w:val="00500C86"/>
    <w:rsid w:val="0050146D"/>
    <w:rsid w:val="00501764"/>
    <w:rsid w:val="00504254"/>
    <w:rsid w:val="00504273"/>
    <w:rsid w:val="0050510E"/>
    <w:rsid w:val="00505A91"/>
    <w:rsid w:val="00506D77"/>
    <w:rsid w:val="00506FBC"/>
    <w:rsid w:val="00507471"/>
    <w:rsid w:val="00510E28"/>
    <w:rsid w:val="00511FA7"/>
    <w:rsid w:val="005134E0"/>
    <w:rsid w:val="00513A27"/>
    <w:rsid w:val="00513E36"/>
    <w:rsid w:val="00514E1C"/>
    <w:rsid w:val="005155E3"/>
    <w:rsid w:val="0051598B"/>
    <w:rsid w:val="00516D74"/>
    <w:rsid w:val="005171AE"/>
    <w:rsid w:val="005175AA"/>
    <w:rsid w:val="00517A47"/>
    <w:rsid w:val="00517AF8"/>
    <w:rsid w:val="00517B69"/>
    <w:rsid w:val="00517C66"/>
    <w:rsid w:val="00517E16"/>
    <w:rsid w:val="0052046D"/>
    <w:rsid w:val="00522054"/>
    <w:rsid w:val="00522061"/>
    <w:rsid w:val="005223D7"/>
    <w:rsid w:val="005224B3"/>
    <w:rsid w:val="005247B2"/>
    <w:rsid w:val="00525548"/>
    <w:rsid w:val="0052632C"/>
    <w:rsid w:val="00526945"/>
    <w:rsid w:val="005275C4"/>
    <w:rsid w:val="00527D59"/>
    <w:rsid w:val="00527EF1"/>
    <w:rsid w:val="00527F27"/>
    <w:rsid w:val="00530F8C"/>
    <w:rsid w:val="00531C8F"/>
    <w:rsid w:val="005324E6"/>
    <w:rsid w:val="005333A2"/>
    <w:rsid w:val="00533D6A"/>
    <w:rsid w:val="005349EB"/>
    <w:rsid w:val="00535D4E"/>
    <w:rsid w:val="00535DC3"/>
    <w:rsid w:val="00537842"/>
    <w:rsid w:val="00540130"/>
    <w:rsid w:val="00540B0C"/>
    <w:rsid w:val="00540FBD"/>
    <w:rsid w:val="0054134D"/>
    <w:rsid w:val="005421A6"/>
    <w:rsid w:val="005423C8"/>
    <w:rsid w:val="00542581"/>
    <w:rsid w:val="005433A3"/>
    <w:rsid w:val="00543BAF"/>
    <w:rsid w:val="00543E83"/>
    <w:rsid w:val="005444C4"/>
    <w:rsid w:val="00544C20"/>
    <w:rsid w:val="00544CDB"/>
    <w:rsid w:val="00545143"/>
    <w:rsid w:val="005456CF"/>
    <w:rsid w:val="00550399"/>
    <w:rsid w:val="00550BC9"/>
    <w:rsid w:val="0055265E"/>
    <w:rsid w:val="00552E78"/>
    <w:rsid w:val="0055405F"/>
    <w:rsid w:val="00555553"/>
    <w:rsid w:val="0055557D"/>
    <w:rsid w:val="005568D3"/>
    <w:rsid w:val="0055798D"/>
    <w:rsid w:val="0056013D"/>
    <w:rsid w:val="00560ED0"/>
    <w:rsid w:val="00562255"/>
    <w:rsid w:val="00562E0F"/>
    <w:rsid w:val="00563205"/>
    <w:rsid w:val="00563241"/>
    <w:rsid w:val="00563636"/>
    <w:rsid w:val="00563A4D"/>
    <w:rsid w:val="0056428E"/>
    <w:rsid w:val="00564709"/>
    <w:rsid w:val="00566E14"/>
    <w:rsid w:val="0056760F"/>
    <w:rsid w:val="00571332"/>
    <w:rsid w:val="0057281C"/>
    <w:rsid w:val="00572ADA"/>
    <w:rsid w:val="00572C42"/>
    <w:rsid w:val="00572E26"/>
    <w:rsid w:val="00573662"/>
    <w:rsid w:val="005736D9"/>
    <w:rsid w:val="00573CC5"/>
    <w:rsid w:val="00573D9F"/>
    <w:rsid w:val="00575277"/>
    <w:rsid w:val="00575A42"/>
    <w:rsid w:val="00575ADA"/>
    <w:rsid w:val="00576EDC"/>
    <w:rsid w:val="00580249"/>
    <w:rsid w:val="0058095A"/>
    <w:rsid w:val="0058159F"/>
    <w:rsid w:val="00581851"/>
    <w:rsid w:val="00581C18"/>
    <w:rsid w:val="0058204C"/>
    <w:rsid w:val="00583FF9"/>
    <w:rsid w:val="00584340"/>
    <w:rsid w:val="005846BA"/>
    <w:rsid w:val="00584F35"/>
    <w:rsid w:val="00585C9C"/>
    <w:rsid w:val="00586F39"/>
    <w:rsid w:val="0058726E"/>
    <w:rsid w:val="005902F4"/>
    <w:rsid w:val="0059039D"/>
    <w:rsid w:val="00590B6E"/>
    <w:rsid w:val="005911C0"/>
    <w:rsid w:val="00591361"/>
    <w:rsid w:val="00591BC4"/>
    <w:rsid w:val="0059257D"/>
    <w:rsid w:val="005925A4"/>
    <w:rsid w:val="00592C7E"/>
    <w:rsid w:val="00593B56"/>
    <w:rsid w:val="00593FE8"/>
    <w:rsid w:val="00594683"/>
    <w:rsid w:val="00594C40"/>
    <w:rsid w:val="0059559D"/>
    <w:rsid w:val="0059563F"/>
    <w:rsid w:val="00595A99"/>
    <w:rsid w:val="00596EE7"/>
    <w:rsid w:val="00596FFD"/>
    <w:rsid w:val="00597C15"/>
    <w:rsid w:val="005A0292"/>
    <w:rsid w:val="005A03BF"/>
    <w:rsid w:val="005A03C9"/>
    <w:rsid w:val="005A1116"/>
    <w:rsid w:val="005A2294"/>
    <w:rsid w:val="005A229D"/>
    <w:rsid w:val="005A3905"/>
    <w:rsid w:val="005A3EDB"/>
    <w:rsid w:val="005A4EB7"/>
    <w:rsid w:val="005A5205"/>
    <w:rsid w:val="005A5454"/>
    <w:rsid w:val="005A61F1"/>
    <w:rsid w:val="005A6899"/>
    <w:rsid w:val="005A6E36"/>
    <w:rsid w:val="005A7094"/>
    <w:rsid w:val="005A7375"/>
    <w:rsid w:val="005B1221"/>
    <w:rsid w:val="005B1607"/>
    <w:rsid w:val="005B162C"/>
    <w:rsid w:val="005B1659"/>
    <w:rsid w:val="005B1D1F"/>
    <w:rsid w:val="005B353F"/>
    <w:rsid w:val="005B3751"/>
    <w:rsid w:val="005B4B6F"/>
    <w:rsid w:val="005B4BA1"/>
    <w:rsid w:val="005B52AD"/>
    <w:rsid w:val="005B5CF8"/>
    <w:rsid w:val="005B5DCC"/>
    <w:rsid w:val="005B6936"/>
    <w:rsid w:val="005B6CB0"/>
    <w:rsid w:val="005B6FC9"/>
    <w:rsid w:val="005B76D7"/>
    <w:rsid w:val="005C02B8"/>
    <w:rsid w:val="005C1FD9"/>
    <w:rsid w:val="005C213C"/>
    <w:rsid w:val="005C22FD"/>
    <w:rsid w:val="005C249F"/>
    <w:rsid w:val="005C290E"/>
    <w:rsid w:val="005C3631"/>
    <w:rsid w:val="005C3B46"/>
    <w:rsid w:val="005C42C9"/>
    <w:rsid w:val="005C4F88"/>
    <w:rsid w:val="005C6373"/>
    <w:rsid w:val="005C6C6C"/>
    <w:rsid w:val="005C75A3"/>
    <w:rsid w:val="005C7888"/>
    <w:rsid w:val="005D078B"/>
    <w:rsid w:val="005D0CA3"/>
    <w:rsid w:val="005D0FE1"/>
    <w:rsid w:val="005D231E"/>
    <w:rsid w:val="005D306F"/>
    <w:rsid w:val="005D3676"/>
    <w:rsid w:val="005D4AFC"/>
    <w:rsid w:val="005D4FFF"/>
    <w:rsid w:val="005D5008"/>
    <w:rsid w:val="005D512A"/>
    <w:rsid w:val="005D5D99"/>
    <w:rsid w:val="005D668C"/>
    <w:rsid w:val="005D6966"/>
    <w:rsid w:val="005D73B5"/>
    <w:rsid w:val="005E0086"/>
    <w:rsid w:val="005E0282"/>
    <w:rsid w:val="005E0971"/>
    <w:rsid w:val="005E1053"/>
    <w:rsid w:val="005E1FEB"/>
    <w:rsid w:val="005E2006"/>
    <w:rsid w:val="005E253F"/>
    <w:rsid w:val="005E270E"/>
    <w:rsid w:val="005E29B1"/>
    <w:rsid w:val="005E2A4D"/>
    <w:rsid w:val="005E3BC8"/>
    <w:rsid w:val="005E499B"/>
    <w:rsid w:val="005E52ED"/>
    <w:rsid w:val="005E5E1C"/>
    <w:rsid w:val="005E6279"/>
    <w:rsid w:val="005E67F8"/>
    <w:rsid w:val="005E68BF"/>
    <w:rsid w:val="005E71D0"/>
    <w:rsid w:val="005E792D"/>
    <w:rsid w:val="005E7C64"/>
    <w:rsid w:val="005F00D3"/>
    <w:rsid w:val="005F1FBE"/>
    <w:rsid w:val="005F213E"/>
    <w:rsid w:val="005F2C6C"/>
    <w:rsid w:val="005F2EE1"/>
    <w:rsid w:val="005F34BA"/>
    <w:rsid w:val="005F387B"/>
    <w:rsid w:val="005F3AF3"/>
    <w:rsid w:val="005F429A"/>
    <w:rsid w:val="005F48B9"/>
    <w:rsid w:val="005F4A30"/>
    <w:rsid w:val="005F50AB"/>
    <w:rsid w:val="005F5635"/>
    <w:rsid w:val="005F5FBE"/>
    <w:rsid w:val="005F689C"/>
    <w:rsid w:val="005F6EB1"/>
    <w:rsid w:val="005F76D4"/>
    <w:rsid w:val="006047FB"/>
    <w:rsid w:val="00604EE7"/>
    <w:rsid w:val="00605143"/>
    <w:rsid w:val="00605350"/>
    <w:rsid w:val="00605A19"/>
    <w:rsid w:val="00605AB4"/>
    <w:rsid w:val="00605E05"/>
    <w:rsid w:val="006069C4"/>
    <w:rsid w:val="006070EF"/>
    <w:rsid w:val="0060725B"/>
    <w:rsid w:val="006072E4"/>
    <w:rsid w:val="006073BE"/>
    <w:rsid w:val="00607F71"/>
    <w:rsid w:val="006100D3"/>
    <w:rsid w:val="00610B03"/>
    <w:rsid w:val="00610F6E"/>
    <w:rsid w:val="006114F7"/>
    <w:rsid w:val="006115A7"/>
    <w:rsid w:val="00611B5E"/>
    <w:rsid w:val="0061253D"/>
    <w:rsid w:val="006127F9"/>
    <w:rsid w:val="006128DB"/>
    <w:rsid w:val="00613753"/>
    <w:rsid w:val="00613E22"/>
    <w:rsid w:val="0061413F"/>
    <w:rsid w:val="0061421E"/>
    <w:rsid w:val="0061444E"/>
    <w:rsid w:val="0061461F"/>
    <w:rsid w:val="00614768"/>
    <w:rsid w:val="00614DB1"/>
    <w:rsid w:val="00614DB5"/>
    <w:rsid w:val="00615A58"/>
    <w:rsid w:val="00617433"/>
    <w:rsid w:val="0062050C"/>
    <w:rsid w:val="00620BD8"/>
    <w:rsid w:val="00622607"/>
    <w:rsid w:val="006228A3"/>
    <w:rsid w:val="006228B3"/>
    <w:rsid w:val="00622CA6"/>
    <w:rsid w:val="00623805"/>
    <w:rsid w:val="00623E8F"/>
    <w:rsid w:val="00625B11"/>
    <w:rsid w:val="00627173"/>
    <w:rsid w:val="00627BF9"/>
    <w:rsid w:val="00630C87"/>
    <w:rsid w:val="00630C91"/>
    <w:rsid w:val="0063281E"/>
    <w:rsid w:val="006328EF"/>
    <w:rsid w:val="00632EB7"/>
    <w:rsid w:val="00634BDB"/>
    <w:rsid w:val="00634E25"/>
    <w:rsid w:val="0063550E"/>
    <w:rsid w:val="006376B8"/>
    <w:rsid w:val="00637B91"/>
    <w:rsid w:val="00642444"/>
    <w:rsid w:val="00642A42"/>
    <w:rsid w:val="0064345F"/>
    <w:rsid w:val="006435F0"/>
    <w:rsid w:val="006439EB"/>
    <w:rsid w:val="006446E7"/>
    <w:rsid w:val="00645CBC"/>
    <w:rsid w:val="0064673A"/>
    <w:rsid w:val="00646EF1"/>
    <w:rsid w:val="00652464"/>
    <w:rsid w:val="00652831"/>
    <w:rsid w:val="00652963"/>
    <w:rsid w:val="00652DA9"/>
    <w:rsid w:val="0065383F"/>
    <w:rsid w:val="006538AB"/>
    <w:rsid w:val="006554A4"/>
    <w:rsid w:val="00655F59"/>
    <w:rsid w:val="00656A94"/>
    <w:rsid w:val="00657CC1"/>
    <w:rsid w:val="006603BE"/>
    <w:rsid w:val="00660E0E"/>
    <w:rsid w:val="00661215"/>
    <w:rsid w:val="006613E6"/>
    <w:rsid w:val="00663C28"/>
    <w:rsid w:val="0066441A"/>
    <w:rsid w:val="00664B36"/>
    <w:rsid w:val="0066557A"/>
    <w:rsid w:val="00665B78"/>
    <w:rsid w:val="00665EEE"/>
    <w:rsid w:val="006663BE"/>
    <w:rsid w:val="00666EFC"/>
    <w:rsid w:val="006674AB"/>
    <w:rsid w:val="006702F2"/>
    <w:rsid w:val="0067121A"/>
    <w:rsid w:val="00671689"/>
    <w:rsid w:val="00671715"/>
    <w:rsid w:val="00671F06"/>
    <w:rsid w:val="0067219E"/>
    <w:rsid w:val="00672853"/>
    <w:rsid w:val="00673E4D"/>
    <w:rsid w:val="00673F39"/>
    <w:rsid w:val="00676717"/>
    <w:rsid w:val="00676E71"/>
    <w:rsid w:val="00677815"/>
    <w:rsid w:val="00677A73"/>
    <w:rsid w:val="00677EF4"/>
    <w:rsid w:val="00680C2F"/>
    <w:rsid w:val="00680CFD"/>
    <w:rsid w:val="00680F8C"/>
    <w:rsid w:val="00681D96"/>
    <w:rsid w:val="006832A0"/>
    <w:rsid w:val="006832A6"/>
    <w:rsid w:val="006832B8"/>
    <w:rsid w:val="006836B4"/>
    <w:rsid w:val="006869F3"/>
    <w:rsid w:val="00686E8B"/>
    <w:rsid w:val="00690390"/>
    <w:rsid w:val="00690566"/>
    <w:rsid w:val="00691006"/>
    <w:rsid w:val="00692014"/>
    <w:rsid w:val="00692042"/>
    <w:rsid w:val="0069304A"/>
    <w:rsid w:val="00693146"/>
    <w:rsid w:val="0069332D"/>
    <w:rsid w:val="0069386E"/>
    <w:rsid w:val="00694009"/>
    <w:rsid w:val="0069421D"/>
    <w:rsid w:val="00694B79"/>
    <w:rsid w:val="006950E6"/>
    <w:rsid w:val="006952C1"/>
    <w:rsid w:val="0069551D"/>
    <w:rsid w:val="00696481"/>
    <w:rsid w:val="006972DF"/>
    <w:rsid w:val="0069797D"/>
    <w:rsid w:val="006A1F2F"/>
    <w:rsid w:val="006A2981"/>
    <w:rsid w:val="006A413F"/>
    <w:rsid w:val="006A4868"/>
    <w:rsid w:val="006A4FD2"/>
    <w:rsid w:val="006A5E6F"/>
    <w:rsid w:val="006A5FEA"/>
    <w:rsid w:val="006A632C"/>
    <w:rsid w:val="006B0472"/>
    <w:rsid w:val="006B04AF"/>
    <w:rsid w:val="006B0761"/>
    <w:rsid w:val="006B1335"/>
    <w:rsid w:val="006B1FA7"/>
    <w:rsid w:val="006B30AA"/>
    <w:rsid w:val="006B34BA"/>
    <w:rsid w:val="006B44C3"/>
    <w:rsid w:val="006B483F"/>
    <w:rsid w:val="006B5629"/>
    <w:rsid w:val="006B61FC"/>
    <w:rsid w:val="006B624E"/>
    <w:rsid w:val="006B69A8"/>
    <w:rsid w:val="006B7217"/>
    <w:rsid w:val="006B7DAB"/>
    <w:rsid w:val="006C129B"/>
    <w:rsid w:val="006C2C5D"/>
    <w:rsid w:val="006C4254"/>
    <w:rsid w:val="006C438E"/>
    <w:rsid w:val="006C47A6"/>
    <w:rsid w:val="006C5598"/>
    <w:rsid w:val="006C582B"/>
    <w:rsid w:val="006C5A81"/>
    <w:rsid w:val="006C5FB6"/>
    <w:rsid w:val="006C6F56"/>
    <w:rsid w:val="006D12FB"/>
    <w:rsid w:val="006D2363"/>
    <w:rsid w:val="006D28CD"/>
    <w:rsid w:val="006D3131"/>
    <w:rsid w:val="006D32C1"/>
    <w:rsid w:val="006D369F"/>
    <w:rsid w:val="006D3D56"/>
    <w:rsid w:val="006D4B43"/>
    <w:rsid w:val="006D4C07"/>
    <w:rsid w:val="006D560D"/>
    <w:rsid w:val="006D633E"/>
    <w:rsid w:val="006D68B2"/>
    <w:rsid w:val="006D6DF0"/>
    <w:rsid w:val="006D7043"/>
    <w:rsid w:val="006D7D3F"/>
    <w:rsid w:val="006D7FAC"/>
    <w:rsid w:val="006E0A99"/>
    <w:rsid w:val="006E0DA5"/>
    <w:rsid w:val="006E1D67"/>
    <w:rsid w:val="006E2253"/>
    <w:rsid w:val="006E24EA"/>
    <w:rsid w:val="006E2B55"/>
    <w:rsid w:val="006E2FC4"/>
    <w:rsid w:val="006E34E8"/>
    <w:rsid w:val="006E37D7"/>
    <w:rsid w:val="006E4226"/>
    <w:rsid w:val="006E4BD7"/>
    <w:rsid w:val="006E4D24"/>
    <w:rsid w:val="006E610C"/>
    <w:rsid w:val="006E6D74"/>
    <w:rsid w:val="006E7A72"/>
    <w:rsid w:val="006F1342"/>
    <w:rsid w:val="006F1988"/>
    <w:rsid w:val="006F1F51"/>
    <w:rsid w:val="006F24DF"/>
    <w:rsid w:val="006F2855"/>
    <w:rsid w:val="006F2B01"/>
    <w:rsid w:val="006F3805"/>
    <w:rsid w:val="006F3DEC"/>
    <w:rsid w:val="006F5148"/>
    <w:rsid w:val="006F679C"/>
    <w:rsid w:val="006F69FA"/>
    <w:rsid w:val="006F6FE3"/>
    <w:rsid w:val="006F76E0"/>
    <w:rsid w:val="00700204"/>
    <w:rsid w:val="00700F6B"/>
    <w:rsid w:val="0070173E"/>
    <w:rsid w:val="007017D4"/>
    <w:rsid w:val="00702CA1"/>
    <w:rsid w:val="00703212"/>
    <w:rsid w:val="00703D1D"/>
    <w:rsid w:val="00703E4D"/>
    <w:rsid w:val="00705018"/>
    <w:rsid w:val="0070583F"/>
    <w:rsid w:val="00705A54"/>
    <w:rsid w:val="0070614B"/>
    <w:rsid w:val="00710A52"/>
    <w:rsid w:val="007117E0"/>
    <w:rsid w:val="00712906"/>
    <w:rsid w:val="00713448"/>
    <w:rsid w:val="00713BF2"/>
    <w:rsid w:val="00713D35"/>
    <w:rsid w:val="00714E17"/>
    <w:rsid w:val="00714F3D"/>
    <w:rsid w:val="0071726A"/>
    <w:rsid w:val="007172F5"/>
    <w:rsid w:val="00717B03"/>
    <w:rsid w:val="00717B06"/>
    <w:rsid w:val="00717C56"/>
    <w:rsid w:val="00717EFA"/>
    <w:rsid w:val="0072102C"/>
    <w:rsid w:val="007212E3"/>
    <w:rsid w:val="0072175F"/>
    <w:rsid w:val="00721EBD"/>
    <w:rsid w:val="007222D2"/>
    <w:rsid w:val="00723963"/>
    <w:rsid w:val="00724061"/>
    <w:rsid w:val="007245C4"/>
    <w:rsid w:val="007251FD"/>
    <w:rsid w:val="007257DB"/>
    <w:rsid w:val="00726330"/>
    <w:rsid w:val="007267BF"/>
    <w:rsid w:val="00726A13"/>
    <w:rsid w:val="007272DA"/>
    <w:rsid w:val="007275E0"/>
    <w:rsid w:val="0072762F"/>
    <w:rsid w:val="007317CF"/>
    <w:rsid w:val="00732CFC"/>
    <w:rsid w:val="00733305"/>
    <w:rsid w:val="00734B93"/>
    <w:rsid w:val="00735009"/>
    <w:rsid w:val="00735081"/>
    <w:rsid w:val="0073606E"/>
    <w:rsid w:val="0073645D"/>
    <w:rsid w:val="007366C0"/>
    <w:rsid w:val="007375BE"/>
    <w:rsid w:val="00737FE9"/>
    <w:rsid w:val="00740B43"/>
    <w:rsid w:val="00741533"/>
    <w:rsid w:val="00741AF9"/>
    <w:rsid w:val="007429A0"/>
    <w:rsid w:val="0074334F"/>
    <w:rsid w:val="00744151"/>
    <w:rsid w:val="0074728B"/>
    <w:rsid w:val="00747540"/>
    <w:rsid w:val="0075159C"/>
    <w:rsid w:val="00751EAB"/>
    <w:rsid w:val="00751F77"/>
    <w:rsid w:val="00751F9E"/>
    <w:rsid w:val="007524A3"/>
    <w:rsid w:val="00752AAA"/>
    <w:rsid w:val="00752D32"/>
    <w:rsid w:val="007536E9"/>
    <w:rsid w:val="007537E9"/>
    <w:rsid w:val="00753820"/>
    <w:rsid w:val="00753D35"/>
    <w:rsid w:val="007544CE"/>
    <w:rsid w:val="00756084"/>
    <w:rsid w:val="00756346"/>
    <w:rsid w:val="007572A4"/>
    <w:rsid w:val="007574A6"/>
    <w:rsid w:val="00761590"/>
    <w:rsid w:val="00762AED"/>
    <w:rsid w:val="0076338C"/>
    <w:rsid w:val="00763AA6"/>
    <w:rsid w:val="00764C88"/>
    <w:rsid w:val="00764CF2"/>
    <w:rsid w:val="00764DDB"/>
    <w:rsid w:val="00765EB9"/>
    <w:rsid w:val="0076734F"/>
    <w:rsid w:val="0076796D"/>
    <w:rsid w:val="007700B8"/>
    <w:rsid w:val="007705F7"/>
    <w:rsid w:val="00771C17"/>
    <w:rsid w:val="007721F0"/>
    <w:rsid w:val="00772A82"/>
    <w:rsid w:val="00773388"/>
    <w:rsid w:val="00773B60"/>
    <w:rsid w:val="00773BCB"/>
    <w:rsid w:val="00773F26"/>
    <w:rsid w:val="00774F9D"/>
    <w:rsid w:val="00775B43"/>
    <w:rsid w:val="00775BC6"/>
    <w:rsid w:val="00775C45"/>
    <w:rsid w:val="0077604D"/>
    <w:rsid w:val="00776E41"/>
    <w:rsid w:val="00777C77"/>
    <w:rsid w:val="0078136D"/>
    <w:rsid w:val="00782946"/>
    <w:rsid w:val="00782DE8"/>
    <w:rsid w:val="00783843"/>
    <w:rsid w:val="00784321"/>
    <w:rsid w:val="00786D69"/>
    <w:rsid w:val="00787A16"/>
    <w:rsid w:val="00787E30"/>
    <w:rsid w:val="0079063B"/>
    <w:rsid w:val="00790991"/>
    <w:rsid w:val="0079170C"/>
    <w:rsid w:val="007928B6"/>
    <w:rsid w:val="0079342D"/>
    <w:rsid w:val="00793618"/>
    <w:rsid w:val="0079364B"/>
    <w:rsid w:val="0079433C"/>
    <w:rsid w:val="00794D80"/>
    <w:rsid w:val="00795227"/>
    <w:rsid w:val="007954C7"/>
    <w:rsid w:val="00795829"/>
    <w:rsid w:val="00795E07"/>
    <w:rsid w:val="007A0378"/>
    <w:rsid w:val="007A044A"/>
    <w:rsid w:val="007A0F00"/>
    <w:rsid w:val="007A19BD"/>
    <w:rsid w:val="007A2DB6"/>
    <w:rsid w:val="007A2DB9"/>
    <w:rsid w:val="007A34AB"/>
    <w:rsid w:val="007A3778"/>
    <w:rsid w:val="007A4494"/>
    <w:rsid w:val="007A4FA9"/>
    <w:rsid w:val="007A5199"/>
    <w:rsid w:val="007A5656"/>
    <w:rsid w:val="007A5918"/>
    <w:rsid w:val="007A5A90"/>
    <w:rsid w:val="007A5BF4"/>
    <w:rsid w:val="007A5FDD"/>
    <w:rsid w:val="007A6483"/>
    <w:rsid w:val="007A64E2"/>
    <w:rsid w:val="007A6857"/>
    <w:rsid w:val="007A68D2"/>
    <w:rsid w:val="007A78EA"/>
    <w:rsid w:val="007B0B47"/>
    <w:rsid w:val="007B165B"/>
    <w:rsid w:val="007B1ED3"/>
    <w:rsid w:val="007B2D61"/>
    <w:rsid w:val="007B32E1"/>
    <w:rsid w:val="007B5090"/>
    <w:rsid w:val="007B55FC"/>
    <w:rsid w:val="007B5D57"/>
    <w:rsid w:val="007B6139"/>
    <w:rsid w:val="007B621E"/>
    <w:rsid w:val="007B6AAC"/>
    <w:rsid w:val="007B6CFA"/>
    <w:rsid w:val="007B73AF"/>
    <w:rsid w:val="007B7710"/>
    <w:rsid w:val="007B7AD9"/>
    <w:rsid w:val="007B7D83"/>
    <w:rsid w:val="007C12E1"/>
    <w:rsid w:val="007C2131"/>
    <w:rsid w:val="007C3198"/>
    <w:rsid w:val="007C3226"/>
    <w:rsid w:val="007C4624"/>
    <w:rsid w:val="007C545C"/>
    <w:rsid w:val="007C5B86"/>
    <w:rsid w:val="007C75EE"/>
    <w:rsid w:val="007C7AE7"/>
    <w:rsid w:val="007D0044"/>
    <w:rsid w:val="007D0D3D"/>
    <w:rsid w:val="007D14F7"/>
    <w:rsid w:val="007D152B"/>
    <w:rsid w:val="007D16A3"/>
    <w:rsid w:val="007D1833"/>
    <w:rsid w:val="007D1F82"/>
    <w:rsid w:val="007D2EB4"/>
    <w:rsid w:val="007D3404"/>
    <w:rsid w:val="007D386A"/>
    <w:rsid w:val="007D3A2B"/>
    <w:rsid w:val="007D6AA0"/>
    <w:rsid w:val="007D7B27"/>
    <w:rsid w:val="007E141A"/>
    <w:rsid w:val="007E167B"/>
    <w:rsid w:val="007E16A4"/>
    <w:rsid w:val="007E16C2"/>
    <w:rsid w:val="007E183E"/>
    <w:rsid w:val="007E1E13"/>
    <w:rsid w:val="007E364B"/>
    <w:rsid w:val="007E3941"/>
    <w:rsid w:val="007E3B44"/>
    <w:rsid w:val="007E3BC2"/>
    <w:rsid w:val="007E47D0"/>
    <w:rsid w:val="007E54C4"/>
    <w:rsid w:val="007E5C05"/>
    <w:rsid w:val="007E5C58"/>
    <w:rsid w:val="007E64EA"/>
    <w:rsid w:val="007E64FC"/>
    <w:rsid w:val="007E7E07"/>
    <w:rsid w:val="007F002A"/>
    <w:rsid w:val="007F06FD"/>
    <w:rsid w:val="007F1F95"/>
    <w:rsid w:val="007F2749"/>
    <w:rsid w:val="007F4638"/>
    <w:rsid w:val="007F5C36"/>
    <w:rsid w:val="007F5E25"/>
    <w:rsid w:val="007F6409"/>
    <w:rsid w:val="007F71A6"/>
    <w:rsid w:val="007F7ABD"/>
    <w:rsid w:val="00800A13"/>
    <w:rsid w:val="008014C0"/>
    <w:rsid w:val="0080177C"/>
    <w:rsid w:val="00801F30"/>
    <w:rsid w:val="0080238B"/>
    <w:rsid w:val="00803403"/>
    <w:rsid w:val="0080450B"/>
    <w:rsid w:val="00805085"/>
    <w:rsid w:val="008050ED"/>
    <w:rsid w:val="00805703"/>
    <w:rsid w:val="00806362"/>
    <w:rsid w:val="00806591"/>
    <w:rsid w:val="00806E37"/>
    <w:rsid w:val="008077F0"/>
    <w:rsid w:val="00810A6F"/>
    <w:rsid w:val="00810ADF"/>
    <w:rsid w:val="00811807"/>
    <w:rsid w:val="00811A5A"/>
    <w:rsid w:val="00811FF5"/>
    <w:rsid w:val="0081252B"/>
    <w:rsid w:val="00812EA9"/>
    <w:rsid w:val="0081383A"/>
    <w:rsid w:val="0081412F"/>
    <w:rsid w:val="008151AB"/>
    <w:rsid w:val="008159E0"/>
    <w:rsid w:val="008167AC"/>
    <w:rsid w:val="00816954"/>
    <w:rsid w:val="008171D4"/>
    <w:rsid w:val="00817624"/>
    <w:rsid w:val="008200DB"/>
    <w:rsid w:val="008209EF"/>
    <w:rsid w:val="00820CF9"/>
    <w:rsid w:val="00821079"/>
    <w:rsid w:val="00821800"/>
    <w:rsid w:val="00822B94"/>
    <w:rsid w:val="008235F1"/>
    <w:rsid w:val="00823AD2"/>
    <w:rsid w:val="008240C6"/>
    <w:rsid w:val="0082596D"/>
    <w:rsid w:val="00825E64"/>
    <w:rsid w:val="0082653E"/>
    <w:rsid w:val="00826762"/>
    <w:rsid w:val="00826BCD"/>
    <w:rsid w:val="00827905"/>
    <w:rsid w:val="00827BC0"/>
    <w:rsid w:val="00827D42"/>
    <w:rsid w:val="00830A26"/>
    <w:rsid w:val="00832FD2"/>
    <w:rsid w:val="0083356C"/>
    <w:rsid w:val="00833A0B"/>
    <w:rsid w:val="00835918"/>
    <w:rsid w:val="00835D05"/>
    <w:rsid w:val="00835E3A"/>
    <w:rsid w:val="00836178"/>
    <w:rsid w:val="00836312"/>
    <w:rsid w:val="00836C14"/>
    <w:rsid w:val="00837805"/>
    <w:rsid w:val="00837F59"/>
    <w:rsid w:val="008404B7"/>
    <w:rsid w:val="008405BF"/>
    <w:rsid w:val="00841451"/>
    <w:rsid w:val="00841C34"/>
    <w:rsid w:val="00841F4F"/>
    <w:rsid w:val="008423F5"/>
    <w:rsid w:val="00842637"/>
    <w:rsid w:val="0084315F"/>
    <w:rsid w:val="00843AEB"/>
    <w:rsid w:val="00844639"/>
    <w:rsid w:val="00844F56"/>
    <w:rsid w:val="0084605B"/>
    <w:rsid w:val="00846E47"/>
    <w:rsid w:val="0084728D"/>
    <w:rsid w:val="0084753D"/>
    <w:rsid w:val="00850005"/>
    <w:rsid w:val="0085029A"/>
    <w:rsid w:val="008503BF"/>
    <w:rsid w:val="00851E7F"/>
    <w:rsid w:val="00852667"/>
    <w:rsid w:val="00852750"/>
    <w:rsid w:val="00853803"/>
    <w:rsid w:val="00853A4F"/>
    <w:rsid w:val="0085425C"/>
    <w:rsid w:val="00854DF8"/>
    <w:rsid w:val="00855593"/>
    <w:rsid w:val="00856ED0"/>
    <w:rsid w:val="008624F5"/>
    <w:rsid w:val="00863643"/>
    <w:rsid w:val="00863F84"/>
    <w:rsid w:val="00864AF6"/>
    <w:rsid w:val="008652A5"/>
    <w:rsid w:val="008663D2"/>
    <w:rsid w:val="00866C2F"/>
    <w:rsid w:val="00866E7B"/>
    <w:rsid w:val="0086714D"/>
    <w:rsid w:val="00867E84"/>
    <w:rsid w:val="00870436"/>
    <w:rsid w:val="0087069F"/>
    <w:rsid w:val="008708ED"/>
    <w:rsid w:val="00871BF0"/>
    <w:rsid w:val="00871DC2"/>
    <w:rsid w:val="00872324"/>
    <w:rsid w:val="00872A16"/>
    <w:rsid w:val="00873091"/>
    <w:rsid w:val="00873B30"/>
    <w:rsid w:val="008748D2"/>
    <w:rsid w:val="00875163"/>
    <w:rsid w:val="00875537"/>
    <w:rsid w:val="008755C1"/>
    <w:rsid w:val="00875D75"/>
    <w:rsid w:val="00877684"/>
    <w:rsid w:val="00877922"/>
    <w:rsid w:val="0088007C"/>
    <w:rsid w:val="00880305"/>
    <w:rsid w:val="008806E3"/>
    <w:rsid w:val="0088097F"/>
    <w:rsid w:val="0088211A"/>
    <w:rsid w:val="0088295C"/>
    <w:rsid w:val="00882F9F"/>
    <w:rsid w:val="00883E16"/>
    <w:rsid w:val="008848BD"/>
    <w:rsid w:val="00884B5C"/>
    <w:rsid w:val="00885909"/>
    <w:rsid w:val="00885A70"/>
    <w:rsid w:val="008869FC"/>
    <w:rsid w:val="00886A71"/>
    <w:rsid w:val="00886EC2"/>
    <w:rsid w:val="00887D0A"/>
    <w:rsid w:val="00887D5A"/>
    <w:rsid w:val="00890D9E"/>
    <w:rsid w:val="00890E83"/>
    <w:rsid w:val="00890FB6"/>
    <w:rsid w:val="008912DD"/>
    <w:rsid w:val="00891FAD"/>
    <w:rsid w:val="00892604"/>
    <w:rsid w:val="0089355F"/>
    <w:rsid w:val="008936B6"/>
    <w:rsid w:val="0089370A"/>
    <w:rsid w:val="0089384B"/>
    <w:rsid w:val="00893909"/>
    <w:rsid w:val="00894B31"/>
    <w:rsid w:val="00894B97"/>
    <w:rsid w:val="00894FA0"/>
    <w:rsid w:val="00896E41"/>
    <w:rsid w:val="008A1195"/>
    <w:rsid w:val="008A1776"/>
    <w:rsid w:val="008A1B38"/>
    <w:rsid w:val="008A25EF"/>
    <w:rsid w:val="008A2CAC"/>
    <w:rsid w:val="008A3345"/>
    <w:rsid w:val="008A3D62"/>
    <w:rsid w:val="008A46B7"/>
    <w:rsid w:val="008A6B39"/>
    <w:rsid w:val="008B0BE1"/>
    <w:rsid w:val="008B1396"/>
    <w:rsid w:val="008B1831"/>
    <w:rsid w:val="008B21F6"/>
    <w:rsid w:val="008B258A"/>
    <w:rsid w:val="008B2D7F"/>
    <w:rsid w:val="008B34E3"/>
    <w:rsid w:val="008B4494"/>
    <w:rsid w:val="008B4B6B"/>
    <w:rsid w:val="008B4DA0"/>
    <w:rsid w:val="008B4EEF"/>
    <w:rsid w:val="008B56D0"/>
    <w:rsid w:val="008B57F0"/>
    <w:rsid w:val="008B59DA"/>
    <w:rsid w:val="008B72F0"/>
    <w:rsid w:val="008B7837"/>
    <w:rsid w:val="008B7F85"/>
    <w:rsid w:val="008C01F3"/>
    <w:rsid w:val="008C07F4"/>
    <w:rsid w:val="008C08F6"/>
    <w:rsid w:val="008C0CF6"/>
    <w:rsid w:val="008C105F"/>
    <w:rsid w:val="008C13E1"/>
    <w:rsid w:val="008C28F4"/>
    <w:rsid w:val="008C2B87"/>
    <w:rsid w:val="008C2D3E"/>
    <w:rsid w:val="008C2DFC"/>
    <w:rsid w:val="008C456F"/>
    <w:rsid w:val="008C4B9E"/>
    <w:rsid w:val="008C4FAB"/>
    <w:rsid w:val="008C51D7"/>
    <w:rsid w:val="008C5202"/>
    <w:rsid w:val="008C649D"/>
    <w:rsid w:val="008C6ED0"/>
    <w:rsid w:val="008C7ED4"/>
    <w:rsid w:val="008D022C"/>
    <w:rsid w:val="008D0613"/>
    <w:rsid w:val="008D1ABF"/>
    <w:rsid w:val="008D1C71"/>
    <w:rsid w:val="008D32DF"/>
    <w:rsid w:val="008D4169"/>
    <w:rsid w:val="008D4253"/>
    <w:rsid w:val="008D5243"/>
    <w:rsid w:val="008D56F9"/>
    <w:rsid w:val="008D5BEC"/>
    <w:rsid w:val="008D6E62"/>
    <w:rsid w:val="008D70FA"/>
    <w:rsid w:val="008D729F"/>
    <w:rsid w:val="008D7485"/>
    <w:rsid w:val="008D7982"/>
    <w:rsid w:val="008E0000"/>
    <w:rsid w:val="008E02DE"/>
    <w:rsid w:val="008E0314"/>
    <w:rsid w:val="008E0825"/>
    <w:rsid w:val="008E16D4"/>
    <w:rsid w:val="008E2B73"/>
    <w:rsid w:val="008E2EB1"/>
    <w:rsid w:val="008E3055"/>
    <w:rsid w:val="008E308F"/>
    <w:rsid w:val="008E427A"/>
    <w:rsid w:val="008E544A"/>
    <w:rsid w:val="008E740E"/>
    <w:rsid w:val="008F043D"/>
    <w:rsid w:val="008F0996"/>
    <w:rsid w:val="008F3059"/>
    <w:rsid w:val="008F3107"/>
    <w:rsid w:val="008F314A"/>
    <w:rsid w:val="008F3D6F"/>
    <w:rsid w:val="008F4472"/>
    <w:rsid w:val="008F79DE"/>
    <w:rsid w:val="009010D4"/>
    <w:rsid w:val="00901295"/>
    <w:rsid w:val="00901DDA"/>
    <w:rsid w:val="0090415F"/>
    <w:rsid w:val="00904179"/>
    <w:rsid w:val="009043E6"/>
    <w:rsid w:val="00905107"/>
    <w:rsid w:val="009063CC"/>
    <w:rsid w:val="0090657F"/>
    <w:rsid w:val="00906761"/>
    <w:rsid w:val="00906D14"/>
    <w:rsid w:val="009073A2"/>
    <w:rsid w:val="00910615"/>
    <w:rsid w:val="0091085A"/>
    <w:rsid w:val="00910C41"/>
    <w:rsid w:val="00911491"/>
    <w:rsid w:val="00911CE8"/>
    <w:rsid w:val="00912470"/>
    <w:rsid w:val="00913742"/>
    <w:rsid w:val="009137B1"/>
    <w:rsid w:val="00913AEA"/>
    <w:rsid w:val="00913B30"/>
    <w:rsid w:val="00915583"/>
    <w:rsid w:val="0091559E"/>
    <w:rsid w:val="009158E5"/>
    <w:rsid w:val="009158E7"/>
    <w:rsid w:val="009166A9"/>
    <w:rsid w:val="00916C5B"/>
    <w:rsid w:val="00917194"/>
    <w:rsid w:val="0091724E"/>
    <w:rsid w:val="00917C8B"/>
    <w:rsid w:val="00920118"/>
    <w:rsid w:val="00922777"/>
    <w:rsid w:val="00923E3D"/>
    <w:rsid w:val="00923EBE"/>
    <w:rsid w:val="00924495"/>
    <w:rsid w:val="0092486B"/>
    <w:rsid w:val="00924CF0"/>
    <w:rsid w:val="00927384"/>
    <w:rsid w:val="00927406"/>
    <w:rsid w:val="009274DC"/>
    <w:rsid w:val="00927901"/>
    <w:rsid w:val="00927B7C"/>
    <w:rsid w:val="00927F49"/>
    <w:rsid w:val="0093010B"/>
    <w:rsid w:val="00930819"/>
    <w:rsid w:val="00930EC3"/>
    <w:rsid w:val="00930F88"/>
    <w:rsid w:val="00932227"/>
    <w:rsid w:val="009336AF"/>
    <w:rsid w:val="00933A10"/>
    <w:rsid w:val="00935272"/>
    <w:rsid w:val="0093668F"/>
    <w:rsid w:val="009366A8"/>
    <w:rsid w:val="00936A48"/>
    <w:rsid w:val="00936E11"/>
    <w:rsid w:val="009370C1"/>
    <w:rsid w:val="00940595"/>
    <w:rsid w:val="00941AF2"/>
    <w:rsid w:val="00942AC5"/>
    <w:rsid w:val="00942C23"/>
    <w:rsid w:val="00942FB3"/>
    <w:rsid w:val="0094316C"/>
    <w:rsid w:val="0094376A"/>
    <w:rsid w:val="0094384E"/>
    <w:rsid w:val="00943CE0"/>
    <w:rsid w:val="009446EC"/>
    <w:rsid w:val="009455DA"/>
    <w:rsid w:val="00945BF3"/>
    <w:rsid w:val="009462F8"/>
    <w:rsid w:val="00947BD0"/>
    <w:rsid w:val="00950844"/>
    <w:rsid w:val="0095222F"/>
    <w:rsid w:val="00952606"/>
    <w:rsid w:val="009529D1"/>
    <w:rsid w:val="00953393"/>
    <w:rsid w:val="00953C41"/>
    <w:rsid w:val="00955584"/>
    <w:rsid w:val="0095581E"/>
    <w:rsid w:val="00955DA8"/>
    <w:rsid w:val="00955F2D"/>
    <w:rsid w:val="009567D4"/>
    <w:rsid w:val="0095680E"/>
    <w:rsid w:val="00957909"/>
    <w:rsid w:val="00957F65"/>
    <w:rsid w:val="00960436"/>
    <w:rsid w:val="009608E3"/>
    <w:rsid w:val="00961D0C"/>
    <w:rsid w:val="009624C3"/>
    <w:rsid w:val="009625EF"/>
    <w:rsid w:val="0096298B"/>
    <w:rsid w:val="00963D2F"/>
    <w:rsid w:val="00964541"/>
    <w:rsid w:val="00965CDB"/>
    <w:rsid w:val="0096686B"/>
    <w:rsid w:val="009668B6"/>
    <w:rsid w:val="00966BDF"/>
    <w:rsid w:val="0096716C"/>
    <w:rsid w:val="00967216"/>
    <w:rsid w:val="00967357"/>
    <w:rsid w:val="00967DAE"/>
    <w:rsid w:val="00970B2C"/>
    <w:rsid w:val="00970BE7"/>
    <w:rsid w:val="00970F2D"/>
    <w:rsid w:val="00971A34"/>
    <w:rsid w:val="00971CB4"/>
    <w:rsid w:val="00972380"/>
    <w:rsid w:val="00972C0A"/>
    <w:rsid w:val="00972E2E"/>
    <w:rsid w:val="00973078"/>
    <w:rsid w:val="00973805"/>
    <w:rsid w:val="00973FCB"/>
    <w:rsid w:val="009741CE"/>
    <w:rsid w:val="00974B21"/>
    <w:rsid w:val="00975033"/>
    <w:rsid w:val="00975169"/>
    <w:rsid w:val="00975B9E"/>
    <w:rsid w:val="00975E8C"/>
    <w:rsid w:val="009767A1"/>
    <w:rsid w:val="00976CDB"/>
    <w:rsid w:val="00977D2B"/>
    <w:rsid w:val="0098183D"/>
    <w:rsid w:val="00983317"/>
    <w:rsid w:val="009833B9"/>
    <w:rsid w:val="009837CC"/>
    <w:rsid w:val="00985045"/>
    <w:rsid w:val="009867B2"/>
    <w:rsid w:val="0098788E"/>
    <w:rsid w:val="009902C9"/>
    <w:rsid w:val="009905AB"/>
    <w:rsid w:val="00990716"/>
    <w:rsid w:val="00990ABA"/>
    <w:rsid w:val="00990C4D"/>
    <w:rsid w:val="00992053"/>
    <w:rsid w:val="009926A2"/>
    <w:rsid w:val="00992A80"/>
    <w:rsid w:val="009934F1"/>
    <w:rsid w:val="00993D9F"/>
    <w:rsid w:val="00993DB9"/>
    <w:rsid w:val="0099529C"/>
    <w:rsid w:val="00995C27"/>
    <w:rsid w:val="00995E4C"/>
    <w:rsid w:val="00996687"/>
    <w:rsid w:val="00996FE1"/>
    <w:rsid w:val="00997B91"/>
    <w:rsid w:val="009A0223"/>
    <w:rsid w:val="009A127B"/>
    <w:rsid w:val="009A1D23"/>
    <w:rsid w:val="009A2255"/>
    <w:rsid w:val="009A2734"/>
    <w:rsid w:val="009A3334"/>
    <w:rsid w:val="009A3416"/>
    <w:rsid w:val="009A3A03"/>
    <w:rsid w:val="009A4202"/>
    <w:rsid w:val="009A4347"/>
    <w:rsid w:val="009A4BA9"/>
    <w:rsid w:val="009A5B45"/>
    <w:rsid w:val="009A5B8C"/>
    <w:rsid w:val="009A66B9"/>
    <w:rsid w:val="009A6F6F"/>
    <w:rsid w:val="009A749A"/>
    <w:rsid w:val="009A76C6"/>
    <w:rsid w:val="009A7AF9"/>
    <w:rsid w:val="009B0955"/>
    <w:rsid w:val="009B0D69"/>
    <w:rsid w:val="009B198E"/>
    <w:rsid w:val="009B1B79"/>
    <w:rsid w:val="009B253D"/>
    <w:rsid w:val="009B49A6"/>
    <w:rsid w:val="009B7853"/>
    <w:rsid w:val="009B7E35"/>
    <w:rsid w:val="009B7EB7"/>
    <w:rsid w:val="009B7F6B"/>
    <w:rsid w:val="009C15EC"/>
    <w:rsid w:val="009C1719"/>
    <w:rsid w:val="009C2A80"/>
    <w:rsid w:val="009C3CCC"/>
    <w:rsid w:val="009C3E62"/>
    <w:rsid w:val="009C4A4D"/>
    <w:rsid w:val="009C5A93"/>
    <w:rsid w:val="009C5CD1"/>
    <w:rsid w:val="009C6574"/>
    <w:rsid w:val="009C65F3"/>
    <w:rsid w:val="009C76DB"/>
    <w:rsid w:val="009D0170"/>
    <w:rsid w:val="009D03F5"/>
    <w:rsid w:val="009D226E"/>
    <w:rsid w:val="009D290E"/>
    <w:rsid w:val="009D2BBA"/>
    <w:rsid w:val="009D38EA"/>
    <w:rsid w:val="009D394B"/>
    <w:rsid w:val="009D3AB0"/>
    <w:rsid w:val="009D4946"/>
    <w:rsid w:val="009D4E34"/>
    <w:rsid w:val="009D55FF"/>
    <w:rsid w:val="009D5E36"/>
    <w:rsid w:val="009D65ED"/>
    <w:rsid w:val="009D6FAB"/>
    <w:rsid w:val="009D7CB0"/>
    <w:rsid w:val="009D7EA4"/>
    <w:rsid w:val="009E07FC"/>
    <w:rsid w:val="009E07FE"/>
    <w:rsid w:val="009E1485"/>
    <w:rsid w:val="009E1909"/>
    <w:rsid w:val="009E232A"/>
    <w:rsid w:val="009E31F8"/>
    <w:rsid w:val="009E3295"/>
    <w:rsid w:val="009E338A"/>
    <w:rsid w:val="009E3532"/>
    <w:rsid w:val="009E3C23"/>
    <w:rsid w:val="009E4DCE"/>
    <w:rsid w:val="009E5A5D"/>
    <w:rsid w:val="009E6AB5"/>
    <w:rsid w:val="009E6FFE"/>
    <w:rsid w:val="009E7291"/>
    <w:rsid w:val="009E76EE"/>
    <w:rsid w:val="009E789F"/>
    <w:rsid w:val="009F1A28"/>
    <w:rsid w:val="009F23FC"/>
    <w:rsid w:val="009F32F4"/>
    <w:rsid w:val="009F3857"/>
    <w:rsid w:val="009F4C7F"/>
    <w:rsid w:val="009F503F"/>
    <w:rsid w:val="009F57FB"/>
    <w:rsid w:val="009F590A"/>
    <w:rsid w:val="009F5E33"/>
    <w:rsid w:val="009F6790"/>
    <w:rsid w:val="009F6897"/>
    <w:rsid w:val="009F752F"/>
    <w:rsid w:val="00A009D3"/>
    <w:rsid w:val="00A01E8B"/>
    <w:rsid w:val="00A02181"/>
    <w:rsid w:val="00A02587"/>
    <w:rsid w:val="00A029C0"/>
    <w:rsid w:val="00A03503"/>
    <w:rsid w:val="00A03AD1"/>
    <w:rsid w:val="00A04759"/>
    <w:rsid w:val="00A05025"/>
    <w:rsid w:val="00A05730"/>
    <w:rsid w:val="00A05769"/>
    <w:rsid w:val="00A061E6"/>
    <w:rsid w:val="00A06882"/>
    <w:rsid w:val="00A07874"/>
    <w:rsid w:val="00A112BB"/>
    <w:rsid w:val="00A1145B"/>
    <w:rsid w:val="00A117D6"/>
    <w:rsid w:val="00A1277E"/>
    <w:rsid w:val="00A127A5"/>
    <w:rsid w:val="00A127AA"/>
    <w:rsid w:val="00A1331B"/>
    <w:rsid w:val="00A145E0"/>
    <w:rsid w:val="00A14765"/>
    <w:rsid w:val="00A1483E"/>
    <w:rsid w:val="00A14BA8"/>
    <w:rsid w:val="00A1554A"/>
    <w:rsid w:val="00A15782"/>
    <w:rsid w:val="00A158A9"/>
    <w:rsid w:val="00A158F9"/>
    <w:rsid w:val="00A15B11"/>
    <w:rsid w:val="00A15BC2"/>
    <w:rsid w:val="00A16292"/>
    <w:rsid w:val="00A16AE6"/>
    <w:rsid w:val="00A201D6"/>
    <w:rsid w:val="00A211BA"/>
    <w:rsid w:val="00A219B3"/>
    <w:rsid w:val="00A230D6"/>
    <w:rsid w:val="00A234AD"/>
    <w:rsid w:val="00A2477B"/>
    <w:rsid w:val="00A257E4"/>
    <w:rsid w:val="00A258FE"/>
    <w:rsid w:val="00A25C59"/>
    <w:rsid w:val="00A26FAF"/>
    <w:rsid w:val="00A2710E"/>
    <w:rsid w:val="00A275B1"/>
    <w:rsid w:val="00A2795D"/>
    <w:rsid w:val="00A27CFD"/>
    <w:rsid w:val="00A27EA3"/>
    <w:rsid w:val="00A31DA2"/>
    <w:rsid w:val="00A32753"/>
    <w:rsid w:val="00A33AF8"/>
    <w:rsid w:val="00A33E43"/>
    <w:rsid w:val="00A34213"/>
    <w:rsid w:val="00A34632"/>
    <w:rsid w:val="00A3487F"/>
    <w:rsid w:val="00A34981"/>
    <w:rsid w:val="00A34ED1"/>
    <w:rsid w:val="00A35E0E"/>
    <w:rsid w:val="00A367B9"/>
    <w:rsid w:val="00A368D3"/>
    <w:rsid w:val="00A36EDD"/>
    <w:rsid w:val="00A36F1B"/>
    <w:rsid w:val="00A37834"/>
    <w:rsid w:val="00A37992"/>
    <w:rsid w:val="00A37B94"/>
    <w:rsid w:val="00A407D3"/>
    <w:rsid w:val="00A40E96"/>
    <w:rsid w:val="00A40F99"/>
    <w:rsid w:val="00A41327"/>
    <w:rsid w:val="00A415D5"/>
    <w:rsid w:val="00A423E4"/>
    <w:rsid w:val="00A423EE"/>
    <w:rsid w:val="00A4244D"/>
    <w:rsid w:val="00A42499"/>
    <w:rsid w:val="00A4335F"/>
    <w:rsid w:val="00A4343E"/>
    <w:rsid w:val="00A434AF"/>
    <w:rsid w:val="00A442D4"/>
    <w:rsid w:val="00A452EA"/>
    <w:rsid w:val="00A4531C"/>
    <w:rsid w:val="00A45967"/>
    <w:rsid w:val="00A45B48"/>
    <w:rsid w:val="00A45D8C"/>
    <w:rsid w:val="00A46847"/>
    <w:rsid w:val="00A46DA7"/>
    <w:rsid w:val="00A471CB"/>
    <w:rsid w:val="00A501DE"/>
    <w:rsid w:val="00A51121"/>
    <w:rsid w:val="00A51679"/>
    <w:rsid w:val="00A522F8"/>
    <w:rsid w:val="00A52F2D"/>
    <w:rsid w:val="00A541A2"/>
    <w:rsid w:val="00A543AC"/>
    <w:rsid w:val="00A55320"/>
    <w:rsid w:val="00A560BD"/>
    <w:rsid w:val="00A5732F"/>
    <w:rsid w:val="00A5762D"/>
    <w:rsid w:val="00A600E2"/>
    <w:rsid w:val="00A606C2"/>
    <w:rsid w:val="00A60A14"/>
    <w:rsid w:val="00A60B09"/>
    <w:rsid w:val="00A60E0E"/>
    <w:rsid w:val="00A60FB6"/>
    <w:rsid w:val="00A61650"/>
    <w:rsid w:val="00A618AC"/>
    <w:rsid w:val="00A62082"/>
    <w:rsid w:val="00A6336F"/>
    <w:rsid w:val="00A638B5"/>
    <w:rsid w:val="00A63F0F"/>
    <w:rsid w:val="00A64CA3"/>
    <w:rsid w:val="00A64E73"/>
    <w:rsid w:val="00A65A5D"/>
    <w:rsid w:val="00A66F0D"/>
    <w:rsid w:val="00A67EFD"/>
    <w:rsid w:val="00A7001D"/>
    <w:rsid w:val="00A709C5"/>
    <w:rsid w:val="00A70EB5"/>
    <w:rsid w:val="00A7192E"/>
    <w:rsid w:val="00A726DD"/>
    <w:rsid w:val="00A72D1C"/>
    <w:rsid w:val="00A739C4"/>
    <w:rsid w:val="00A74794"/>
    <w:rsid w:val="00A74ABA"/>
    <w:rsid w:val="00A74EDF"/>
    <w:rsid w:val="00A75606"/>
    <w:rsid w:val="00A75F1F"/>
    <w:rsid w:val="00A76106"/>
    <w:rsid w:val="00A77706"/>
    <w:rsid w:val="00A8002B"/>
    <w:rsid w:val="00A80391"/>
    <w:rsid w:val="00A803D1"/>
    <w:rsid w:val="00A807FB"/>
    <w:rsid w:val="00A81E6C"/>
    <w:rsid w:val="00A82AF7"/>
    <w:rsid w:val="00A8307C"/>
    <w:rsid w:val="00A83A59"/>
    <w:rsid w:val="00A83A7A"/>
    <w:rsid w:val="00A83EC8"/>
    <w:rsid w:val="00A84A04"/>
    <w:rsid w:val="00A860F5"/>
    <w:rsid w:val="00A871B9"/>
    <w:rsid w:val="00A879AE"/>
    <w:rsid w:val="00A87CBF"/>
    <w:rsid w:val="00A90233"/>
    <w:rsid w:val="00A906DB"/>
    <w:rsid w:val="00A90A51"/>
    <w:rsid w:val="00A9379A"/>
    <w:rsid w:val="00A93C8A"/>
    <w:rsid w:val="00A93D46"/>
    <w:rsid w:val="00A958AA"/>
    <w:rsid w:val="00A9611A"/>
    <w:rsid w:val="00A964F3"/>
    <w:rsid w:val="00A97D38"/>
    <w:rsid w:val="00AA014C"/>
    <w:rsid w:val="00AA0545"/>
    <w:rsid w:val="00AA0832"/>
    <w:rsid w:val="00AA0956"/>
    <w:rsid w:val="00AA0AA9"/>
    <w:rsid w:val="00AA0B5A"/>
    <w:rsid w:val="00AA0DF7"/>
    <w:rsid w:val="00AA18E6"/>
    <w:rsid w:val="00AA1FF4"/>
    <w:rsid w:val="00AA279E"/>
    <w:rsid w:val="00AA3C04"/>
    <w:rsid w:val="00AA4660"/>
    <w:rsid w:val="00AA4886"/>
    <w:rsid w:val="00AA5DE5"/>
    <w:rsid w:val="00AA5E5E"/>
    <w:rsid w:val="00AA73A9"/>
    <w:rsid w:val="00AA73B4"/>
    <w:rsid w:val="00AA78E9"/>
    <w:rsid w:val="00AB1555"/>
    <w:rsid w:val="00AB16D3"/>
    <w:rsid w:val="00AB1747"/>
    <w:rsid w:val="00AB264F"/>
    <w:rsid w:val="00AB2C85"/>
    <w:rsid w:val="00AB3353"/>
    <w:rsid w:val="00AB3CA0"/>
    <w:rsid w:val="00AB4F47"/>
    <w:rsid w:val="00AB51DD"/>
    <w:rsid w:val="00AB536C"/>
    <w:rsid w:val="00AB5542"/>
    <w:rsid w:val="00AB5A8A"/>
    <w:rsid w:val="00AB5F74"/>
    <w:rsid w:val="00AB6386"/>
    <w:rsid w:val="00AB72A8"/>
    <w:rsid w:val="00AB768E"/>
    <w:rsid w:val="00AB7B5E"/>
    <w:rsid w:val="00AB7BA1"/>
    <w:rsid w:val="00AB7F72"/>
    <w:rsid w:val="00AC0188"/>
    <w:rsid w:val="00AC0758"/>
    <w:rsid w:val="00AC28AD"/>
    <w:rsid w:val="00AC3440"/>
    <w:rsid w:val="00AC4B41"/>
    <w:rsid w:val="00AC554F"/>
    <w:rsid w:val="00AC6C48"/>
    <w:rsid w:val="00AC7069"/>
    <w:rsid w:val="00AC773E"/>
    <w:rsid w:val="00AD03CE"/>
    <w:rsid w:val="00AD0431"/>
    <w:rsid w:val="00AD08CB"/>
    <w:rsid w:val="00AD0A72"/>
    <w:rsid w:val="00AD0EA4"/>
    <w:rsid w:val="00AD0EB4"/>
    <w:rsid w:val="00AD1461"/>
    <w:rsid w:val="00AD179A"/>
    <w:rsid w:val="00AD266B"/>
    <w:rsid w:val="00AD3C92"/>
    <w:rsid w:val="00AD5326"/>
    <w:rsid w:val="00AD567E"/>
    <w:rsid w:val="00AD5A9E"/>
    <w:rsid w:val="00AD5D1E"/>
    <w:rsid w:val="00AD5E60"/>
    <w:rsid w:val="00AD6A0B"/>
    <w:rsid w:val="00AD7A14"/>
    <w:rsid w:val="00AE00E1"/>
    <w:rsid w:val="00AE0421"/>
    <w:rsid w:val="00AE1F38"/>
    <w:rsid w:val="00AE24B9"/>
    <w:rsid w:val="00AE2F3C"/>
    <w:rsid w:val="00AE321E"/>
    <w:rsid w:val="00AE384B"/>
    <w:rsid w:val="00AE4312"/>
    <w:rsid w:val="00AE4738"/>
    <w:rsid w:val="00AE4F25"/>
    <w:rsid w:val="00AE5363"/>
    <w:rsid w:val="00AE53D6"/>
    <w:rsid w:val="00AE6878"/>
    <w:rsid w:val="00AE7BAA"/>
    <w:rsid w:val="00AF00DD"/>
    <w:rsid w:val="00AF0383"/>
    <w:rsid w:val="00AF08B9"/>
    <w:rsid w:val="00AF2289"/>
    <w:rsid w:val="00AF2AAB"/>
    <w:rsid w:val="00AF2FFD"/>
    <w:rsid w:val="00AF349A"/>
    <w:rsid w:val="00AF3568"/>
    <w:rsid w:val="00AF3973"/>
    <w:rsid w:val="00AF3EA5"/>
    <w:rsid w:val="00AF405B"/>
    <w:rsid w:val="00AF421A"/>
    <w:rsid w:val="00AF47FC"/>
    <w:rsid w:val="00AF5239"/>
    <w:rsid w:val="00AF5851"/>
    <w:rsid w:val="00AF6091"/>
    <w:rsid w:val="00AF657C"/>
    <w:rsid w:val="00B00284"/>
    <w:rsid w:val="00B012B2"/>
    <w:rsid w:val="00B01C59"/>
    <w:rsid w:val="00B01DA3"/>
    <w:rsid w:val="00B027AA"/>
    <w:rsid w:val="00B027C8"/>
    <w:rsid w:val="00B0323A"/>
    <w:rsid w:val="00B0353C"/>
    <w:rsid w:val="00B0365E"/>
    <w:rsid w:val="00B03ED8"/>
    <w:rsid w:val="00B04119"/>
    <w:rsid w:val="00B050C8"/>
    <w:rsid w:val="00B06128"/>
    <w:rsid w:val="00B068AB"/>
    <w:rsid w:val="00B07729"/>
    <w:rsid w:val="00B10119"/>
    <w:rsid w:val="00B1036A"/>
    <w:rsid w:val="00B10EFD"/>
    <w:rsid w:val="00B1136E"/>
    <w:rsid w:val="00B11884"/>
    <w:rsid w:val="00B119A9"/>
    <w:rsid w:val="00B11C71"/>
    <w:rsid w:val="00B12D45"/>
    <w:rsid w:val="00B138A3"/>
    <w:rsid w:val="00B14959"/>
    <w:rsid w:val="00B14B7F"/>
    <w:rsid w:val="00B15B9E"/>
    <w:rsid w:val="00B1658B"/>
    <w:rsid w:val="00B1659A"/>
    <w:rsid w:val="00B167EF"/>
    <w:rsid w:val="00B17ABA"/>
    <w:rsid w:val="00B20079"/>
    <w:rsid w:val="00B21502"/>
    <w:rsid w:val="00B2154C"/>
    <w:rsid w:val="00B23314"/>
    <w:rsid w:val="00B2396E"/>
    <w:rsid w:val="00B23AB7"/>
    <w:rsid w:val="00B23EE0"/>
    <w:rsid w:val="00B248C7"/>
    <w:rsid w:val="00B24DA1"/>
    <w:rsid w:val="00B2567E"/>
    <w:rsid w:val="00B25CE2"/>
    <w:rsid w:val="00B2612B"/>
    <w:rsid w:val="00B265A9"/>
    <w:rsid w:val="00B269F4"/>
    <w:rsid w:val="00B26A43"/>
    <w:rsid w:val="00B27076"/>
    <w:rsid w:val="00B278C5"/>
    <w:rsid w:val="00B27922"/>
    <w:rsid w:val="00B30572"/>
    <w:rsid w:val="00B31B6B"/>
    <w:rsid w:val="00B31E83"/>
    <w:rsid w:val="00B3340D"/>
    <w:rsid w:val="00B33762"/>
    <w:rsid w:val="00B33B45"/>
    <w:rsid w:val="00B33BA6"/>
    <w:rsid w:val="00B341BB"/>
    <w:rsid w:val="00B34298"/>
    <w:rsid w:val="00B361AB"/>
    <w:rsid w:val="00B3660A"/>
    <w:rsid w:val="00B37830"/>
    <w:rsid w:val="00B408AD"/>
    <w:rsid w:val="00B41375"/>
    <w:rsid w:val="00B41D8A"/>
    <w:rsid w:val="00B41E08"/>
    <w:rsid w:val="00B4243E"/>
    <w:rsid w:val="00B425DF"/>
    <w:rsid w:val="00B437BF"/>
    <w:rsid w:val="00B441D8"/>
    <w:rsid w:val="00B44F1F"/>
    <w:rsid w:val="00B44FD2"/>
    <w:rsid w:val="00B51E3D"/>
    <w:rsid w:val="00B51E82"/>
    <w:rsid w:val="00B51ED5"/>
    <w:rsid w:val="00B52207"/>
    <w:rsid w:val="00B526EB"/>
    <w:rsid w:val="00B5373E"/>
    <w:rsid w:val="00B53ABD"/>
    <w:rsid w:val="00B53C08"/>
    <w:rsid w:val="00B53E77"/>
    <w:rsid w:val="00B5465A"/>
    <w:rsid w:val="00B55815"/>
    <w:rsid w:val="00B55E83"/>
    <w:rsid w:val="00B55EE0"/>
    <w:rsid w:val="00B565DE"/>
    <w:rsid w:val="00B56884"/>
    <w:rsid w:val="00B568CC"/>
    <w:rsid w:val="00B57601"/>
    <w:rsid w:val="00B57F14"/>
    <w:rsid w:val="00B57F87"/>
    <w:rsid w:val="00B6210D"/>
    <w:rsid w:val="00B63234"/>
    <w:rsid w:val="00B63793"/>
    <w:rsid w:val="00B6412C"/>
    <w:rsid w:val="00B64804"/>
    <w:rsid w:val="00B66BFB"/>
    <w:rsid w:val="00B66E3C"/>
    <w:rsid w:val="00B67EA8"/>
    <w:rsid w:val="00B7043D"/>
    <w:rsid w:val="00B70A39"/>
    <w:rsid w:val="00B71747"/>
    <w:rsid w:val="00B71D84"/>
    <w:rsid w:val="00B73D14"/>
    <w:rsid w:val="00B75A5C"/>
    <w:rsid w:val="00B75E21"/>
    <w:rsid w:val="00B761FE"/>
    <w:rsid w:val="00B76265"/>
    <w:rsid w:val="00B7649B"/>
    <w:rsid w:val="00B76540"/>
    <w:rsid w:val="00B76D26"/>
    <w:rsid w:val="00B771BB"/>
    <w:rsid w:val="00B77696"/>
    <w:rsid w:val="00B80EE9"/>
    <w:rsid w:val="00B80FE3"/>
    <w:rsid w:val="00B81093"/>
    <w:rsid w:val="00B8135A"/>
    <w:rsid w:val="00B813D0"/>
    <w:rsid w:val="00B816CE"/>
    <w:rsid w:val="00B824CA"/>
    <w:rsid w:val="00B82D40"/>
    <w:rsid w:val="00B83FCE"/>
    <w:rsid w:val="00B8425E"/>
    <w:rsid w:val="00B845E6"/>
    <w:rsid w:val="00B847CC"/>
    <w:rsid w:val="00B8495C"/>
    <w:rsid w:val="00B852AA"/>
    <w:rsid w:val="00B852F3"/>
    <w:rsid w:val="00B856B6"/>
    <w:rsid w:val="00B865BD"/>
    <w:rsid w:val="00B86D95"/>
    <w:rsid w:val="00B86E20"/>
    <w:rsid w:val="00B87528"/>
    <w:rsid w:val="00B87662"/>
    <w:rsid w:val="00B87AF0"/>
    <w:rsid w:val="00B87BD9"/>
    <w:rsid w:val="00B910B5"/>
    <w:rsid w:val="00B912FC"/>
    <w:rsid w:val="00B914D1"/>
    <w:rsid w:val="00B928A6"/>
    <w:rsid w:val="00B92F09"/>
    <w:rsid w:val="00B9371A"/>
    <w:rsid w:val="00B94BCF"/>
    <w:rsid w:val="00B96A5A"/>
    <w:rsid w:val="00B971C2"/>
    <w:rsid w:val="00BA0658"/>
    <w:rsid w:val="00BA1544"/>
    <w:rsid w:val="00BA1DAE"/>
    <w:rsid w:val="00BA1F54"/>
    <w:rsid w:val="00BA358C"/>
    <w:rsid w:val="00BA3DE0"/>
    <w:rsid w:val="00BA49C3"/>
    <w:rsid w:val="00BA5798"/>
    <w:rsid w:val="00BA5F28"/>
    <w:rsid w:val="00BA5FEA"/>
    <w:rsid w:val="00BA5FFE"/>
    <w:rsid w:val="00BA7702"/>
    <w:rsid w:val="00BB05C5"/>
    <w:rsid w:val="00BB0BCB"/>
    <w:rsid w:val="00BB1098"/>
    <w:rsid w:val="00BB15E0"/>
    <w:rsid w:val="00BB19EC"/>
    <w:rsid w:val="00BB1D4A"/>
    <w:rsid w:val="00BB2247"/>
    <w:rsid w:val="00BB2778"/>
    <w:rsid w:val="00BB28F6"/>
    <w:rsid w:val="00BB3AB9"/>
    <w:rsid w:val="00BB3B36"/>
    <w:rsid w:val="00BB3EC7"/>
    <w:rsid w:val="00BB42D3"/>
    <w:rsid w:val="00BB48FB"/>
    <w:rsid w:val="00BB4958"/>
    <w:rsid w:val="00BB4B0E"/>
    <w:rsid w:val="00BB5283"/>
    <w:rsid w:val="00BB587B"/>
    <w:rsid w:val="00BB58D3"/>
    <w:rsid w:val="00BB59CB"/>
    <w:rsid w:val="00BB60AA"/>
    <w:rsid w:val="00BB6B30"/>
    <w:rsid w:val="00BB6DFF"/>
    <w:rsid w:val="00BB7288"/>
    <w:rsid w:val="00BB73A9"/>
    <w:rsid w:val="00BB7460"/>
    <w:rsid w:val="00BC04C6"/>
    <w:rsid w:val="00BC182F"/>
    <w:rsid w:val="00BC22F0"/>
    <w:rsid w:val="00BC2467"/>
    <w:rsid w:val="00BC2EF2"/>
    <w:rsid w:val="00BC3D8A"/>
    <w:rsid w:val="00BC466F"/>
    <w:rsid w:val="00BC4CC7"/>
    <w:rsid w:val="00BC6C86"/>
    <w:rsid w:val="00BC7572"/>
    <w:rsid w:val="00BC75B6"/>
    <w:rsid w:val="00BC7E5D"/>
    <w:rsid w:val="00BD07E1"/>
    <w:rsid w:val="00BD20B2"/>
    <w:rsid w:val="00BD29C1"/>
    <w:rsid w:val="00BD2AC1"/>
    <w:rsid w:val="00BD2D79"/>
    <w:rsid w:val="00BD2E22"/>
    <w:rsid w:val="00BD3350"/>
    <w:rsid w:val="00BD377F"/>
    <w:rsid w:val="00BD3BE4"/>
    <w:rsid w:val="00BD4722"/>
    <w:rsid w:val="00BD47D9"/>
    <w:rsid w:val="00BD4C33"/>
    <w:rsid w:val="00BD536E"/>
    <w:rsid w:val="00BD6417"/>
    <w:rsid w:val="00BD757D"/>
    <w:rsid w:val="00BD7914"/>
    <w:rsid w:val="00BE01E5"/>
    <w:rsid w:val="00BE0A60"/>
    <w:rsid w:val="00BE0E45"/>
    <w:rsid w:val="00BE103A"/>
    <w:rsid w:val="00BE11DE"/>
    <w:rsid w:val="00BE13B4"/>
    <w:rsid w:val="00BE1D92"/>
    <w:rsid w:val="00BE1FED"/>
    <w:rsid w:val="00BE3219"/>
    <w:rsid w:val="00BE33F8"/>
    <w:rsid w:val="00BE4443"/>
    <w:rsid w:val="00BE4BD1"/>
    <w:rsid w:val="00BE67E4"/>
    <w:rsid w:val="00BE6BA1"/>
    <w:rsid w:val="00BE70F9"/>
    <w:rsid w:val="00BE743C"/>
    <w:rsid w:val="00BE7E23"/>
    <w:rsid w:val="00BF0940"/>
    <w:rsid w:val="00BF11EF"/>
    <w:rsid w:val="00BF1C83"/>
    <w:rsid w:val="00BF1C8B"/>
    <w:rsid w:val="00BF25FB"/>
    <w:rsid w:val="00BF2666"/>
    <w:rsid w:val="00BF273B"/>
    <w:rsid w:val="00BF328D"/>
    <w:rsid w:val="00BF44AB"/>
    <w:rsid w:val="00BF4782"/>
    <w:rsid w:val="00BF54A3"/>
    <w:rsid w:val="00BF6612"/>
    <w:rsid w:val="00BF69B3"/>
    <w:rsid w:val="00BF7174"/>
    <w:rsid w:val="00BF71B9"/>
    <w:rsid w:val="00BF769A"/>
    <w:rsid w:val="00C00588"/>
    <w:rsid w:val="00C015B8"/>
    <w:rsid w:val="00C019D7"/>
    <w:rsid w:val="00C01A05"/>
    <w:rsid w:val="00C01A86"/>
    <w:rsid w:val="00C01C55"/>
    <w:rsid w:val="00C02C57"/>
    <w:rsid w:val="00C02E7E"/>
    <w:rsid w:val="00C02EAE"/>
    <w:rsid w:val="00C0335F"/>
    <w:rsid w:val="00C03D00"/>
    <w:rsid w:val="00C04295"/>
    <w:rsid w:val="00C04316"/>
    <w:rsid w:val="00C05301"/>
    <w:rsid w:val="00C05A4A"/>
    <w:rsid w:val="00C064A7"/>
    <w:rsid w:val="00C07741"/>
    <w:rsid w:val="00C07A64"/>
    <w:rsid w:val="00C07D03"/>
    <w:rsid w:val="00C07FD0"/>
    <w:rsid w:val="00C10290"/>
    <w:rsid w:val="00C10780"/>
    <w:rsid w:val="00C11278"/>
    <w:rsid w:val="00C11669"/>
    <w:rsid w:val="00C118EF"/>
    <w:rsid w:val="00C11E86"/>
    <w:rsid w:val="00C123E7"/>
    <w:rsid w:val="00C126E2"/>
    <w:rsid w:val="00C12922"/>
    <w:rsid w:val="00C12C83"/>
    <w:rsid w:val="00C13401"/>
    <w:rsid w:val="00C139E9"/>
    <w:rsid w:val="00C15745"/>
    <w:rsid w:val="00C157D9"/>
    <w:rsid w:val="00C16175"/>
    <w:rsid w:val="00C16450"/>
    <w:rsid w:val="00C165D5"/>
    <w:rsid w:val="00C16CAE"/>
    <w:rsid w:val="00C16F12"/>
    <w:rsid w:val="00C17AF0"/>
    <w:rsid w:val="00C17B04"/>
    <w:rsid w:val="00C20055"/>
    <w:rsid w:val="00C208DF"/>
    <w:rsid w:val="00C21983"/>
    <w:rsid w:val="00C21FC5"/>
    <w:rsid w:val="00C2274D"/>
    <w:rsid w:val="00C229CB"/>
    <w:rsid w:val="00C22F5F"/>
    <w:rsid w:val="00C23039"/>
    <w:rsid w:val="00C23C99"/>
    <w:rsid w:val="00C23ECC"/>
    <w:rsid w:val="00C24F0E"/>
    <w:rsid w:val="00C25172"/>
    <w:rsid w:val="00C25D78"/>
    <w:rsid w:val="00C26AB0"/>
    <w:rsid w:val="00C273A5"/>
    <w:rsid w:val="00C30188"/>
    <w:rsid w:val="00C30BC1"/>
    <w:rsid w:val="00C31518"/>
    <w:rsid w:val="00C32088"/>
    <w:rsid w:val="00C327C9"/>
    <w:rsid w:val="00C32850"/>
    <w:rsid w:val="00C36213"/>
    <w:rsid w:val="00C366B0"/>
    <w:rsid w:val="00C36BA8"/>
    <w:rsid w:val="00C3706E"/>
    <w:rsid w:val="00C376F7"/>
    <w:rsid w:val="00C4011C"/>
    <w:rsid w:val="00C407EE"/>
    <w:rsid w:val="00C40A55"/>
    <w:rsid w:val="00C40DDE"/>
    <w:rsid w:val="00C414D9"/>
    <w:rsid w:val="00C422A2"/>
    <w:rsid w:val="00C424C7"/>
    <w:rsid w:val="00C42E7F"/>
    <w:rsid w:val="00C441DC"/>
    <w:rsid w:val="00C4441C"/>
    <w:rsid w:val="00C448FE"/>
    <w:rsid w:val="00C449E9"/>
    <w:rsid w:val="00C45223"/>
    <w:rsid w:val="00C45CA1"/>
    <w:rsid w:val="00C47AD8"/>
    <w:rsid w:val="00C50171"/>
    <w:rsid w:val="00C50261"/>
    <w:rsid w:val="00C503DB"/>
    <w:rsid w:val="00C505A6"/>
    <w:rsid w:val="00C520C0"/>
    <w:rsid w:val="00C52304"/>
    <w:rsid w:val="00C52C12"/>
    <w:rsid w:val="00C52D71"/>
    <w:rsid w:val="00C55062"/>
    <w:rsid w:val="00C56894"/>
    <w:rsid w:val="00C56B28"/>
    <w:rsid w:val="00C56BB3"/>
    <w:rsid w:val="00C56EB6"/>
    <w:rsid w:val="00C575AB"/>
    <w:rsid w:val="00C57C23"/>
    <w:rsid w:val="00C6075D"/>
    <w:rsid w:val="00C61986"/>
    <w:rsid w:val="00C61B95"/>
    <w:rsid w:val="00C62128"/>
    <w:rsid w:val="00C62D18"/>
    <w:rsid w:val="00C645AC"/>
    <w:rsid w:val="00C647D2"/>
    <w:rsid w:val="00C64A73"/>
    <w:rsid w:val="00C65CE5"/>
    <w:rsid w:val="00C663E7"/>
    <w:rsid w:val="00C66494"/>
    <w:rsid w:val="00C664E2"/>
    <w:rsid w:val="00C6685E"/>
    <w:rsid w:val="00C66B21"/>
    <w:rsid w:val="00C67874"/>
    <w:rsid w:val="00C67C98"/>
    <w:rsid w:val="00C70144"/>
    <w:rsid w:val="00C70778"/>
    <w:rsid w:val="00C70898"/>
    <w:rsid w:val="00C70E5D"/>
    <w:rsid w:val="00C73852"/>
    <w:rsid w:val="00C743A6"/>
    <w:rsid w:val="00C746D4"/>
    <w:rsid w:val="00C74C95"/>
    <w:rsid w:val="00C75266"/>
    <w:rsid w:val="00C75A86"/>
    <w:rsid w:val="00C75FCE"/>
    <w:rsid w:val="00C76136"/>
    <w:rsid w:val="00C765C3"/>
    <w:rsid w:val="00C76858"/>
    <w:rsid w:val="00C76C43"/>
    <w:rsid w:val="00C77006"/>
    <w:rsid w:val="00C77241"/>
    <w:rsid w:val="00C7724C"/>
    <w:rsid w:val="00C776BC"/>
    <w:rsid w:val="00C77FDC"/>
    <w:rsid w:val="00C80242"/>
    <w:rsid w:val="00C80BAE"/>
    <w:rsid w:val="00C81058"/>
    <w:rsid w:val="00C81063"/>
    <w:rsid w:val="00C8139D"/>
    <w:rsid w:val="00C83504"/>
    <w:rsid w:val="00C83C2A"/>
    <w:rsid w:val="00C83C5B"/>
    <w:rsid w:val="00C83FC4"/>
    <w:rsid w:val="00C84213"/>
    <w:rsid w:val="00C85927"/>
    <w:rsid w:val="00C85CF3"/>
    <w:rsid w:val="00C874C4"/>
    <w:rsid w:val="00C90033"/>
    <w:rsid w:val="00C90DDB"/>
    <w:rsid w:val="00C92579"/>
    <w:rsid w:val="00C92727"/>
    <w:rsid w:val="00C92A4B"/>
    <w:rsid w:val="00C92D74"/>
    <w:rsid w:val="00C92E44"/>
    <w:rsid w:val="00C93408"/>
    <w:rsid w:val="00C941B1"/>
    <w:rsid w:val="00C94B21"/>
    <w:rsid w:val="00C94E58"/>
    <w:rsid w:val="00C95116"/>
    <w:rsid w:val="00C95475"/>
    <w:rsid w:val="00C956C8"/>
    <w:rsid w:val="00C9584D"/>
    <w:rsid w:val="00C96F1E"/>
    <w:rsid w:val="00C9727A"/>
    <w:rsid w:val="00CA06E6"/>
    <w:rsid w:val="00CA07A6"/>
    <w:rsid w:val="00CA0BF6"/>
    <w:rsid w:val="00CA0F58"/>
    <w:rsid w:val="00CA2E49"/>
    <w:rsid w:val="00CA3775"/>
    <w:rsid w:val="00CA382B"/>
    <w:rsid w:val="00CA3977"/>
    <w:rsid w:val="00CA437F"/>
    <w:rsid w:val="00CA5606"/>
    <w:rsid w:val="00CA5654"/>
    <w:rsid w:val="00CA587D"/>
    <w:rsid w:val="00CA67CB"/>
    <w:rsid w:val="00CA6F4E"/>
    <w:rsid w:val="00CA6F66"/>
    <w:rsid w:val="00CA7219"/>
    <w:rsid w:val="00CA7EFF"/>
    <w:rsid w:val="00CB011D"/>
    <w:rsid w:val="00CB0BAA"/>
    <w:rsid w:val="00CB0C54"/>
    <w:rsid w:val="00CB1C70"/>
    <w:rsid w:val="00CB20B0"/>
    <w:rsid w:val="00CB22DC"/>
    <w:rsid w:val="00CB3962"/>
    <w:rsid w:val="00CB474F"/>
    <w:rsid w:val="00CB49A9"/>
    <w:rsid w:val="00CB4EE8"/>
    <w:rsid w:val="00CB5213"/>
    <w:rsid w:val="00CB5501"/>
    <w:rsid w:val="00CB5790"/>
    <w:rsid w:val="00CB5E82"/>
    <w:rsid w:val="00CB5F82"/>
    <w:rsid w:val="00CB6F76"/>
    <w:rsid w:val="00CB7689"/>
    <w:rsid w:val="00CB7E7D"/>
    <w:rsid w:val="00CC07F9"/>
    <w:rsid w:val="00CC0E8E"/>
    <w:rsid w:val="00CC0EF3"/>
    <w:rsid w:val="00CC1F82"/>
    <w:rsid w:val="00CC239A"/>
    <w:rsid w:val="00CC2B74"/>
    <w:rsid w:val="00CC337C"/>
    <w:rsid w:val="00CC3464"/>
    <w:rsid w:val="00CC421C"/>
    <w:rsid w:val="00CC49CB"/>
    <w:rsid w:val="00CC4F9D"/>
    <w:rsid w:val="00CC535F"/>
    <w:rsid w:val="00CC69AB"/>
    <w:rsid w:val="00CC70CD"/>
    <w:rsid w:val="00CC7371"/>
    <w:rsid w:val="00CD0196"/>
    <w:rsid w:val="00CD1142"/>
    <w:rsid w:val="00CD13BA"/>
    <w:rsid w:val="00CD4C44"/>
    <w:rsid w:val="00CD501A"/>
    <w:rsid w:val="00CD6CD6"/>
    <w:rsid w:val="00CD75FD"/>
    <w:rsid w:val="00CD7E12"/>
    <w:rsid w:val="00CE0CBA"/>
    <w:rsid w:val="00CE13B9"/>
    <w:rsid w:val="00CE351E"/>
    <w:rsid w:val="00CE3D27"/>
    <w:rsid w:val="00CE3ED5"/>
    <w:rsid w:val="00CE4C0D"/>
    <w:rsid w:val="00CE4EE0"/>
    <w:rsid w:val="00CE53E9"/>
    <w:rsid w:val="00CE5BD7"/>
    <w:rsid w:val="00CE6031"/>
    <w:rsid w:val="00CE616E"/>
    <w:rsid w:val="00CE67B2"/>
    <w:rsid w:val="00CE7280"/>
    <w:rsid w:val="00CE74CC"/>
    <w:rsid w:val="00CE7728"/>
    <w:rsid w:val="00CE7FA1"/>
    <w:rsid w:val="00CF0218"/>
    <w:rsid w:val="00CF0954"/>
    <w:rsid w:val="00CF0D54"/>
    <w:rsid w:val="00CF1B13"/>
    <w:rsid w:val="00CF1B1C"/>
    <w:rsid w:val="00CF1B64"/>
    <w:rsid w:val="00CF20B6"/>
    <w:rsid w:val="00CF21D0"/>
    <w:rsid w:val="00CF271C"/>
    <w:rsid w:val="00CF28CC"/>
    <w:rsid w:val="00CF4384"/>
    <w:rsid w:val="00CF566F"/>
    <w:rsid w:val="00CF5CA6"/>
    <w:rsid w:val="00CF5D11"/>
    <w:rsid w:val="00CF6712"/>
    <w:rsid w:val="00CF6AB8"/>
    <w:rsid w:val="00CF7C69"/>
    <w:rsid w:val="00D0021F"/>
    <w:rsid w:val="00D00DB1"/>
    <w:rsid w:val="00D019DB"/>
    <w:rsid w:val="00D02358"/>
    <w:rsid w:val="00D0241F"/>
    <w:rsid w:val="00D02BEC"/>
    <w:rsid w:val="00D02E6E"/>
    <w:rsid w:val="00D0333A"/>
    <w:rsid w:val="00D033C3"/>
    <w:rsid w:val="00D03884"/>
    <w:rsid w:val="00D039EE"/>
    <w:rsid w:val="00D0408C"/>
    <w:rsid w:val="00D04868"/>
    <w:rsid w:val="00D04AED"/>
    <w:rsid w:val="00D05670"/>
    <w:rsid w:val="00D05BD9"/>
    <w:rsid w:val="00D06067"/>
    <w:rsid w:val="00D067A3"/>
    <w:rsid w:val="00D06D88"/>
    <w:rsid w:val="00D0739A"/>
    <w:rsid w:val="00D07993"/>
    <w:rsid w:val="00D07C35"/>
    <w:rsid w:val="00D07C3A"/>
    <w:rsid w:val="00D07E9B"/>
    <w:rsid w:val="00D07EDD"/>
    <w:rsid w:val="00D107AB"/>
    <w:rsid w:val="00D1089A"/>
    <w:rsid w:val="00D10D9F"/>
    <w:rsid w:val="00D114DA"/>
    <w:rsid w:val="00D11897"/>
    <w:rsid w:val="00D11A88"/>
    <w:rsid w:val="00D12070"/>
    <w:rsid w:val="00D12891"/>
    <w:rsid w:val="00D12C92"/>
    <w:rsid w:val="00D13116"/>
    <w:rsid w:val="00D13AD1"/>
    <w:rsid w:val="00D14340"/>
    <w:rsid w:val="00D143B8"/>
    <w:rsid w:val="00D1549B"/>
    <w:rsid w:val="00D15E6D"/>
    <w:rsid w:val="00D16404"/>
    <w:rsid w:val="00D16DAA"/>
    <w:rsid w:val="00D17638"/>
    <w:rsid w:val="00D17AA3"/>
    <w:rsid w:val="00D20497"/>
    <w:rsid w:val="00D21336"/>
    <w:rsid w:val="00D21523"/>
    <w:rsid w:val="00D21DDE"/>
    <w:rsid w:val="00D22C4F"/>
    <w:rsid w:val="00D22FC3"/>
    <w:rsid w:val="00D23A47"/>
    <w:rsid w:val="00D24A5A"/>
    <w:rsid w:val="00D25280"/>
    <w:rsid w:val="00D25A43"/>
    <w:rsid w:val="00D26130"/>
    <w:rsid w:val="00D263CD"/>
    <w:rsid w:val="00D26990"/>
    <w:rsid w:val="00D27180"/>
    <w:rsid w:val="00D308C6"/>
    <w:rsid w:val="00D309F1"/>
    <w:rsid w:val="00D31D85"/>
    <w:rsid w:val="00D31F42"/>
    <w:rsid w:val="00D32D5D"/>
    <w:rsid w:val="00D32F88"/>
    <w:rsid w:val="00D330D8"/>
    <w:rsid w:val="00D332C1"/>
    <w:rsid w:val="00D3489D"/>
    <w:rsid w:val="00D349C0"/>
    <w:rsid w:val="00D34BD8"/>
    <w:rsid w:val="00D35492"/>
    <w:rsid w:val="00D35525"/>
    <w:rsid w:val="00D358D1"/>
    <w:rsid w:val="00D359FE"/>
    <w:rsid w:val="00D35D36"/>
    <w:rsid w:val="00D3779A"/>
    <w:rsid w:val="00D378C3"/>
    <w:rsid w:val="00D40C65"/>
    <w:rsid w:val="00D41F04"/>
    <w:rsid w:val="00D4244E"/>
    <w:rsid w:val="00D43C27"/>
    <w:rsid w:val="00D44675"/>
    <w:rsid w:val="00D44B1E"/>
    <w:rsid w:val="00D44E79"/>
    <w:rsid w:val="00D45225"/>
    <w:rsid w:val="00D45574"/>
    <w:rsid w:val="00D45C6D"/>
    <w:rsid w:val="00D45E8D"/>
    <w:rsid w:val="00D45F77"/>
    <w:rsid w:val="00D4607E"/>
    <w:rsid w:val="00D46166"/>
    <w:rsid w:val="00D461FF"/>
    <w:rsid w:val="00D471FF"/>
    <w:rsid w:val="00D47536"/>
    <w:rsid w:val="00D4782C"/>
    <w:rsid w:val="00D50485"/>
    <w:rsid w:val="00D51C99"/>
    <w:rsid w:val="00D53467"/>
    <w:rsid w:val="00D55305"/>
    <w:rsid w:val="00D558B9"/>
    <w:rsid w:val="00D55C64"/>
    <w:rsid w:val="00D5736A"/>
    <w:rsid w:val="00D5777C"/>
    <w:rsid w:val="00D57A3C"/>
    <w:rsid w:val="00D611E5"/>
    <w:rsid w:val="00D626EC"/>
    <w:rsid w:val="00D62992"/>
    <w:rsid w:val="00D62F96"/>
    <w:rsid w:val="00D644A8"/>
    <w:rsid w:val="00D649BF"/>
    <w:rsid w:val="00D64F63"/>
    <w:rsid w:val="00D66139"/>
    <w:rsid w:val="00D66373"/>
    <w:rsid w:val="00D66611"/>
    <w:rsid w:val="00D66CAB"/>
    <w:rsid w:val="00D6728A"/>
    <w:rsid w:val="00D67459"/>
    <w:rsid w:val="00D6767F"/>
    <w:rsid w:val="00D67B8D"/>
    <w:rsid w:val="00D70A7E"/>
    <w:rsid w:val="00D710C7"/>
    <w:rsid w:val="00D71432"/>
    <w:rsid w:val="00D73504"/>
    <w:rsid w:val="00D7356E"/>
    <w:rsid w:val="00D73583"/>
    <w:rsid w:val="00D73D54"/>
    <w:rsid w:val="00D74C5C"/>
    <w:rsid w:val="00D74CC6"/>
    <w:rsid w:val="00D756B5"/>
    <w:rsid w:val="00D75A70"/>
    <w:rsid w:val="00D760E4"/>
    <w:rsid w:val="00D763FC"/>
    <w:rsid w:val="00D767C9"/>
    <w:rsid w:val="00D76C27"/>
    <w:rsid w:val="00D77690"/>
    <w:rsid w:val="00D77C24"/>
    <w:rsid w:val="00D77C91"/>
    <w:rsid w:val="00D80C48"/>
    <w:rsid w:val="00D80CCC"/>
    <w:rsid w:val="00D8153E"/>
    <w:rsid w:val="00D81B2B"/>
    <w:rsid w:val="00D81D8D"/>
    <w:rsid w:val="00D81FAF"/>
    <w:rsid w:val="00D82ACC"/>
    <w:rsid w:val="00D82C7F"/>
    <w:rsid w:val="00D82C8A"/>
    <w:rsid w:val="00D830E0"/>
    <w:rsid w:val="00D842A9"/>
    <w:rsid w:val="00D878BD"/>
    <w:rsid w:val="00D87DA0"/>
    <w:rsid w:val="00D902BC"/>
    <w:rsid w:val="00D90B2B"/>
    <w:rsid w:val="00D90BFF"/>
    <w:rsid w:val="00D90FCF"/>
    <w:rsid w:val="00D92725"/>
    <w:rsid w:val="00D93198"/>
    <w:rsid w:val="00D93638"/>
    <w:rsid w:val="00D93B91"/>
    <w:rsid w:val="00D93F7D"/>
    <w:rsid w:val="00D945C8"/>
    <w:rsid w:val="00D948F5"/>
    <w:rsid w:val="00D94A90"/>
    <w:rsid w:val="00D96623"/>
    <w:rsid w:val="00D96A48"/>
    <w:rsid w:val="00D975F9"/>
    <w:rsid w:val="00D976D7"/>
    <w:rsid w:val="00DA02DD"/>
    <w:rsid w:val="00DA0951"/>
    <w:rsid w:val="00DA0DC9"/>
    <w:rsid w:val="00DA1733"/>
    <w:rsid w:val="00DA2537"/>
    <w:rsid w:val="00DA2773"/>
    <w:rsid w:val="00DA3D55"/>
    <w:rsid w:val="00DA544B"/>
    <w:rsid w:val="00DA5459"/>
    <w:rsid w:val="00DA54E5"/>
    <w:rsid w:val="00DA55D3"/>
    <w:rsid w:val="00DA56A9"/>
    <w:rsid w:val="00DA56EC"/>
    <w:rsid w:val="00DA64F2"/>
    <w:rsid w:val="00DA67AC"/>
    <w:rsid w:val="00DA67CF"/>
    <w:rsid w:val="00DB05C4"/>
    <w:rsid w:val="00DB089E"/>
    <w:rsid w:val="00DB20DC"/>
    <w:rsid w:val="00DB2238"/>
    <w:rsid w:val="00DB2861"/>
    <w:rsid w:val="00DB2957"/>
    <w:rsid w:val="00DB29A2"/>
    <w:rsid w:val="00DB2C08"/>
    <w:rsid w:val="00DB2EDD"/>
    <w:rsid w:val="00DB36A1"/>
    <w:rsid w:val="00DB58B8"/>
    <w:rsid w:val="00DB74E5"/>
    <w:rsid w:val="00DB782D"/>
    <w:rsid w:val="00DB7CDE"/>
    <w:rsid w:val="00DB7F2D"/>
    <w:rsid w:val="00DC0258"/>
    <w:rsid w:val="00DC0295"/>
    <w:rsid w:val="00DC0DE8"/>
    <w:rsid w:val="00DC0E3E"/>
    <w:rsid w:val="00DC12DB"/>
    <w:rsid w:val="00DC2E47"/>
    <w:rsid w:val="00DC3234"/>
    <w:rsid w:val="00DC352A"/>
    <w:rsid w:val="00DC444C"/>
    <w:rsid w:val="00DC4A8A"/>
    <w:rsid w:val="00DC4E0C"/>
    <w:rsid w:val="00DC55A4"/>
    <w:rsid w:val="00DC6AF3"/>
    <w:rsid w:val="00DC6D29"/>
    <w:rsid w:val="00DC6E33"/>
    <w:rsid w:val="00DC738C"/>
    <w:rsid w:val="00DC78FE"/>
    <w:rsid w:val="00DC7A99"/>
    <w:rsid w:val="00DC7C67"/>
    <w:rsid w:val="00DD0E47"/>
    <w:rsid w:val="00DD136F"/>
    <w:rsid w:val="00DD1B18"/>
    <w:rsid w:val="00DD1F81"/>
    <w:rsid w:val="00DD2324"/>
    <w:rsid w:val="00DD4A6C"/>
    <w:rsid w:val="00DD51DE"/>
    <w:rsid w:val="00DD6A20"/>
    <w:rsid w:val="00DD7983"/>
    <w:rsid w:val="00DE0B44"/>
    <w:rsid w:val="00DE0D1D"/>
    <w:rsid w:val="00DE0FFB"/>
    <w:rsid w:val="00DE1486"/>
    <w:rsid w:val="00DE2A0A"/>
    <w:rsid w:val="00DE3224"/>
    <w:rsid w:val="00DE3DF1"/>
    <w:rsid w:val="00DE4A7B"/>
    <w:rsid w:val="00DE4C6D"/>
    <w:rsid w:val="00DE53B2"/>
    <w:rsid w:val="00DE5A2C"/>
    <w:rsid w:val="00DE611F"/>
    <w:rsid w:val="00DE6166"/>
    <w:rsid w:val="00DE72A1"/>
    <w:rsid w:val="00DE740B"/>
    <w:rsid w:val="00DE7C9E"/>
    <w:rsid w:val="00DF0AC6"/>
    <w:rsid w:val="00DF1ACA"/>
    <w:rsid w:val="00DF1ADA"/>
    <w:rsid w:val="00DF1CCC"/>
    <w:rsid w:val="00DF3A10"/>
    <w:rsid w:val="00DF3EF1"/>
    <w:rsid w:val="00DF4426"/>
    <w:rsid w:val="00DF4793"/>
    <w:rsid w:val="00DF47F3"/>
    <w:rsid w:val="00DF4D00"/>
    <w:rsid w:val="00DF4DD8"/>
    <w:rsid w:val="00DF5225"/>
    <w:rsid w:val="00DF7B14"/>
    <w:rsid w:val="00E0002B"/>
    <w:rsid w:val="00E00606"/>
    <w:rsid w:val="00E00DF3"/>
    <w:rsid w:val="00E00FD3"/>
    <w:rsid w:val="00E01237"/>
    <w:rsid w:val="00E01644"/>
    <w:rsid w:val="00E01EAA"/>
    <w:rsid w:val="00E03229"/>
    <w:rsid w:val="00E03789"/>
    <w:rsid w:val="00E03B21"/>
    <w:rsid w:val="00E03B46"/>
    <w:rsid w:val="00E04396"/>
    <w:rsid w:val="00E0541B"/>
    <w:rsid w:val="00E0585A"/>
    <w:rsid w:val="00E05FFF"/>
    <w:rsid w:val="00E0604F"/>
    <w:rsid w:val="00E061D6"/>
    <w:rsid w:val="00E07452"/>
    <w:rsid w:val="00E076FC"/>
    <w:rsid w:val="00E106D7"/>
    <w:rsid w:val="00E113BC"/>
    <w:rsid w:val="00E114A5"/>
    <w:rsid w:val="00E1231C"/>
    <w:rsid w:val="00E12487"/>
    <w:rsid w:val="00E12A7D"/>
    <w:rsid w:val="00E13000"/>
    <w:rsid w:val="00E13417"/>
    <w:rsid w:val="00E14383"/>
    <w:rsid w:val="00E1460C"/>
    <w:rsid w:val="00E14CDD"/>
    <w:rsid w:val="00E1548A"/>
    <w:rsid w:val="00E158FD"/>
    <w:rsid w:val="00E15CDC"/>
    <w:rsid w:val="00E15E92"/>
    <w:rsid w:val="00E16CD2"/>
    <w:rsid w:val="00E175D4"/>
    <w:rsid w:val="00E20179"/>
    <w:rsid w:val="00E204E7"/>
    <w:rsid w:val="00E20D15"/>
    <w:rsid w:val="00E22641"/>
    <w:rsid w:val="00E22EEE"/>
    <w:rsid w:val="00E23066"/>
    <w:rsid w:val="00E23105"/>
    <w:rsid w:val="00E23127"/>
    <w:rsid w:val="00E25155"/>
    <w:rsid w:val="00E25279"/>
    <w:rsid w:val="00E25D32"/>
    <w:rsid w:val="00E300E2"/>
    <w:rsid w:val="00E309C4"/>
    <w:rsid w:val="00E316C2"/>
    <w:rsid w:val="00E3183B"/>
    <w:rsid w:val="00E329B3"/>
    <w:rsid w:val="00E32C84"/>
    <w:rsid w:val="00E32D54"/>
    <w:rsid w:val="00E33042"/>
    <w:rsid w:val="00E34EE4"/>
    <w:rsid w:val="00E351BB"/>
    <w:rsid w:val="00E35CB4"/>
    <w:rsid w:val="00E35F68"/>
    <w:rsid w:val="00E36425"/>
    <w:rsid w:val="00E369AD"/>
    <w:rsid w:val="00E36D51"/>
    <w:rsid w:val="00E37734"/>
    <w:rsid w:val="00E4030A"/>
    <w:rsid w:val="00E4098E"/>
    <w:rsid w:val="00E41C26"/>
    <w:rsid w:val="00E41E28"/>
    <w:rsid w:val="00E4205A"/>
    <w:rsid w:val="00E42410"/>
    <w:rsid w:val="00E42C0D"/>
    <w:rsid w:val="00E42C8B"/>
    <w:rsid w:val="00E43148"/>
    <w:rsid w:val="00E43D98"/>
    <w:rsid w:val="00E443BC"/>
    <w:rsid w:val="00E4474A"/>
    <w:rsid w:val="00E44E89"/>
    <w:rsid w:val="00E451CF"/>
    <w:rsid w:val="00E45369"/>
    <w:rsid w:val="00E46591"/>
    <w:rsid w:val="00E478E5"/>
    <w:rsid w:val="00E47B5D"/>
    <w:rsid w:val="00E47C80"/>
    <w:rsid w:val="00E50BBB"/>
    <w:rsid w:val="00E51932"/>
    <w:rsid w:val="00E52470"/>
    <w:rsid w:val="00E52515"/>
    <w:rsid w:val="00E52B86"/>
    <w:rsid w:val="00E53020"/>
    <w:rsid w:val="00E539B7"/>
    <w:rsid w:val="00E53A75"/>
    <w:rsid w:val="00E5425E"/>
    <w:rsid w:val="00E543DB"/>
    <w:rsid w:val="00E54BCC"/>
    <w:rsid w:val="00E54E91"/>
    <w:rsid w:val="00E54EF7"/>
    <w:rsid w:val="00E554C9"/>
    <w:rsid w:val="00E562C7"/>
    <w:rsid w:val="00E568FD"/>
    <w:rsid w:val="00E57C45"/>
    <w:rsid w:val="00E603A1"/>
    <w:rsid w:val="00E605AB"/>
    <w:rsid w:val="00E60FEB"/>
    <w:rsid w:val="00E6113D"/>
    <w:rsid w:val="00E61DD6"/>
    <w:rsid w:val="00E620EE"/>
    <w:rsid w:val="00E6238C"/>
    <w:rsid w:val="00E62AF5"/>
    <w:rsid w:val="00E62E05"/>
    <w:rsid w:val="00E62E31"/>
    <w:rsid w:val="00E63B19"/>
    <w:rsid w:val="00E64004"/>
    <w:rsid w:val="00E64039"/>
    <w:rsid w:val="00E641FC"/>
    <w:rsid w:val="00E64493"/>
    <w:rsid w:val="00E65625"/>
    <w:rsid w:val="00E65EA9"/>
    <w:rsid w:val="00E66112"/>
    <w:rsid w:val="00E66772"/>
    <w:rsid w:val="00E678D2"/>
    <w:rsid w:val="00E679DD"/>
    <w:rsid w:val="00E67F33"/>
    <w:rsid w:val="00E70061"/>
    <w:rsid w:val="00E7219B"/>
    <w:rsid w:val="00E72364"/>
    <w:rsid w:val="00E7259E"/>
    <w:rsid w:val="00E72B42"/>
    <w:rsid w:val="00E737F6"/>
    <w:rsid w:val="00E7401D"/>
    <w:rsid w:val="00E740F8"/>
    <w:rsid w:val="00E74C77"/>
    <w:rsid w:val="00E756EB"/>
    <w:rsid w:val="00E76905"/>
    <w:rsid w:val="00E77F87"/>
    <w:rsid w:val="00E813CA"/>
    <w:rsid w:val="00E81493"/>
    <w:rsid w:val="00E82017"/>
    <w:rsid w:val="00E84FEB"/>
    <w:rsid w:val="00E85176"/>
    <w:rsid w:val="00E85872"/>
    <w:rsid w:val="00E85D84"/>
    <w:rsid w:val="00E86653"/>
    <w:rsid w:val="00E872D7"/>
    <w:rsid w:val="00E8735C"/>
    <w:rsid w:val="00E90866"/>
    <w:rsid w:val="00E925EA"/>
    <w:rsid w:val="00E929D0"/>
    <w:rsid w:val="00E92D1B"/>
    <w:rsid w:val="00E92FFC"/>
    <w:rsid w:val="00E94981"/>
    <w:rsid w:val="00E95227"/>
    <w:rsid w:val="00E95730"/>
    <w:rsid w:val="00E95CCB"/>
    <w:rsid w:val="00E97444"/>
    <w:rsid w:val="00E975E1"/>
    <w:rsid w:val="00E9762D"/>
    <w:rsid w:val="00EA02FD"/>
    <w:rsid w:val="00EA085A"/>
    <w:rsid w:val="00EA12AD"/>
    <w:rsid w:val="00EA18DA"/>
    <w:rsid w:val="00EA2010"/>
    <w:rsid w:val="00EA28AC"/>
    <w:rsid w:val="00EA2D97"/>
    <w:rsid w:val="00EA302A"/>
    <w:rsid w:val="00EA31EF"/>
    <w:rsid w:val="00EA393E"/>
    <w:rsid w:val="00EA4416"/>
    <w:rsid w:val="00EA6269"/>
    <w:rsid w:val="00EA6510"/>
    <w:rsid w:val="00EA66C4"/>
    <w:rsid w:val="00EA6DF3"/>
    <w:rsid w:val="00EB0973"/>
    <w:rsid w:val="00EB12F3"/>
    <w:rsid w:val="00EB326E"/>
    <w:rsid w:val="00EB3643"/>
    <w:rsid w:val="00EB3A56"/>
    <w:rsid w:val="00EB4860"/>
    <w:rsid w:val="00EB521C"/>
    <w:rsid w:val="00EB5EDB"/>
    <w:rsid w:val="00EB67DC"/>
    <w:rsid w:val="00EB6A44"/>
    <w:rsid w:val="00EB6A9B"/>
    <w:rsid w:val="00EB76EB"/>
    <w:rsid w:val="00EC2A1E"/>
    <w:rsid w:val="00EC4E21"/>
    <w:rsid w:val="00EC516E"/>
    <w:rsid w:val="00EC6BF2"/>
    <w:rsid w:val="00EC70BF"/>
    <w:rsid w:val="00EC78C5"/>
    <w:rsid w:val="00EC7914"/>
    <w:rsid w:val="00ED64BD"/>
    <w:rsid w:val="00ED7149"/>
    <w:rsid w:val="00ED73DC"/>
    <w:rsid w:val="00ED7628"/>
    <w:rsid w:val="00EE06CA"/>
    <w:rsid w:val="00EE0A14"/>
    <w:rsid w:val="00EE0E97"/>
    <w:rsid w:val="00EE3E69"/>
    <w:rsid w:val="00EE4C71"/>
    <w:rsid w:val="00EE4DCA"/>
    <w:rsid w:val="00EE6043"/>
    <w:rsid w:val="00EE60F9"/>
    <w:rsid w:val="00EE6D5C"/>
    <w:rsid w:val="00EE70C2"/>
    <w:rsid w:val="00EE7281"/>
    <w:rsid w:val="00EE78AF"/>
    <w:rsid w:val="00EE7E77"/>
    <w:rsid w:val="00EF085D"/>
    <w:rsid w:val="00EF0D90"/>
    <w:rsid w:val="00EF122A"/>
    <w:rsid w:val="00EF1423"/>
    <w:rsid w:val="00EF1912"/>
    <w:rsid w:val="00EF2863"/>
    <w:rsid w:val="00EF44FB"/>
    <w:rsid w:val="00EF476C"/>
    <w:rsid w:val="00EF4FCA"/>
    <w:rsid w:val="00EF50B5"/>
    <w:rsid w:val="00EF5D9C"/>
    <w:rsid w:val="00EF60AB"/>
    <w:rsid w:val="00EF6194"/>
    <w:rsid w:val="00EF61CD"/>
    <w:rsid w:val="00EF67D1"/>
    <w:rsid w:val="00EF6CD1"/>
    <w:rsid w:val="00EF7131"/>
    <w:rsid w:val="00EF75CC"/>
    <w:rsid w:val="00F007EB"/>
    <w:rsid w:val="00F00AB2"/>
    <w:rsid w:val="00F00B73"/>
    <w:rsid w:val="00F0249C"/>
    <w:rsid w:val="00F02CEB"/>
    <w:rsid w:val="00F02E08"/>
    <w:rsid w:val="00F03D9B"/>
    <w:rsid w:val="00F043A5"/>
    <w:rsid w:val="00F04DEE"/>
    <w:rsid w:val="00F04F63"/>
    <w:rsid w:val="00F05F40"/>
    <w:rsid w:val="00F05FED"/>
    <w:rsid w:val="00F06DC7"/>
    <w:rsid w:val="00F07881"/>
    <w:rsid w:val="00F10D23"/>
    <w:rsid w:val="00F11A53"/>
    <w:rsid w:val="00F13180"/>
    <w:rsid w:val="00F151CB"/>
    <w:rsid w:val="00F158DE"/>
    <w:rsid w:val="00F15C7C"/>
    <w:rsid w:val="00F168E6"/>
    <w:rsid w:val="00F2067C"/>
    <w:rsid w:val="00F207E1"/>
    <w:rsid w:val="00F20B75"/>
    <w:rsid w:val="00F210B4"/>
    <w:rsid w:val="00F23787"/>
    <w:rsid w:val="00F255C9"/>
    <w:rsid w:val="00F25AB0"/>
    <w:rsid w:val="00F2690C"/>
    <w:rsid w:val="00F27069"/>
    <w:rsid w:val="00F30523"/>
    <w:rsid w:val="00F311D0"/>
    <w:rsid w:val="00F31B70"/>
    <w:rsid w:val="00F32520"/>
    <w:rsid w:val="00F32A7B"/>
    <w:rsid w:val="00F33924"/>
    <w:rsid w:val="00F34098"/>
    <w:rsid w:val="00F3483D"/>
    <w:rsid w:val="00F3507A"/>
    <w:rsid w:val="00F35619"/>
    <w:rsid w:val="00F36897"/>
    <w:rsid w:val="00F36AEB"/>
    <w:rsid w:val="00F36D45"/>
    <w:rsid w:val="00F37625"/>
    <w:rsid w:val="00F37959"/>
    <w:rsid w:val="00F37993"/>
    <w:rsid w:val="00F4033E"/>
    <w:rsid w:val="00F4075A"/>
    <w:rsid w:val="00F4135B"/>
    <w:rsid w:val="00F414CC"/>
    <w:rsid w:val="00F415D8"/>
    <w:rsid w:val="00F41716"/>
    <w:rsid w:val="00F41FDA"/>
    <w:rsid w:val="00F41FDF"/>
    <w:rsid w:val="00F420DE"/>
    <w:rsid w:val="00F42811"/>
    <w:rsid w:val="00F44177"/>
    <w:rsid w:val="00F45372"/>
    <w:rsid w:val="00F45A1D"/>
    <w:rsid w:val="00F45C87"/>
    <w:rsid w:val="00F4680A"/>
    <w:rsid w:val="00F4790B"/>
    <w:rsid w:val="00F47DF8"/>
    <w:rsid w:val="00F50369"/>
    <w:rsid w:val="00F508B8"/>
    <w:rsid w:val="00F51ABF"/>
    <w:rsid w:val="00F51C11"/>
    <w:rsid w:val="00F51DDA"/>
    <w:rsid w:val="00F52EF7"/>
    <w:rsid w:val="00F53423"/>
    <w:rsid w:val="00F567C8"/>
    <w:rsid w:val="00F57253"/>
    <w:rsid w:val="00F5789F"/>
    <w:rsid w:val="00F61186"/>
    <w:rsid w:val="00F617B6"/>
    <w:rsid w:val="00F6214E"/>
    <w:rsid w:val="00F625E3"/>
    <w:rsid w:val="00F63307"/>
    <w:rsid w:val="00F64256"/>
    <w:rsid w:val="00F64A7B"/>
    <w:rsid w:val="00F657F8"/>
    <w:rsid w:val="00F6651E"/>
    <w:rsid w:val="00F66753"/>
    <w:rsid w:val="00F67651"/>
    <w:rsid w:val="00F703D2"/>
    <w:rsid w:val="00F70FDF"/>
    <w:rsid w:val="00F715BF"/>
    <w:rsid w:val="00F71AD0"/>
    <w:rsid w:val="00F72151"/>
    <w:rsid w:val="00F723FE"/>
    <w:rsid w:val="00F72B6B"/>
    <w:rsid w:val="00F7360B"/>
    <w:rsid w:val="00F74C4A"/>
    <w:rsid w:val="00F75818"/>
    <w:rsid w:val="00F75A0C"/>
    <w:rsid w:val="00F75E7A"/>
    <w:rsid w:val="00F75F55"/>
    <w:rsid w:val="00F7760C"/>
    <w:rsid w:val="00F8049D"/>
    <w:rsid w:val="00F80BC9"/>
    <w:rsid w:val="00F812EF"/>
    <w:rsid w:val="00F81539"/>
    <w:rsid w:val="00F816EB"/>
    <w:rsid w:val="00F81A9D"/>
    <w:rsid w:val="00F81AE3"/>
    <w:rsid w:val="00F82068"/>
    <w:rsid w:val="00F8330E"/>
    <w:rsid w:val="00F83747"/>
    <w:rsid w:val="00F83799"/>
    <w:rsid w:val="00F8426D"/>
    <w:rsid w:val="00F84AD8"/>
    <w:rsid w:val="00F84B14"/>
    <w:rsid w:val="00F84ECF"/>
    <w:rsid w:val="00F8526B"/>
    <w:rsid w:val="00F855A8"/>
    <w:rsid w:val="00F863C0"/>
    <w:rsid w:val="00F8682E"/>
    <w:rsid w:val="00F869B3"/>
    <w:rsid w:val="00F8768C"/>
    <w:rsid w:val="00F87A14"/>
    <w:rsid w:val="00F87A5C"/>
    <w:rsid w:val="00F90084"/>
    <w:rsid w:val="00F90971"/>
    <w:rsid w:val="00F91398"/>
    <w:rsid w:val="00F91C8A"/>
    <w:rsid w:val="00F92282"/>
    <w:rsid w:val="00F922F6"/>
    <w:rsid w:val="00F930FB"/>
    <w:rsid w:val="00F93D7A"/>
    <w:rsid w:val="00F93D8A"/>
    <w:rsid w:val="00F94B92"/>
    <w:rsid w:val="00F95674"/>
    <w:rsid w:val="00F96003"/>
    <w:rsid w:val="00F97190"/>
    <w:rsid w:val="00FA08F0"/>
    <w:rsid w:val="00FA0935"/>
    <w:rsid w:val="00FA0E47"/>
    <w:rsid w:val="00FA1408"/>
    <w:rsid w:val="00FA1ABD"/>
    <w:rsid w:val="00FA28C6"/>
    <w:rsid w:val="00FA28F9"/>
    <w:rsid w:val="00FA29D9"/>
    <w:rsid w:val="00FA2D77"/>
    <w:rsid w:val="00FA33DC"/>
    <w:rsid w:val="00FA417B"/>
    <w:rsid w:val="00FA5BDF"/>
    <w:rsid w:val="00FA5E67"/>
    <w:rsid w:val="00FA6626"/>
    <w:rsid w:val="00FA69BB"/>
    <w:rsid w:val="00FA7277"/>
    <w:rsid w:val="00FA7358"/>
    <w:rsid w:val="00FB054C"/>
    <w:rsid w:val="00FB15AA"/>
    <w:rsid w:val="00FB189D"/>
    <w:rsid w:val="00FB1954"/>
    <w:rsid w:val="00FB19FB"/>
    <w:rsid w:val="00FB2177"/>
    <w:rsid w:val="00FB2773"/>
    <w:rsid w:val="00FB27AD"/>
    <w:rsid w:val="00FB2CDD"/>
    <w:rsid w:val="00FB38F9"/>
    <w:rsid w:val="00FB3B07"/>
    <w:rsid w:val="00FB4189"/>
    <w:rsid w:val="00FB4C1D"/>
    <w:rsid w:val="00FB4EFD"/>
    <w:rsid w:val="00FB57DD"/>
    <w:rsid w:val="00FB5BB6"/>
    <w:rsid w:val="00FB5C3E"/>
    <w:rsid w:val="00FB5EC2"/>
    <w:rsid w:val="00FB670C"/>
    <w:rsid w:val="00FB6861"/>
    <w:rsid w:val="00FB6B8E"/>
    <w:rsid w:val="00FB718F"/>
    <w:rsid w:val="00FB7690"/>
    <w:rsid w:val="00FB7D47"/>
    <w:rsid w:val="00FC0945"/>
    <w:rsid w:val="00FC1F68"/>
    <w:rsid w:val="00FC1F6D"/>
    <w:rsid w:val="00FC2688"/>
    <w:rsid w:val="00FC29A4"/>
    <w:rsid w:val="00FC4637"/>
    <w:rsid w:val="00FC4E38"/>
    <w:rsid w:val="00FC57D6"/>
    <w:rsid w:val="00FC5CF8"/>
    <w:rsid w:val="00FC68B8"/>
    <w:rsid w:val="00FC7136"/>
    <w:rsid w:val="00FC78BE"/>
    <w:rsid w:val="00FD04EB"/>
    <w:rsid w:val="00FD0583"/>
    <w:rsid w:val="00FD0659"/>
    <w:rsid w:val="00FD1792"/>
    <w:rsid w:val="00FD1A29"/>
    <w:rsid w:val="00FD2A51"/>
    <w:rsid w:val="00FD2E97"/>
    <w:rsid w:val="00FD4A72"/>
    <w:rsid w:val="00FD5033"/>
    <w:rsid w:val="00FD5567"/>
    <w:rsid w:val="00FD5ADE"/>
    <w:rsid w:val="00FD6C5D"/>
    <w:rsid w:val="00FD7C06"/>
    <w:rsid w:val="00FD7CE7"/>
    <w:rsid w:val="00FE0EF1"/>
    <w:rsid w:val="00FE1499"/>
    <w:rsid w:val="00FE201C"/>
    <w:rsid w:val="00FE206D"/>
    <w:rsid w:val="00FE24C5"/>
    <w:rsid w:val="00FE252E"/>
    <w:rsid w:val="00FE2A0F"/>
    <w:rsid w:val="00FE2A5C"/>
    <w:rsid w:val="00FE3D70"/>
    <w:rsid w:val="00FE43A6"/>
    <w:rsid w:val="00FE494B"/>
    <w:rsid w:val="00FE5ADC"/>
    <w:rsid w:val="00FE640A"/>
    <w:rsid w:val="00FE6497"/>
    <w:rsid w:val="00FE68DA"/>
    <w:rsid w:val="00FE7E7B"/>
    <w:rsid w:val="00FE7F2E"/>
    <w:rsid w:val="00FF0772"/>
    <w:rsid w:val="00FF0792"/>
    <w:rsid w:val="00FF1A90"/>
    <w:rsid w:val="00FF1D27"/>
    <w:rsid w:val="00FF527B"/>
    <w:rsid w:val="00FF59F0"/>
    <w:rsid w:val="00FF5BA8"/>
    <w:rsid w:val="00FF649B"/>
    <w:rsid w:val="00FF71AA"/>
    <w:rsid w:val="00FF79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D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7F72"/>
    <w:pPr>
      <w:spacing w:after="0" w:line="240" w:lineRule="auto"/>
    </w:pPr>
    <w:rPr>
      <w:rFonts w:ascii="Times New Roman" w:hAnsi="Times New Roman"/>
      <w:sz w:val="24"/>
    </w:rPr>
  </w:style>
  <w:style w:type="paragraph" w:styleId="Header">
    <w:name w:val="header"/>
    <w:basedOn w:val="Normal"/>
    <w:link w:val="HeaderChar"/>
    <w:uiPriority w:val="99"/>
    <w:unhideWhenUsed/>
    <w:rsid w:val="008D6E62"/>
    <w:pPr>
      <w:tabs>
        <w:tab w:val="center" w:pos="4513"/>
        <w:tab w:val="right" w:pos="9026"/>
      </w:tabs>
    </w:pPr>
  </w:style>
  <w:style w:type="character" w:customStyle="1" w:styleId="HeaderChar">
    <w:name w:val="Header Char"/>
    <w:basedOn w:val="DefaultParagraphFont"/>
    <w:link w:val="Header"/>
    <w:uiPriority w:val="99"/>
    <w:rsid w:val="008D6E62"/>
  </w:style>
  <w:style w:type="paragraph" w:styleId="Footer">
    <w:name w:val="footer"/>
    <w:basedOn w:val="Normal"/>
    <w:link w:val="FooterChar"/>
    <w:uiPriority w:val="99"/>
    <w:unhideWhenUsed/>
    <w:rsid w:val="008D6E62"/>
    <w:pPr>
      <w:tabs>
        <w:tab w:val="center" w:pos="4513"/>
        <w:tab w:val="right" w:pos="9026"/>
      </w:tabs>
    </w:pPr>
  </w:style>
  <w:style w:type="character" w:customStyle="1" w:styleId="FooterChar">
    <w:name w:val="Footer Char"/>
    <w:basedOn w:val="DefaultParagraphFont"/>
    <w:link w:val="Footer"/>
    <w:uiPriority w:val="99"/>
    <w:rsid w:val="008D6E62"/>
  </w:style>
  <w:style w:type="paragraph" w:styleId="ListParagraph">
    <w:name w:val="List Paragraph"/>
    <w:basedOn w:val="Normal"/>
    <w:uiPriority w:val="34"/>
    <w:qFormat/>
    <w:rsid w:val="008077F0"/>
    <w:pPr>
      <w:ind w:left="720"/>
      <w:contextualSpacing/>
    </w:pPr>
  </w:style>
  <w:style w:type="paragraph" w:styleId="HTMLPreformatted">
    <w:name w:val="HTML Preformatted"/>
    <w:basedOn w:val="Normal"/>
    <w:link w:val="HTMLPreformattedChar"/>
    <w:semiHidden/>
    <w:unhideWhenUsed/>
    <w:rsid w:val="009F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en-AU"/>
    </w:rPr>
  </w:style>
  <w:style w:type="character" w:customStyle="1" w:styleId="HTMLPreformattedChar">
    <w:name w:val="HTML Preformatted Char"/>
    <w:basedOn w:val="DefaultParagraphFont"/>
    <w:link w:val="HTMLPreformatted"/>
    <w:semiHidden/>
    <w:rsid w:val="009F4C7F"/>
    <w:rPr>
      <w:rFonts w:ascii="Courier New" w:eastAsia="Times New Roman" w:hAnsi="Courier New" w:cs="Courier New"/>
      <w:sz w:val="20"/>
      <w:szCs w:val="20"/>
      <w:lang w:eastAsia="en-AU"/>
    </w:rPr>
  </w:style>
  <w:style w:type="character" w:customStyle="1" w:styleId="apple-style-span">
    <w:name w:val="apple-style-span"/>
    <w:basedOn w:val="DefaultParagraphFont"/>
    <w:rsid w:val="009B7853"/>
  </w:style>
  <w:style w:type="character" w:styleId="Strong">
    <w:name w:val="Strong"/>
    <w:basedOn w:val="DefaultParagraphFont"/>
    <w:uiPriority w:val="22"/>
    <w:qFormat/>
    <w:rsid w:val="009B7853"/>
    <w:rPr>
      <w:b/>
      <w:bCs/>
    </w:rPr>
  </w:style>
  <w:style w:type="character" w:customStyle="1" w:styleId="italic">
    <w:name w:val="italic"/>
    <w:basedOn w:val="DefaultParagraphFont"/>
    <w:rsid w:val="00A32753"/>
  </w:style>
  <w:style w:type="character" w:customStyle="1" w:styleId="apple-converted-space">
    <w:name w:val="apple-converted-space"/>
    <w:basedOn w:val="DefaultParagraphFont"/>
    <w:rsid w:val="00A32753"/>
  </w:style>
  <w:style w:type="character" w:customStyle="1" w:styleId="tightinline">
    <w:name w:val="tightinline"/>
    <w:basedOn w:val="DefaultParagraphFont"/>
    <w:rsid w:val="00A32753"/>
  </w:style>
  <w:style w:type="character" w:customStyle="1" w:styleId="verdana">
    <w:name w:val="verdana"/>
    <w:basedOn w:val="DefaultParagraphFont"/>
    <w:rsid w:val="00A32753"/>
  </w:style>
  <w:style w:type="character" w:styleId="Hyperlink">
    <w:name w:val="Hyperlink"/>
    <w:basedOn w:val="DefaultParagraphFont"/>
    <w:uiPriority w:val="99"/>
    <w:semiHidden/>
    <w:unhideWhenUsed/>
    <w:rsid w:val="00873B30"/>
    <w:rPr>
      <w:color w:val="0000FF"/>
      <w:u w:val="single"/>
    </w:rPr>
  </w:style>
  <w:style w:type="paragraph" w:styleId="NormalWeb">
    <w:name w:val="Normal (Web)"/>
    <w:basedOn w:val="Normal"/>
    <w:semiHidden/>
    <w:unhideWhenUsed/>
    <w:rsid w:val="00C6685E"/>
    <w:pPr>
      <w:spacing w:before="100" w:beforeAutospacing="1" w:after="100" w:afterAutospacing="1"/>
    </w:pPr>
    <w:rPr>
      <w:rFonts w:ascii="Arial" w:hAnsi="Arial" w:cs="Arial"/>
      <w:color w:val="000000"/>
      <w:sz w:val="22"/>
      <w:szCs w:val="22"/>
    </w:rPr>
  </w:style>
  <w:style w:type="paragraph" w:styleId="BalloonText">
    <w:name w:val="Balloon Text"/>
    <w:basedOn w:val="Normal"/>
    <w:link w:val="BalloonTextChar"/>
    <w:uiPriority w:val="99"/>
    <w:semiHidden/>
    <w:unhideWhenUsed/>
    <w:rsid w:val="007B621E"/>
    <w:rPr>
      <w:rFonts w:ascii="Tahoma" w:hAnsi="Tahoma" w:cs="Tahoma"/>
      <w:sz w:val="16"/>
      <w:szCs w:val="16"/>
    </w:rPr>
  </w:style>
  <w:style w:type="character" w:customStyle="1" w:styleId="BalloonTextChar">
    <w:name w:val="Balloon Text Char"/>
    <w:basedOn w:val="DefaultParagraphFont"/>
    <w:link w:val="BalloonText"/>
    <w:uiPriority w:val="99"/>
    <w:semiHidden/>
    <w:rsid w:val="007B621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D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7F72"/>
    <w:pPr>
      <w:spacing w:after="0" w:line="240" w:lineRule="auto"/>
    </w:pPr>
    <w:rPr>
      <w:rFonts w:ascii="Times New Roman" w:hAnsi="Times New Roman"/>
      <w:sz w:val="24"/>
    </w:rPr>
  </w:style>
  <w:style w:type="paragraph" w:styleId="Header">
    <w:name w:val="header"/>
    <w:basedOn w:val="Normal"/>
    <w:link w:val="HeaderChar"/>
    <w:uiPriority w:val="99"/>
    <w:unhideWhenUsed/>
    <w:rsid w:val="008D6E62"/>
    <w:pPr>
      <w:tabs>
        <w:tab w:val="center" w:pos="4513"/>
        <w:tab w:val="right" w:pos="9026"/>
      </w:tabs>
    </w:pPr>
  </w:style>
  <w:style w:type="character" w:customStyle="1" w:styleId="HeaderChar">
    <w:name w:val="Header Char"/>
    <w:basedOn w:val="DefaultParagraphFont"/>
    <w:link w:val="Header"/>
    <w:uiPriority w:val="99"/>
    <w:rsid w:val="008D6E62"/>
  </w:style>
  <w:style w:type="paragraph" w:styleId="Footer">
    <w:name w:val="footer"/>
    <w:basedOn w:val="Normal"/>
    <w:link w:val="FooterChar"/>
    <w:uiPriority w:val="99"/>
    <w:unhideWhenUsed/>
    <w:rsid w:val="008D6E62"/>
    <w:pPr>
      <w:tabs>
        <w:tab w:val="center" w:pos="4513"/>
        <w:tab w:val="right" w:pos="9026"/>
      </w:tabs>
    </w:pPr>
  </w:style>
  <w:style w:type="character" w:customStyle="1" w:styleId="FooterChar">
    <w:name w:val="Footer Char"/>
    <w:basedOn w:val="DefaultParagraphFont"/>
    <w:link w:val="Footer"/>
    <w:uiPriority w:val="99"/>
    <w:rsid w:val="008D6E62"/>
  </w:style>
  <w:style w:type="paragraph" w:styleId="ListParagraph">
    <w:name w:val="List Paragraph"/>
    <w:basedOn w:val="Normal"/>
    <w:uiPriority w:val="34"/>
    <w:qFormat/>
    <w:rsid w:val="008077F0"/>
    <w:pPr>
      <w:ind w:left="720"/>
      <w:contextualSpacing/>
    </w:pPr>
  </w:style>
  <w:style w:type="paragraph" w:styleId="HTMLPreformatted">
    <w:name w:val="HTML Preformatted"/>
    <w:basedOn w:val="Normal"/>
    <w:link w:val="HTMLPreformattedChar"/>
    <w:semiHidden/>
    <w:unhideWhenUsed/>
    <w:rsid w:val="009F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en-AU"/>
    </w:rPr>
  </w:style>
  <w:style w:type="character" w:customStyle="1" w:styleId="HTMLPreformattedChar">
    <w:name w:val="HTML Preformatted Char"/>
    <w:basedOn w:val="DefaultParagraphFont"/>
    <w:link w:val="HTMLPreformatted"/>
    <w:semiHidden/>
    <w:rsid w:val="009F4C7F"/>
    <w:rPr>
      <w:rFonts w:ascii="Courier New" w:eastAsia="Times New Roman" w:hAnsi="Courier New" w:cs="Courier New"/>
      <w:sz w:val="20"/>
      <w:szCs w:val="20"/>
      <w:lang w:eastAsia="en-AU"/>
    </w:rPr>
  </w:style>
  <w:style w:type="character" w:customStyle="1" w:styleId="apple-style-span">
    <w:name w:val="apple-style-span"/>
    <w:basedOn w:val="DefaultParagraphFont"/>
    <w:rsid w:val="009B7853"/>
  </w:style>
  <w:style w:type="character" w:styleId="Strong">
    <w:name w:val="Strong"/>
    <w:basedOn w:val="DefaultParagraphFont"/>
    <w:uiPriority w:val="22"/>
    <w:qFormat/>
    <w:rsid w:val="009B7853"/>
    <w:rPr>
      <w:b/>
      <w:bCs/>
    </w:rPr>
  </w:style>
  <w:style w:type="character" w:customStyle="1" w:styleId="italic">
    <w:name w:val="italic"/>
    <w:basedOn w:val="DefaultParagraphFont"/>
    <w:rsid w:val="00A32753"/>
  </w:style>
  <w:style w:type="character" w:customStyle="1" w:styleId="apple-converted-space">
    <w:name w:val="apple-converted-space"/>
    <w:basedOn w:val="DefaultParagraphFont"/>
    <w:rsid w:val="00A32753"/>
  </w:style>
  <w:style w:type="character" w:customStyle="1" w:styleId="tightinline">
    <w:name w:val="tightinline"/>
    <w:basedOn w:val="DefaultParagraphFont"/>
    <w:rsid w:val="00A32753"/>
  </w:style>
  <w:style w:type="character" w:customStyle="1" w:styleId="verdana">
    <w:name w:val="verdana"/>
    <w:basedOn w:val="DefaultParagraphFont"/>
    <w:rsid w:val="00A32753"/>
  </w:style>
  <w:style w:type="character" w:styleId="Hyperlink">
    <w:name w:val="Hyperlink"/>
    <w:basedOn w:val="DefaultParagraphFont"/>
    <w:uiPriority w:val="99"/>
    <w:semiHidden/>
    <w:unhideWhenUsed/>
    <w:rsid w:val="00873B30"/>
    <w:rPr>
      <w:color w:val="0000FF"/>
      <w:u w:val="single"/>
    </w:rPr>
  </w:style>
  <w:style w:type="paragraph" w:styleId="NormalWeb">
    <w:name w:val="Normal (Web)"/>
    <w:basedOn w:val="Normal"/>
    <w:semiHidden/>
    <w:unhideWhenUsed/>
    <w:rsid w:val="00C6685E"/>
    <w:pPr>
      <w:spacing w:before="100" w:beforeAutospacing="1" w:after="100" w:afterAutospacing="1"/>
    </w:pPr>
    <w:rPr>
      <w:rFonts w:ascii="Arial" w:hAnsi="Arial" w:cs="Arial"/>
      <w:color w:val="000000"/>
      <w:sz w:val="22"/>
      <w:szCs w:val="22"/>
    </w:rPr>
  </w:style>
  <w:style w:type="paragraph" w:styleId="BalloonText">
    <w:name w:val="Balloon Text"/>
    <w:basedOn w:val="Normal"/>
    <w:link w:val="BalloonTextChar"/>
    <w:uiPriority w:val="99"/>
    <w:semiHidden/>
    <w:unhideWhenUsed/>
    <w:rsid w:val="007B621E"/>
    <w:rPr>
      <w:rFonts w:ascii="Tahoma" w:hAnsi="Tahoma" w:cs="Tahoma"/>
      <w:sz w:val="16"/>
      <w:szCs w:val="16"/>
    </w:rPr>
  </w:style>
  <w:style w:type="character" w:customStyle="1" w:styleId="BalloonTextChar">
    <w:name w:val="Balloon Text Char"/>
    <w:basedOn w:val="DefaultParagraphFont"/>
    <w:link w:val="BalloonText"/>
    <w:uiPriority w:val="99"/>
    <w:semiHidden/>
    <w:rsid w:val="007B621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2">
      <w:bodyDiv w:val="1"/>
      <w:marLeft w:val="0"/>
      <w:marRight w:val="0"/>
      <w:marTop w:val="0"/>
      <w:marBottom w:val="0"/>
      <w:divBdr>
        <w:top w:val="none" w:sz="0" w:space="0" w:color="auto"/>
        <w:left w:val="none" w:sz="0" w:space="0" w:color="auto"/>
        <w:bottom w:val="none" w:sz="0" w:space="0" w:color="auto"/>
        <w:right w:val="none" w:sz="0" w:space="0" w:color="auto"/>
      </w:divBdr>
    </w:div>
    <w:div w:id="13966916">
      <w:bodyDiv w:val="1"/>
      <w:marLeft w:val="0"/>
      <w:marRight w:val="0"/>
      <w:marTop w:val="0"/>
      <w:marBottom w:val="0"/>
      <w:divBdr>
        <w:top w:val="none" w:sz="0" w:space="0" w:color="auto"/>
        <w:left w:val="none" w:sz="0" w:space="0" w:color="auto"/>
        <w:bottom w:val="none" w:sz="0" w:space="0" w:color="auto"/>
        <w:right w:val="none" w:sz="0" w:space="0" w:color="auto"/>
      </w:divBdr>
    </w:div>
    <w:div w:id="19014971">
      <w:bodyDiv w:val="1"/>
      <w:marLeft w:val="0"/>
      <w:marRight w:val="0"/>
      <w:marTop w:val="0"/>
      <w:marBottom w:val="0"/>
      <w:divBdr>
        <w:top w:val="none" w:sz="0" w:space="0" w:color="auto"/>
        <w:left w:val="none" w:sz="0" w:space="0" w:color="auto"/>
        <w:bottom w:val="none" w:sz="0" w:space="0" w:color="auto"/>
        <w:right w:val="none" w:sz="0" w:space="0" w:color="auto"/>
      </w:divBdr>
    </w:div>
    <w:div w:id="24983604">
      <w:bodyDiv w:val="1"/>
      <w:marLeft w:val="0"/>
      <w:marRight w:val="0"/>
      <w:marTop w:val="0"/>
      <w:marBottom w:val="0"/>
      <w:divBdr>
        <w:top w:val="none" w:sz="0" w:space="0" w:color="auto"/>
        <w:left w:val="none" w:sz="0" w:space="0" w:color="auto"/>
        <w:bottom w:val="none" w:sz="0" w:space="0" w:color="auto"/>
        <w:right w:val="none" w:sz="0" w:space="0" w:color="auto"/>
      </w:divBdr>
    </w:div>
    <w:div w:id="69430371">
      <w:bodyDiv w:val="1"/>
      <w:marLeft w:val="0"/>
      <w:marRight w:val="0"/>
      <w:marTop w:val="0"/>
      <w:marBottom w:val="0"/>
      <w:divBdr>
        <w:top w:val="none" w:sz="0" w:space="0" w:color="auto"/>
        <w:left w:val="none" w:sz="0" w:space="0" w:color="auto"/>
        <w:bottom w:val="none" w:sz="0" w:space="0" w:color="auto"/>
        <w:right w:val="none" w:sz="0" w:space="0" w:color="auto"/>
      </w:divBdr>
    </w:div>
    <w:div w:id="91318013">
      <w:bodyDiv w:val="1"/>
      <w:marLeft w:val="0"/>
      <w:marRight w:val="0"/>
      <w:marTop w:val="0"/>
      <w:marBottom w:val="0"/>
      <w:divBdr>
        <w:top w:val="none" w:sz="0" w:space="0" w:color="auto"/>
        <w:left w:val="none" w:sz="0" w:space="0" w:color="auto"/>
        <w:bottom w:val="none" w:sz="0" w:space="0" w:color="auto"/>
        <w:right w:val="none" w:sz="0" w:space="0" w:color="auto"/>
      </w:divBdr>
    </w:div>
    <w:div w:id="125126459">
      <w:bodyDiv w:val="1"/>
      <w:marLeft w:val="0"/>
      <w:marRight w:val="0"/>
      <w:marTop w:val="0"/>
      <w:marBottom w:val="0"/>
      <w:divBdr>
        <w:top w:val="none" w:sz="0" w:space="0" w:color="auto"/>
        <w:left w:val="none" w:sz="0" w:space="0" w:color="auto"/>
        <w:bottom w:val="none" w:sz="0" w:space="0" w:color="auto"/>
        <w:right w:val="none" w:sz="0" w:space="0" w:color="auto"/>
      </w:divBdr>
    </w:div>
    <w:div w:id="177040757">
      <w:bodyDiv w:val="1"/>
      <w:marLeft w:val="0"/>
      <w:marRight w:val="0"/>
      <w:marTop w:val="0"/>
      <w:marBottom w:val="0"/>
      <w:divBdr>
        <w:top w:val="none" w:sz="0" w:space="0" w:color="auto"/>
        <w:left w:val="none" w:sz="0" w:space="0" w:color="auto"/>
        <w:bottom w:val="none" w:sz="0" w:space="0" w:color="auto"/>
        <w:right w:val="none" w:sz="0" w:space="0" w:color="auto"/>
      </w:divBdr>
    </w:div>
    <w:div w:id="202786871">
      <w:bodyDiv w:val="1"/>
      <w:marLeft w:val="0"/>
      <w:marRight w:val="0"/>
      <w:marTop w:val="0"/>
      <w:marBottom w:val="0"/>
      <w:divBdr>
        <w:top w:val="none" w:sz="0" w:space="0" w:color="auto"/>
        <w:left w:val="none" w:sz="0" w:space="0" w:color="auto"/>
        <w:bottom w:val="none" w:sz="0" w:space="0" w:color="auto"/>
        <w:right w:val="none" w:sz="0" w:space="0" w:color="auto"/>
      </w:divBdr>
    </w:div>
    <w:div w:id="205605752">
      <w:bodyDiv w:val="1"/>
      <w:marLeft w:val="0"/>
      <w:marRight w:val="0"/>
      <w:marTop w:val="0"/>
      <w:marBottom w:val="0"/>
      <w:divBdr>
        <w:top w:val="none" w:sz="0" w:space="0" w:color="auto"/>
        <w:left w:val="none" w:sz="0" w:space="0" w:color="auto"/>
        <w:bottom w:val="none" w:sz="0" w:space="0" w:color="auto"/>
        <w:right w:val="none" w:sz="0" w:space="0" w:color="auto"/>
      </w:divBdr>
    </w:div>
    <w:div w:id="239144253">
      <w:bodyDiv w:val="1"/>
      <w:marLeft w:val="0"/>
      <w:marRight w:val="0"/>
      <w:marTop w:val="0"/>
      <w:marBottom w:val="0"/>
      <w:divBdr>
        <w:top w:val="none" w:sz="0" w:space="0" w:color="auto"/>
        <w:left w:val="none" w:sz="0" w:space="0" w:color="auto"/>
        <w:bottom w:val="none" w:sz="0" w:space="0" w:color="auto"/>
        <w:right w:val="none" w:sz="0" w:space="0" w:color="auto"/>
      </w:divBdr>
    </w:div>
    <w:div w:id="249197913">
      <w:bodyDiv w:val="1"/>
      <w:marLeft w:val="0"/>
      <w:marRight w:val="0"/>
      <w:marTop w:val="0"/>
      <w:marBottom w:val="0"/>
      <w:divBdr>
        <w:top w:val="none" w:sz="0" w:space="0" w:color="auto"/>
        <w:left w:val="none" w:sz="0" w:space="0" w:color="auto"/>
        <w:bottom w:val="none" w:sz="0" w:space="0" w:color="auto"/>
        <w:right w:val="none" w:sz="0" w:space="0" w:color="auto"/>
      </w:divBdr>
      <w:divsChild>
        <w:div w:id="1340043155">
          <w:marLeft w:val="360"/>
          <w:marRight w:val="0"/>
          <w:marTop w:val="86"/>
          <w:marBottom w:val="0"/>
          <w:divBdr>
            <w:top w:val="none" w:sz="0" w:space="0" w:color="auto"/>
            <w:left w:val="none" w:sz="0" w:space="0" w:color="auto"/>
            <w:bottom w:val="none" w:sz="0" w:space="0" w:color="auto"/>
            <w:right w:val="none" w:sz="0" w:space="0" w:color="auto"/>
          </w:divBdr>
        </w:div>
        <w:div w:id="2119593413">
          <w:marLeft w:val="360"/>
          <w:marRight w:val="0"/>
          <w:marTop w:val="86"/>
          <w:marBottom w:val="0"/>
          <w:divBdr>
            <w:top w:val="none" w:sz="0" w:space="0" w:color="auto"/>
            <w:left w:val="none" w:sz="0" w:space="0" w:color="auto"/>
            <w:bottom w:val="none" w:sz="0" w:space="0" w:color="auto"/>
            <w:right w:val="none" w:sz="0" w:space="0" w:color="auto"/>
          </w:divBdr>
        </w:div>
        <w:div w:id="241453876">
          <w:marLeft w:val="360"/>
          <w:marRight w:val="0"/>
          <w:marTop w:val="86"/>
          <w:marBottom w:val="0"/>
          <w:divBdr>
            <w:top w:val="none" w:sz="0" w:space="0" w:color="auto"/>
            <w:left w:val="none" w:sz="0" w:space="0" w:color="auto"/>
            <w:bottom w:val="none" w:sz="0" w:space="0" w:color="auto"/>
            <w:right w:val="none" w:sz="0" w:space="0" w:color="auto"/>
          </w:divBdr>
        </w:div>
        <w:div w:id="584456398">
          <w:marLeft w:val="360"/>
          <w:marRight w:val="0"/>
          <w:marTop w:val="86"/>
          <w:marBottom w:val="0"/>
          <w:divBdr>
            <w:top w:val="none" w:sz="0" w:space="0" w:color="auto"/>
            <w:left w:val="none" w:sz="0" w:space="0" w:color="auto"/>
            <w:bottom w:val="none" w:sz="0" w:space="0" w:color="auto"/>
            <w:right w:val="none" w:sz="0" w:space="0" w:color="auto"/>
          </w:divBdr>
        </w:div>
        <w:div w:id="1507400486">
          <w:marLeft w:val="360"/>
          <w:marRight w:val="0"/>
          <w:marTop w:val="86"/>
          <w:marBottom w:val="0"/>
          <w:divBdr>
            <w:top w:val="none" w:sz="0" w:space="0" w:color="auto"/>
            <w:left w:val="none" w:sz="0" w:space="0" w:color="auto"/>
            <w:bottom w:val="none" w:sz="0" w:space="0" w:color="auto"/>
            <w:right w:val="none" w:sz="0" w:space="0" w:color="auto"/>
          </w:divBdr>
        </w:div>
        <w:div w:id="730272418">
          <w:marLeft w:val="360"/>
          <w:marRight w:val="0"/>
          <w:marTop w:val="86"/>
          <w:marBottom w:val="0"/>
          <w:divBdr>
            <w:top w:val="none" w:sz="0" w:space="0" w:color="auto"/>
            <w:left w:val="none" w:sz="0" w:space="0" w:color="auto"/>
            <w:bottom w:val="none" w:sz="0" w:space="0" w:color="auto"/>
            <w:right w:val="none" w:sz="0" w:space="0" w:color="auto"/>
          </w:divBdr>
        </w:div>
        <w:div w:id="462433392">
          <w:marLeft w:val="360"/>
          <w:marRight w:val="0"/>
          <w:marTop w:val="86"/>
          <w:marBottom w:val="0"/>
          <w:divBdr>
            <w:top w:val="none" w:sz="0" w:space="0" w:color="auto"/>
            <w:left w:val="none" w:sz="0" w:space="0" w:color="auto"/>
            <w:bottom w:val="none" w:sz="0" w:space="0" w:color="auto"/>
            <w:right w:val="none" w:sz="0" w:space="0" w:color="auto"/>
          </w:divBdr>
        </w:div>
        <w:div w:id="1835803824">
          <w:marLeft w:val="360"/>
          <w:marRight w:val="0"/>
          <w:marTop w:val="86"/>
          <w:marBottom w:val="0"/>
          <w:divBdr>
            <w:top w:val="none" w:sz="0" w:space="0" w:color="auto"/>
            <w:left w:val="none" w:sz="0" w:space="0" w:color="auto"/>
            <w:bottom w:val="none" w:sz="0" w:space="0" w:color="auto"/>
            <w:right w:val="none" w:sz="0" w:space="0" w:color="auto"/>
          </w:divBdr>
        </w:div>
      </w:divsChild>
    </w:div>
    <w:div w:id="277299848">
      <w:bodyDiv w:val="1"/>
      <w:marLeft w:val="0"/>
      <w:marRight w:val="0"/>
      <w:marTop w:val="0"/>
      <w:marBottom w:val="0"/>
      <w:divBdr>
        <w:top w:val="none" w:sz="0" w:space="0" w:color="auto"/>
        <w:left w:val="none" w:sz="0" w:space="0" w:color="auto"/>
        <w:bottom w:val="none" w:sz="0" w:space="0" w:color="auto"/>
        <w:right w:val="none" w:sz="0" w:space="0" w:color="auto"/>
      </w:divBdr>
    </w:div>
    <w:div w:id="282426035">
      <w:bodyDiv w:val="1"/>
      <w:marLeft w:val="0"/>
      <w:marRight w:val="0"/>
      <w:marTop w:val="0"/>
      <w:marBottom w:val="0"/>
      <w:divBdr>
        <w:top w:val="none" w:sz="0" w:space="0" w:color="auto"/>
        <w:left w:val="none" w:sz="0" w:space="0" w:color="auto"/>
        <w:bottom w:val="none" w:sz="0" w:space="0" w:color="auto"/>
        <w:right w:val="none" w:sz="0" w:space="0" w:color="auto"/>
      </w:divBdr>
    </w:div>
    <w:div w:id="424349687">
      <w:bodyDiv w:val="1"/>
      <w:marLeft w:val="0"/>
      <w:marRight w:val="0"/>
      <w:marTop w:val="0"/>
      <w:marBottom w:val="0"/>
      <w:divBdr>
        <w:top w:val="none" w:sz="0" w:space="0" w:color="auto"/>
        <w:left w:val="none" w:sz="0" w:space="0" w:color="auto"/>
        <w:bottom w:val="none" w:sz="0" w:space="0" w:color="auto"/>
        <w:right w:val="none" w:sz="0" w:space="0" w:color="auto"/>
      </w:divBdr>
    </w:div>
    <w:div w:id="425002625">
      <w:bodyDiv w:val="1"/>
      <w:marLeft w:val="0"/>
      <w:marRight w:val="0"/>
      <w:marTop w:val="0"/>
      <w:marBottom w:val="0"/>
      <w:divBdr>
        <w:top w:val="none" w:sz="0" w:space="0" w:color="auto"/>
        <w:left w:val="none" w:sz="0" w:space="0" w:color="auto"/>
        <w:bottom w:val="none" w:sz="0" w:space="0" w:color="auto"/>
        <w:right w:val="none" w:sz="0" w:space="0" w:color="auto"/>
      </w:divBdr>
    </w:div>
    <w:div w:id="431096880">
      <w:bodyDiv w:val="1"/>
      <w:marLeft w:val="0"/>
      <w:marRight w:val="0"/>
      <w:marTop w:val="0"/>
      <w:marBottom w:val="0"/>
      <w:divBdr>
        <w:top w:val="none" w:sz="0" w:space="0" w:color="auto"/>
        <w:left w:val="none" w:sz="0" w:space="0" w:color="auto"/>
        <w:bottom w:val="none" w:sz="0" w:space="0" w:color="auto"/>
        <w:right w:val="none" w:sz="0" w:space="0" w:color="auto"/>
      </w:divBdr>
    </w:div>
    <w:div w:id="508180412">
      <w:bodyDiv w:val="1"/>
      <w:marLeft w:val="0"/>
      <w:marRight w:val="0"/>
      <w:marTop w:val="0"/>
      <w:marBottom w:val="0"/>
      <w:divBdr>
        <w:top w:val="none" w:sz="0" w:space="0" w:color="auto"/>
        <w:left w:val="none" w:sz="0" w:space="0" w:color="auto"/>
        <w:bottom w:val="none" w:sz="0" w:space="0" w:color="auto"/>
        <w:right w:val="none" w:sz="0" w:space="0" w:color="auto"/>
      </w:divBdr>
    </w:div>
    <w:div w:id="589462396">
      <w:bodyDiv w:val="1"/>
      <w:marLeft w:val="0"/>
      <w:marRight w:val="0"/>
      <w:marTop w:val="0"/>
      <w:marBottom w:val="0"/>
      <w:divBdr>
        <w:top w:val="none" w:sz="0" w:space="0" w:color="auto"/>
        <w:left w:val="none" w:sz="0" w:space="0" w:color="auto"/>
        <w:bottom w:val="none" w:sz="0" w:space="0" w:color="auto"/>
        <w:right w:val="none" w:sz="0" w:space="0" w:color="auto"/>
      </w:divBdr>
    </w:div>
    <w:div w:id="599416076">
      <w:bodyDiv w:val="1"/>
      <w:marLeft w:val="0"/>
      <w:marRight w:val="0"/>
      <w:marTop w:val="0"/>
      <w:marBottom w:val="0"/>
      <w:divBdr>
        <w:top w:val="none" w:sz="0" w:space="0" w:color="auto"/>
        <w:left w:val="none" w:sz="0" w:space="0" w:color="auto"/>
        <w:bottom w:val="none" w:sz="0" w:space="0" w:color="auto"/>
        <w:right w:val="none" w:sz="0" w:space="0" w:color="auto"/>
      </w:divBdr>
    </w:div>
    <w:div w:id="607389738">
      <w:bodyDiv w:val="1"/>
      <w:marLeft w:val="0"/>
      <w:marRight w:val="0"/>
      <w:marTop w:val="0"/>
      <w:marBottom w:val="0"/>
      <w:divBdr>
        <w:top w:val="none" w:sz="0" w:space="0" w:color="auto"/>
        <w:left w:val="none" w:sz="0" w:space="0" w:color="auto"/>
        <w:bottom w:val="none" w:sz="0" w:space="0" w:color="auto"/>
        <w:right w:val="none" w:sz="0" w:space="0" w:color="auto"/>
      </w:divBdr>
    </w:div>
    <w:div w:id="613093862">
      <w:bodyDiv w:val="1"/>
      <w:marLeft w:val="0"/>
      <w:marRight w:val="0"/>
      <w:marTop w:val="0"/>
      <w:marBottom w:val="0"/>
      <w:divBdr>
        <w:top w:val="none" w:sz="0" w:space="0" w:color="auto"/>
        <w:left w:val="none" w:sz="0" w:space="0" w:color="auto"/>
        <w:bottom w:val="none" w:sz="0" w:space="0" w:color="auto"/>
        <w:right w:val="none" w:sz="0" w:space="0" w:color="auto"/>
      </w:divBdr>
    </w:div>
    <w:div w:id="634604319">
      <w:bodyDiv w:val="1"/>
      <w:marLeft w:val="0"/>
      <w:marRight w:val="0"/>
      <w:marTop w:val="0"/>
      <w:marBottom w:val="0"/>
      <w:divBdr>
        <w:top w:val="none" w:sz="0" w:space="0" w:color="auto"/>
        <w:left w:val="none" w:sz="0" w:space="0" w:color="auto"/>
        <w:bottom w:val="none" w:sz="0" w:space="0" w:color="auto"/>
        <w:right w:val="none" w:sz="0" w:space="0" w:color="auto"/>
      </w:divBdr>
    </w:div>
    <w:div w:id="736319906">
      <w:bodyDiv w:val="1"/>
      <w:marLeft w:val="0"/>
      <w:marRight w:val="0"/>
      <w:marTop w:val="0"/>
      <w:marBottom w:val="0"/>
      <w:divBdr>
        <w:top w:val="none" w:sz="0" w:space="0" w:color="auto"/>
        <w:left w:val="none" w:sz="0" w:space="0" w:color="auto"/>
        <w:bottom w:val="none" w:sz="0" w:space="0" w:color="auto"/>
        <w:right w:val="none" w:sz="0" w:space="0" w:color="auto"/>
      </w:divBdr>
    </w:div>
    <w:div w:id="742415733">
      <w:bodyDiv w:val="1"/>
      <w:marLeft w:val="0"/>
      <w:marRight w:val="0"/>
      <w:marTop w:val="0"/>
      <w:marBottom w:val="0"/>
      <w:divBdr>
        <w:top w:val="none" w:sz="0" w:space="0" w:color="auto"/>
        <w:left w:val="none" w:sz="0" w:space="0" w:color="auto"/>
        <w:bottom w:val="none" w:sz="0" w:space="0" w:color="auto"/>
        <w:right w:val="none" w:sz="0" w:space="0" w:color="auto"/>
      </w:divBdr>
    </w:div>
    <w:div w:id="838541722">
      <w:bodyDiv w:val="1"/>
      <w:marLeft w:val="0"/>
      <w:marRight w:val="0"/>
      <w:marTop w:val="0"/>
      <w:marBottom w:val="0"/>
      <w:divBdr>
        <w:top w:val="none" w:sz="0" w:space="0" w:color="auto"/>
        <w:left w:val="none" w:sz="0" w:space="0" w:color="auto"/>
        <w:bottom w:val="none" w:sz="0" w:space="0" w:color="auto"/>
        <w:right w:val="none" w:sz="0" w:space="0" w:color="auto"/>
      </w:divBdr>
    </w:div>
    <w:div w:id="909850387">
      <w:bodyDiv w:val="1"/>
      <w:marLeft w:val="0"/>
      <w:marRight w:val="0"/>
      <w:marTop w:val="0"/>
      <w:marBottom w:val="0"/>
      <w:divBdr>
        <w:top w:val="none" w:sz="0" w:space="0" w:color="auto"/>
        <w:left w:val="none" w:sz="0" w:space="0" w:color="auto"/>
        <w:bottom w:val="none" w:sz="0" w:space="0" w:color="auto"/>
        <w:right w:val="none" w:sz="0" w:space="0" w:color="auto"/>
      </w:divBdr>
    </w:div>
    <w:div w:id="925916784">
      <w:bodyDiv w:val="1"/>
      <w:marLeft w:val="0"/>
      <w:marRight w:val="0"/>
      <w:marTop w:val="0"/>
      <w:marBottom w:val="0"/>
      <w:divBdr>
        <w:top w:val="none" w:sz="0" w:space="0" w:color="auto"/>
        <w:left w:val="none" w:sz="0" w:space="0" w:color="auto"/>
        <w:bottom w:val="none" w:sz="0" w:space="0" w:color="auto"/>
        <w:right w:val="none" w:sz="0" w:space="0" w:color="auto"/>
      </w:divBdr>
    </w:div>
    <w:div w:id="943810520">
      <w:bodyDiv w:val="1"/>
      <w:marLeft w:val="0"/>
      <w:marRight w:val="0"/>
      <w:marTop w:val="0"/>
      <w:marBottom w:val="0"/>
      <w:divBdr>
        <w:top w:val="none" w:sz="0" w:space="0" w:color="auto"/>
        <w:left w:val="none" w:sz="0" w:space="0" w:color="auto"/>
        <w:bottom w:val="none" w:sz="0" w:space="0" w:color="auto"/>
        <w:right w:val="none" w:sz="0" w:space="0" w:color="auto"/>
      </w:divBdr>
    </w:div>
    <w:div w:id="943925817">
      <w:bodyDiv w:val="1"/>
      <w:marLeft w:val="0"/>
      <w:marRight w:val="0"/>
      <w:marTop w:val="0"/>
      <w:marBottom w:val="0"/>
      <w:divBdr>
        <w:top w:val="none" w:sz="0" w:space="0" w:color="auto"/>
        <w:left w:val="none" w:sz="0" w:space="0" w:color="auto"/>
        <w:bottom w:val="none" w:sz="0" w:space="0" w:color="auto"/>
        <w:right w:val="none" w:sz="0" w:space="0" w:color="auto"/>
      </w:divBdr>
    </w:div>
    <w:div w:id="960578025">
      <w:bodyDiv w:val="1"/>
      <w:marLeft w:val="0"/>
      <w:marRight w:val="0"/>
      <w:marTop w:val="0"/>
      <w:marBottom w:val="0"/>
      <w:divBdr>
        <w:top w:val="none" w:sz="0" w:space="0" w:color="auto"/>
        <w:left w:val="none" w:sz="0" w:space="0" w:color="auto"/>
        <w:bottom w:val="none" w:sz="0" w:space="0" w:color="auto"/>
        <w:right w:val="none" w:sz="0" w:space="0" w:color="auto"/>
      </w:divBdr>
    </w:div>
    <w:div w:id="960913766">
      <w:bodyDiv w:val="1"/>
      <w:marLeft w:val="0"/>
      <w:marRight w:val="0"/>
      <w:marTop w:val="0"/>
      <w:marBottom w:val="0"/>
      <w:divBdr>
        <w:top w:val="none" w:sz="0" w:space="0" w:color="auto"/>
        <w:left w:val="none" w:sz="0" w:space="0" w:color="auto"/>
        <w:bottom w:val="none" w:sz="0" w:space="0" w:color="auto"/>
        <w:right w:val="none" w:sz="0" w:space="0" w:color="auto"/>
      </w:divBdr>
    </w:div>
    <w:div w:id="970867394">
      <w:bodyDiv w:val="1"/>
      <w:marLeft w:val="0"/>
      <w:marRight w:val="0"/>
      <w:marTop w:val="0"/>
      <w:marBottom w:val="0"/>
      <w:divBdr>
        <w:top w:val="none" w:sz="0" w:space="0" w:color="auto"/>
        <w:left w:val="none" w:sz="0" w:space="0" w:color="auto"/>
        <w:bottom w:val="none" w:sz="0" w:space="0" w:color="auto"/>
        <w:right w:val="none" w:sz="0" w:space="0" w:color="auto"/>
      </w:divBdr>
    </w:div>
    <w:div w:id="983196736">
      <w:bodyDiv w:val="1"/>
      <w:marLeft w:val="0"/>
      <w:marRight w:val="0"/>
      <w:marTop w:val="0"/>
      <w:marBottom w:val="0"/>
      <w:divBdr>
        <w:top w:val="none" w:sz="0" w:space="0" w:color="auto"/>
        <w:left w:val="none" w:sz="0" w:space="0" w:color="auto"/>
        <w:bottom w:val="none" w:sz="0" w:space="0" w:color="auto"/>
        <w:right w:val="none" w:sz="0" w:space="0" w:color="auto"/>
      </w:divBdr>
    </w:div>
    <w:div w:id="1094014272">
      <w:bodyDiv w:val="1"/>
      <w:marLeft w:val="0"/>
      <w:marRight w:val="0"/>
      <w:marTop w:val="0"/>
      <w:marBottom w:val="0"/>
      <w:divBdr>
        <w:top w:val="none" w:sz="0" w:space="0" w:color="auto"/>
        <w:left w:val="none" w:sz="0" w:space="0" w:color="auto"/>
        <w:bottom w:val="none" w:sz="0" w:space="0" w:color="auto"/>
        <w:right w:val="none" w:sz="0" w:space="0" w:color="auto"/>
      </w:divBdr>
    </w:div>
    <w:div w:id="1117984934">
      <w:bodyDiv w:val="1"/>
      <w:marLeft w:val="0"/>
      <w:marRight w:val="0"/>
      <w:marTop w:val="0"/>
      <w:marBottom w:val="0"/>
      <w:divBdr>
        <w:top w:val="none" w:sz="0" w:space="0" w:color="auto"/>
        <w:left w:val="none" w:sz="0" w:space="0" w:color="auto"/>
        <w:bottom w:val="none" w:sz="0" w:space="0" w:color="auto"/>
        <w:right w:val="none" w:sz="0" w:space="0" w:color="auto"/>
      </w:divBdr>
    </w:div>
    <w:div w:id="1221674764">
      <w:bodyDiv w:val="1"/>
      <w:marLeft w:val="0"/>
      <w:marRight w:val="0"/>
      <w:marTop w:val="0"/>
      <w:marBottom w:val="0"/>
      <w:divBdr>
        <w:top w:val="none" w:sz="0" w:space="0" w:color="auto"/>
        <w:left w:val="none" w:sz="0" w:space="0" w:color="auto"/>
        <w:bottom w:val="none" w:sz="0" w:space="0" w:color="auto"/>
        <w:right w:val="none" w:sz="0" w:space="0" w:color="auto"/>
      </w:divBdr>
    </w:div>
    <w:div w:id="1227836816">
      <w:bodyDiv w:val="1"/>
      <w:marLeft w:val="0"/>
      <w:marRight w:val="0"/>
      <w:marTop w:val="0"/>
      <w:marBottom w:val="0"/>
      <w:divBdr>
        <w:top w:val="none" w:sz="0" w:space="0" w:color="auto"/>
        <w:left w:val="none" w:sz="0" w:space="0" w:color="auto"/>
        <w:bottom w:val="none" w:sz="0" w:space="0" w:color="auto"/>
        <w:right w:val="none" w:sz="0" w:space="0" w:color="auto"/>
      </w:divBdr>
    </w:div>
    <w:div w:id="1260527989">
      <w:bodyDiv w:val="1"/>
      <w:marLeft w:val="0"/>
      <w:marRight w:val="0"/>
      <w:marTop w:val="0"/>
      <w:marBottom w:val="0"/>
      <w:divBdr>
        <w:top w:val="none" w:sz="0" w:space="0" w:color="auto"/>
        <w:left w:val="none" w:sz="0" w:space="0" w:color="auto"/>
        <w:bottom w:val="none" w:sz="0" w:space="0" w:color="auto"/>
        <w:right w:val="none" w:sz="0" w:space="0" w:color="auto"/>
      </w:divBdr>
    </w:div>
    <w:div w:id="1433666213">
      <w:bodyDiv w:val="1"/>
      <w:marLeft w:val="0"/>
      <w:marRight w:val="0"/>
      <w:marTop w:val="0"/>
      <w:marBottom w:val="0"/>
      <w:divBdr>
        <w:top w:val="none" w:sz="0" w:space="0" w:color="auto"/>
        <w:left w:val="none" w:sz="0" w:space="0" w:color="auto"/>
        <w:bottom w:val="none" w:sz="0" w:space="0" w:color="auto"/>
        <w:right w:val="none" w:sz="0" w:space="0" w:color="auto"/>
      </w:divBdr>
    </w:div>
    <w:div w:id="1508669569">
      <w:bodyDiv w:val="1"/>
      <w:marLeft w:val="0"/>
      <w:marRight w:val="0"/>
      <w:marTop w:val="0"/>
      <w:marBottom w:val="0"/>
      <w:divBdr>
        <w:top w:val="none" w:sz="0" w:space="0" w:color="auto"/>
        <w:left w:val="none" w:sz="0" w:space="0" w:color="auto"/>
        <w:bottom w:val="none" w:sz="0" w:space="0" w:color="auto"/>
        <w:right w:val="none" w:sz="0" w:space="0" w:color="auto"/>
      </w:divBdr>
    </w:div>
    <w:div w:id="1557542079">
      <w:bodyDiv w:val="1"/>
      <w:marLeft w:val="0"/>
      <w:marRight w:val="0"/>
      <w:marTop w:val="0"/>
      <w:marBottom w:val="0"/>
      <w:divBdr>
        <w:top w:val="none" w:sz="0" w:space="0" w:color="auto"/>
        <w:left w:val="none" w:sz="0" w:space="0" w:color="auto"/>
        <w:bottom w:val="none" w:sz="0" w:space="0" w:color="auto"/>
        <w:right w:val="none" w:sz="0" w:space="0" w:color="auto"/>
      </w:divBdr>
    </w:div>
    <w:div w:id="1571651354">
      <w:bodyDiv w:val="1"/>
      <w:marLeft w:val="0"/>
      <w:marRight w:val="0"/>
      <w:marTop w:val="0"/>
      <w:marBottom w:val="0"/>
      <w:divBdr>
        <w:top w:val="none" w:sz="0" w:space="0" w:color="auto"/>
        <w:left w:val="none" w:sz="0" w:space="0" w:color="auto"/>
        <w:bottom w:val="none" w:sz="0" w:space="0" w:color="auto"/>
        <w:right w:val="none" w:sz="0" w:space="0" w:color="auto"/>
      </w:divBdr>
    </w:div>
    <w:div w:id="1595439371">
      <w:bodyDiv w:val="1"/>
      <w:marLeft w:val="0"/>
      <w:marRight w:val="0"/>
      <w:marTop w:val="0"/>
      <w:marBottom w:val="0"/>
      <w:divBdr>
        <w:top w:val="none" w:sz="0" w:space="0" w:color="auto"/>
        <w:left w:val="none" w:sz="0" w:space="0" w:color="auto"/>
        <w:bottom w:val="none" w:sz="0" w:space="0" w:color="auto"/>
        <w:right w:val="none" w:sz="0" w:space="0" w:color="auto"/>
      </w:divBdr>
    </w:div>
    <w:div w:id="1637763195">
      <w:bodyDiv w:val="1"/>
      <w:marLeft w:val="0"/>
      <w:marRight w:val="0"/>
      <w:marTop w:val="0"/>
      <w:marBottom w:val="0"/>
      <w:divBdr>
        <w:top w:val="none" w:sz="0" w:space="0" w:color="auto"/>
        <w:left w:val="none" w:sz="0" w:space="0" w:color="auto"/>
        <w:bottom w:val="none" w:sz="0" w:space="0" w:color="auto"/>
        <w:right w:val="none" w:sz="0" w:space="0" w:color="auto"/>
      </w:divBdr>
    </w:div>
    <w:div w:id="1654333638">
      <w:bodyDiv w:val="1"/>
      <w:marLeft w:val="0"/>
      <w:marRight w:val="0"/>
      <w:marTop w:val="0"/>
      <w:marBottom w:val="0"/>
      <w:divBdr>
        <w:top w:val="none" w:sz="0" w:space="0" w:color="auto"/>
        <w:left w:val="none" w:sz="0" w:space="0" w:color="auto"/>
        <w:bottom w:val="none" w:sz="0" w:space="0" w:color="auto"/>
        <w:right w:val="none" w:sz="0" w:space="0" w:color="auto"/>
      </w:divBdr>
    </w:div>
    <w:div w:id="1687056305">
      <w:bodyDiv w:val="1"/>
      <w:marLeft w:val="0"/>
      <w:marRight w:val="0"/>
      <w:marTop w:val="0"/>
      <w:marBottom w:val="0"/>
      <w:divBdr>
        <w:top w:val="none" w:sz="0" w:space="0" w:color="auto"/>
        <w:left w:val="none" w:sz="0" w:space="0" w:color="auto"/>
        <w:bottom w:val="none" w:sz="0" w:space="0" w:color="auto"/>
        <w:right w:val="none" w:sz="0" w:space="0" w:color="auto"/>
      </w:divBdr>
    </w:div>
    <w:div w:id="1692414814">
      <w:bodyDiv w:val="1"/>
      <w:marLeft w:val="0"/>
      <w:marRight w:val="0"/>
      <w:marTop w:val="0"/>
      <w:marBottom w:val="0"/>
      <w:divBdr>
        <w:top w:val="none" w:sz="0" w:space="0" w:color="auto"/>
        <w:left w:val="none" w:sz="0" w:space="0" w:color="auto"/>
        <w:bottom w:val="none" w:sz="0" w:space="0" w:color="auto"/>
        <w:right w:val="none" w:sz="0" w:space="0" w:color="auto"/>
      </w:divBdr>
    </w:div>
    <w:div w:id="1796408554">
      <w:bodyDiv w:val="1"/>
      <w:marLeft w:val="0"/>
      <w:marRight w:val="0"/>
      <w:marTop w:val="0"/>
      <w:marBottom w:val="0"/>
      <w:divBdr>
        <w:top w:val="none" w:sz="0" w:space="0" w:color="auto"/>
        <w:left w:val="none" w:sz="0" w:space="0" w:color="auto"/>
        <w:bottom w:val="none" w:sz="0" w:space="0" w:color="auto"/>
        <w:right w:val="none" w:sz="0" w:space="0" w:color="auto"/>
      </w:divBdr>
    </w:div>
    <w:div w:id="1867869301">
      <w:bodyDiv w:val="1"/>
      <w:marLeft w:val="0"/>
      <w:marRight w:val="0"/>
      <w:marTop w:val="0"/>
      <w:marBottom w:val="0"/>
      <w:divBdr>
        <w:top w:val="none" w:sz="0" w:space="0" w:color="auto"/>
        <w:left w:val="none" w:sz="0" w:space="0" w:color="auto"/>
        <w:bottom w:val="none" w:sz="0" w:space="0" w:color="auto"/>
        <w:right w:val="none" w:sz="0" w:space="0" w:color="auto"/>
      </w:divBdr>
    </w:div>
    <w:div w:id="1882552769">
      <w:bodyDiv w:val="1"/>
      <w:marLeft w:val="0"/>
      <w:marRight w:val="0"/>
      <w:marTop w:val="0"/>
      <w:marBottom w:val="0"/>
      <w:divBdr>
        <w:top w:val="none" w:sz="0" w:space="0" w:color="auto"/>
        <w:left w:val="none" w:sz="0" w:space="0" w:color="auto"/>
        <w:bottom w:val="none" w:sz="0" w:space="0" w:color="auto"/>
        <w:right w:val="none" w:sz="0" w:space="0" w:color="auto"/>
      </w:divBdr>
    </w:div>
    <w:div w:id="2000232150">
      <w:bodyDiv w:val="1"/>
      <w:marLeft w:val="0"/>
      <w:marRight w:val="0"/>
      <w:marTop w:val="0"/>
      <w:marBottom w:val="0"/>
      <w:divBdr>
        <w:top w:val="none" w:sz="0" w:space="0" w:color="auto"/>
        <w:left w:val="none" w:sz="0" w:space="0" w:color="auto"/>
        <w:bottom w:val="none" w:sz="0" w:space="0" w:color="auto"/>
        <w:right w:val="none" w:sz="0" w:space="0" w:color="auto"/>
      </w:divBdr>
    </w:div>
    <w:div w:id="210661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xisnexis.com.ezproxy.lib.monash.edu.au/au/legal/search/runRemoteLink.do?service=citation&amp;langcountry=AU&amp;risb=21_T5982409253&amp;A=0.6830533525910031&amp;linkInfo=F%23GB%23ch+d%23year%251881%25page%25675%25decisiondate%251881%25vol%2517%25sel2%2517%25sel1%251881%25&amp;bct=A" TargetMode="External"/><Relationship Id="rId18" Type="http://schemas.openxmlformats.org/officeDocument/2006/relationships/hyperlink" Target="http://www.lexisnexis.com.ezproxy.lib.monash.edu.au/au/legal/search/runRemoteLink.do?service=citation&amp;langcountry=AU&amp;risb=21_T5984595294&amp;A=0.01840711990182875&amp;linkInfo=F%23GB%23rpc%23year%251975%25page%25354%25sel1%251975%25&amp;bct=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exisnexis.com.ezproxy.lib.monash.edu.au/au/legal/search/runRemoteLink.do?service=citation&amp;langcountry=AU&amp;risb=21_T5983276206&amp;A=0.9648987240580735&amp;linkInfo=F%23GB%23ch+d%23year%251883%25page%25387%25decisiondate%251883%25vol%2523%25sel2%2523%25sel1%251883%25&amp;bct=A" TargetMode="External"/><Relationship Id="rId17" Type="http://schemas.openxmlformats.org/officeDocument/2006/relationships/hyperlink" Target="http://www.lexisnexis.com.ezproxy.lib.monash.edu.au/au/legal/search/runRemoteLink.do?service=citation&amp;langcountry=AU&amp;risb=21_T5983276206&amp;A=0.6729586184234809&amp;linkInfo=F%23AU%23nswlr%23year%251993%25page%25110%25decisiondate%251993%25vol%2535%25sel2%2535%25sel1%251993%25&amp;bct=A" TargetMode="External"/><Relationship Id="rId2" Type="http://schemas.openxmlformats.org/officeDocument/2006/relationships/numbering" Target="numbering.xml"/><Relationship Id="rId16" Type="http://schemas.openxmlformats.org/officeDocument/2006/relationships/hyperlink" Target="http://www.lexisnexis.com.ezproxy.lib.monash.edu.au/au/legal/frame.do?tokenKey=rsh-23.120482.54605457309&amp;target=results_DocumentContent&amp;reloadEntirePage=true&amp;rand=1239770567027&amp;returnToKey=20_T6311588863&amp;parent=doc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xisnexis.com.ezproxy.lib.monash.edu.au/au/legal/search/runRemoteLink.do?service=citation&amp;langcountry=AU&amp;risb=21_T5982409253&amp;A=0.8363911948953426&amp;linkInfo=F%23AU%23alr%23year%252002%25page%25561%25decisiondate%252002%25vol%25192%25sel2%25192%25sel1%252002%25&amp;bct=A" TargetMode="External"/><Relationship Id="rId5" Type="http://schemas.openxmlformats.org/officeDocument/2006/relationships/settings" Target="settings.xml"/><Relationship Id="rId15" Type="http://schemas.openxmlformats.org/officeDocument/2006/relationships/hyperlink" Target="http://www.lexisnexis.com.ezproxy.lib.monash.edu.au/au/legal/search/runRemoteLink.do?service=citation&amp;langcountry=AU&amp;risb=21_T5983276206&amp;A=0.906566362220013&amp;linkInfo=F%23AU%23alr%23year%251987%25page%25565%25decisiondate%251987%25vol%2577%25sel2%2577%25sel1%251987%25&amp;bct=A" TargetMode="External"/><Relationship Id="rId10" Type="http://schemas.openxmlformats.org/officeDocument/2006/relationships/hyperlink" Target="http://www.lexisnexis.com.ezproxy.lib.monash.edu.au/au/legal/search/runRemoteLink.do?service=citation&amp;langcountry=AU&amp;risb=21_T5983276206&amp;A=0.9116219511550532&amp;linkInfo=F%23GB%23kb%23year%251948%25page%25133%25vol%252%25sel2%252%25sel1%251948%25&amp;bct=A"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exisnexis.com.ezproxy.lib.monash.edu.au/au/legal/search/runRemoteLink.do?service=citation&amp;langcountry=AU&amp;risb=21_T5982409253&amp;A=0.1896381212627234&amp;linkInfo=F%23AU%23qd+r%23year%251996%25page%25607%25vol%251%25sel2%251%25sel1%251996%25&amp;bct=A" TargetMode="External"/><Relationship Id="rId14" Type="http://schemas.openxmlformats.org/officeDocument/2006/relationships/hyperlink" Target="http://www.lexisnexis.com.ezproxy.lib.monash.edu.au/au/legal/search/runRemoteLink.do?service=citation&amp;langcountry=AU&amp;risb=21_T5983276206&amp;A=0.906566362220013&amp;linkInfo=F%23AU%23alr%23year%251987%25page%25565%25decisiondate%251987%25vol%2577%25sel2%2577%25sel1%251987%25&amp;bct=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law.timdavi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8AC7-9EF6-479F-9F8B-7DC14DB3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103</Pages>
  <Words>32337</Words>
  <Characters>184321</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328</cp:revision>
  <dcterms:created xsi:type="dcterms:W3CDTF">2010-04-14T10:44:00Z</dcterms:created>
  <dcterms:modified xsi:type="dcterms:W3CDTF">2010-04-15T09:04:00Z</dcterms:modified>
</cp:coreProperties>
</file>