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ind w:right="555"/>
        <w:rPr>
          <w:sz w:val="32"/>
          <w:szCs w:val="32"/>
        </w:rPr>
      </w:pPr>
      <w:r w:rsidDel="00000000" w:rsidR="00000000" w:rsidRPr="00000000">
        <w:rPr>
          <w:rtl w:val="0"/>
        </w:rPr>
      </w:r>
    </w:p>
    <w:p w:rsidR="00000000" w:rsidDel="00000000" w:rsidP="00000000" w:rsidRDefault="00000000" w:rsidRPr="00000000" w14:paraId="00000002">
      <w:pPr>
        <w:pStyle w:val="Heading1"/>
        <w:ind w:left="450" w:right="555" w:firstLine="0"/>
        <w:rPr/>
      </w:pPr>
      <w:bookmarkStart w:colFirst="0" w:colLast="0" w:name="_heading=h.gjdgxs" w:id="0"/>
      <w:bookmarkEnd w:id="0"/>
      <w:r w:rsidDel="00000000" w:rsidR="00000000" w:rsidRPr="00000000">
        <w:rPr>
          <w:sz w:val="32"/>
          <w:szCs w:val="32"/>
          <w:u w:val="single"/>
          <w:rtl w:val="0"/>
        </w:rPr>
        <w:t xml:space="preserve">Direct Debit Approval Questionnaire</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2"/>
        <w:numPr>
          <w:ilvl w:val="0"/>
          <w:numId w:val="6"/>
        </w:numPr>
        <w:ind w:left="426" w:right="555" w:hanging="360"/>
        <w:rPr>
          <w:b w:val="1"/>
          <w:bCs w:val="1"/>
          <w:color w:val="538135"/>
          <w:sz w:val="28"/>
          <w:szCs w:val="28"/>
        </w:rPr>
      </w:pPr>
      <w:r w:rsidDel="00000000" w:rsidR="00000000" w:rsidRPr="00000000">
        <w:rPr>
          <w:b w:val="1"/>
          <w:bCs w:val="1"/>
          <w:color w:val="538135"/>
          <w:sz w:val="28"/>
          <w:szCs w:val="28"/>
          <w:rtl w:val="0"/>
        </w:rPr>
        <w:t xml:space="preserve">Overview</w:t>
      </w:r>
    </w:p>
    <w:tbl>
      <w:tblPr>
        <w:tblStyle w:val="Table1"/>
        <w:tblW w:w="10211.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11"/>
        <w:tblGridChange w:id="0">
          <w:tblGrid>
            <w:gridCol w:w="10211"/>
          </w:tblGrid>
        </w:tblGridChange>
      </w:tblGrid>
      <w:tr>
        <w:trPr>
          <w:cantSplit w:val="0"/>
          <w:trHeight w:val="17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05">
            <w:pPr>
              <w:ind w:right="555"/>
              <w:rPr>
                <w:rFonts w:ascii="Arial" w:cs="Arial" w:eastAsia="Arial" w:hAnsi="Arial"/>
                <w:sz w:val="20"/>
                <w:szCs w:val="20"/>
              </w:rPr>
            </w:pP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006">
            <w:pPr>
              <w:ind w:right="555"/>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Merchant Legal name(s): </w:t>
            </w:r>
          </w:p>
        </w:tc>
      </w:tr>
      <w:tr>
        <w:trPr>
          <w:cantSplit w:val="0"/>
          <w:trHeight w:val="510" w:hRule="atLeast"/>
          <w:tblHeader w:val="0"/>
        </w:trPr>
        <w:tc>
          <w:tcPr>
            <w:vAlign w:val="center"/>
          </w:tcPr>
          <w:p w:rsidR="00000000" w:rsidDel="00000000" w:rsidP="00000000" w:rsidRDefault="00000000" w:rsidRPr="00000000" w14:paraId="00000007">
            <w:pPr>
              <w:ind w:right="555"/>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Website:</w:t>
            </w:r>
          </w:p>
        </w:tc>
      </w:tr>
      <w:tr>
        <w:trPr>
          <w:cantSplit w:val="0"/>
          <w:trHeight w:val="510" w:hRule="atLeast"/>
          <w:tblHeader w:val="0"/>
        </w:trPr>
        <w:tc>
          <w:tcPr>
            <w:vAlign w:val="center"/>
          </w:tcPr>
          <w:p w:rsidR="00000000" w:rsidDel="00000000" w:rsidP="00000000" w:rsidRDefault="00000000" w:rsidRPr="00000000" w14:paraId="00000008">
            <w:pPr>
              <w:ind w:right="555"/>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Industry:</w:t>
            </w:r>
          </w:p>
        </w:tc>
      </w:tr>
      <w:tr>
        <w:trPr>
          <w:cantSplit w:val="0"/>
          <w:trHeight w:val="510" w:hRule="atLeast"/>
          <w:tblHeader w:val="0"/>
        </w:trPr>
        <w:tc>
          <w:tcPr>
            <w:vAlign w:val="center"/>
          </w:tcPr>
          <w:p w:rsidR="00000000" w:rsidDel="00000000" w:rsidP="00000000" w:rsidRDefault="00000000" w:rsidRPr="00000000" w14:paraId="00000009">
            <w:pPr>
              <w:ind w:right="555"/>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Business Model (B2B, B2C, both…):</w:t>
            </w:r>
          </w:p>
        </w:tc>
      </w:tr>
      <w:tr>
        <w:trPr>
          <w:cantSplit w:val="0"/>
          <w:trHeight w:val="736" w:hRule="atLeast"/>
          <w:tblHeader w:val="0"/>
        </w:trPr>
        <w:tc>
          <w:tcPr>
            <w:vAlign w:val="center"/>
          </w:tcPr>
          <w:p w:rsidR="00000000" w:rsidDel="00000000" w:rsidP="00000000" w:rsidRDefault="00000000" w:rsidRPr="00000000" w14:paraId="0000000A">
            <w:pPr>
              <w:ind w:right="555"/>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Products/Services offered:</w:t>
            </w:r>
          </w:p>
          <w:p w:rsidR="00000000" w:rsidDel="00000000" w:rsidP="00000000" w:rsidRDefault="00000000" w:rsidRPr="00000000" w14:paraId="0000000B">
            <w:pPr>
              <w:ind w:right="555"/>
              <w:rPr>
                <w:rFonts w:ascii="Arial" w:cs="Arial" w:eastAsia="Arial" w:hAnsi="Arial"/>
                <w:b w:val="1"/>
                <w:bCs w:val="1"/>
                <w:sz w:val="20"/>
                <w:szCs w:val="20"/>
              </w:rPr>
            </w:pPr>
            <w:r w:rsidDel="00000000" w:rsidR="00000000" w:rsidRPr="00000000">
              <w:rPr>
                <w:rtl w:val="0"/>
              </w:rPr>
            </w:r>
          </w:p>
        </w:tc>
      </w:tr>
      <w:tr>
        <w:trPr>
          <w:cantSplit w:val="0"/>
          <w:trHeight w:val="850" w:hRule="atLeast"/>
          <w:tblHeader w:val="0"/>
        </w:trPr>
        <w:tc>
          <w:tcPr>
            <w:vAlign w:val="center"/>
          </w:tcPr>
          <w:p w:rsidR="00000000" w:rsidDel="00000000" w:rsidP="00000000" w:rsidRDefault="00000000" w:rsidRPr="00000000" w14:paraId="0000000C">
            <w:pPr>
              <w:ind w:right="555"/>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Geographic scope of merchant and shoppers/sub-merchants:</w:t>
            </w:r>
          </w:p>
          <w:p w:rsidR="00000000" w:rsidDel="00000000" w:rsidP="00000000" w:rsidRDefault="00000000" w:rsidRPr="00000000" w14:paraId="0000000D">
            <w:pPr>
              <w:ind w:right="555"/>
              <w:rPr>
                <w:rFonts w:ascii="Arial" w:cs="Arial" w:eastAsia="Arial" w:hAnsi="Arial"/>
                <w:b w:val="1"/>
                <w:bCs w:val="1"/>
                <w:sz w:val="20"/>
                <w:szCs w:val="20"/>
              </w:rPr>
            </w:pPr>
            <w:r w:rsidDel="00000000" w:rsidR="00000000" w:rsidRPr="00000000">
              <w:rPr>
                <w:rtl w:val="0"/>
              </w:rPr>
            </w:r>
          </w:p>
        </w:tc>
      </w:tr>
      <w:tr>
        <w:trPr>
          <w:cantSplit w:val="0"/>
          <w:trHeight w:val="850" w:hRule="atLeast"/>
          <w:tblHeader w:val="0"/>
        </w:trPr>
        <w:tc>
          <w:tcPr>
            <w:vAlign w:val="center"/>
          </w:tcPr>
          <w:p w:rsidR="00000000" w:rsidDel="00000000" w:rsidP="00000000" w:rsidRDefault="00000000" w:rsidRPr="00000000" w14:paraId="0000000E">
            <w:pPr>
              <w:ind w:right="555"/>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Merchant accounts for which the payment method should be enabled:</w:t>
            </w:r>
          </w:p>
        </w:tc>
      </w:tr>
    </w:tbl>
    <w:p w:rsidR="00000000" w:rsidDel="00000000" w:rsidP="00000000" w:rsidRDefault="00000000" w:rsidRPr="00000000" w14:paraId="0000000F">
      <w:pPr>
        <w:ind w:right="555"/>
        <w:rPr/>
      </w:pPr>
      <w:r w:rsidDel="00000000" w:rsidR="00000000" w:rsidRPr="00000000">
        <w:rPr>
          <w:rtl w:val="0"/>
        </w:rPr>
      </w:r>
    </w:p>
    <w:p w:rsidR="00000000" w:rsidDel="00000000" w:rsidP="00000000" w:rsidRDefault="00000000" w:rsidRPr="00000000" w14:paraId="00000010">
      <w:pPr>
        <w:pStyle w:val="Heading2"/>
        <w:numPr>
          <w:ilvl w:val="0"/>
          <w:numId w:val="6"/>
        </w:numPr>
        <w:ind w:left="426" w:right="555" w:hanging="360"/>
        <w:rPr>
          <w:b w:val="1"/>
          <w:bCs w:val="1"/>
          <w:color w:val="538135"/>
          <w:sz w:val="28"/>
          <w:szCs w:val="28"/>
        </w:rPr>
      </w:pPr>
      <w:r w:rsidDel="00000000" w:rsidR="00000000" w:rsidRPr="00000000">
        <w:rPr>
          <w:b w:val="1"/>
          <w:bCs w:val="1"/>
          <w:color w:val="538135"/>
          <w:sz w:val="28"/>
          <w:szCs w:val="28"/>
          <w:rtl w:val="0"/>
        </w:rPr>
        <w:t xml:space="preserve">Use case</w:t>
      </w:r>
    </w:p>
    <w:tbl>
      <w:tblPr>
        <w:tblStyle w:val="Table2"/>
        <w:tblW w:w="9639.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2"/>
        <w:gridCol w:w="9077"/>
        <w:tblGridChange w:id="0">
          <w:tblGrid>
            <w:gridCol w:w="562"/>
            <w:gridCol w:w="9077"/>
          </w:tblGrid>
        </w:tblGridChange>
      </w:tblGrid>
      <w:tr>
        <w:trPr>
          <w:cantSplit w:val="0"/>
          <w:trHeight w:val="920.39062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1">
            <w:pPr>
              <w:pBdr>
                <w:bottom w:color="000000" w:space="1" w:sz="6" w:val="single"/>
              </w:pBdr>
              <w:rPr>
                <w:sz w:val="20"/>
                <w:szCs w:val="20"/>
              </w:rPr>
            </w:pPr>
            <w:r w:rsidDel="00000000" w:rsidR="00000000" w:rsidRPr="00000000">
              <w:rPr>
                <w:rtl w:val="0"/>
              </w:rPr>
            </w:r>
          </w:p>
          <w:p w:rsidR="00000000" w:rsidDel="00000000" w:rsidP="00000000" w:rsidRDefault="00000000" w:rsidRPr="00000000" w14:paraId="00000012">
            <w:pPr>
              <w:pBdr>
                <w:bottom w:color="000000" w:space="1" w:sz="6" w:val="single"/>
              </w:pBdr>
              <w:rPr>
                <w:sz w:val="20"/>
                <w:szCs w:val="20"/>
              </w:rPr>
            </w:pPr>
            <w:r w:rsidDel="00000000" w:rsidR="00000000" w:rsidRPr="00000000">
              <w:rPr>
                <w:rtl w:val="0"/>
              </w:rPr>
            </w:r>
          </w:p>
          <w:p w:rsidR="00000000" w:rsidDel="00000000" w:rsidP="00000000" w:rsidRDefault="00000000" w:rsidRPr="00000000" w14:paraId="0000001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4">
            <w:pPr>
              <w:rPr>
                <w:sz w:val="20"/>
                <w:szCs w:val="20"/>
              </w:rPr>
            </w:pPr>
            <w:r w:rsidDel="00000000" w:rsidR="00000000" w:rsidRPr="00000000">
              <w:rPr>
                <w:sz w:val="20"/>
                <w:szCs w:val="20"/>
                <w:rtl w:val="0"/>
              </w:rPr>
              <w:t xml:space="preserve">Recurring payments such as subscriptions and </w:t>
            </w:r>
            <w:r w:rsidDel="00000000" w:rsidR="00000000" w:rsidRPr="00000000">
              <w:rPr>
                <w:sz w:val="20"/>
                <w:szCs w:val="20"/>
                <w:rtl w:val="0"/>
              </w:rPr>
              <w:t xml:space="preserve">donations</w:t>
            </w:r>
            <w:r w:rsidDel="00000000" w:rsidR="00000000" w:rsidRPr="00000000">
              <w:rPr>
                <w:rtl w:val="0"/>
              </w:rPr>
            </w:r>
          </w:p>
        </w:tc>
      </w:tr>
      <w:tr>
        <w:trPr>
          <w:cantSplit w:val="0"/>
          <w:trHeight w:val="533.2812499999999"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5">
            <w:pPr>
              <w:pBdr>
                <w:bottom w:color="000000" w:space="1" w:sz="6" w:val="single"/>
              </w:pBdr>
              <w:rPr>
                <w:sz w:val="20"/>
                <w:szCs w:val="20"/>
              </w:rPr>
            </w:pP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7">
            <w:pPr>
              <w:rPr>
                <w:sz w:val="20"/>
                <w:szCs w:val="20"/>
              </w:rPr>
            </w:pPr>
            <w:r w:rsidDel="00000000" w:rsidR="00000000" w:rsidRPr="00000000">
              <w:rPr>
                <w:sz w:val="20"/>
                <w:szCs w:val="20"/>
                <w:rtl w:val="0"/>
              </w:rPr>
              <w:t xml:space="preserve">Offering high value goods or services (industrial equipment, fuel, software)</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8">
            <w:pPr>
              <w:pBdr>
                <w:bottom w:color="000000" w:space="1" w:sz="6" w:val="single"/>
              </w:pBdr>
              <w:rPr>
                <w:sz w:val="20"/>
                <w:szCs w:val="20"/>
              </w:rPr>
            </w:pPr>
            <w:r w:rsidDel="00000000" w:rsidR="00000000" w:rsidRPr="00000000">
              <w:rPr>
                <w:sz w:val="20"/>
                <w:szCs w:val="20"/>
                <w:rtl w:val="0"/>
              </w:rPr>
              <w:br w:type="textWrapping"/>
            </w:r>
          </w:p>
          <w:p w:rsidR="00000000" w:rsidDel="00000000" w:rsidP="00000000" w:rsidRDefault="00000000" w:rsidRPr="00000000" w14:paraId="0000001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A">
            <w:pPr>
              <w:rPr>
                <w:sz w:val="20"/>
                <w:szCs w:val="20"/>
              </w:rPr>
            </w:pPr>
            <w:r w:rsidDel="00000000" w:rsidR="00000000" w:rsidRPr="00000000">
              <w:rPr>
                <w:sz w:val="20"/>
                <w:szCs w:val="20"/>
                <w:rtl w:val="0"/>
              </w:rPr>
              <w:t xml:space="preserve">Organizing high profile events (sports events, VIP fashion events)</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B">
            <w:pPr>
              <w:pBdr>
                <w:bottom w:color="000000" w:space="1" w:sz="6" w:val="single"/>
              </w:pBdr>
              <w:rPr>
                <w:sz w:val="20"/>
                <w:szCs w:val="20"/>
              </w:rPr>
            </w:pPr>
            <w:r w:rsidDel="00000000" w:rsidR="00000000" w:rsidRPr="00000000">
              <w:rPr>
                <w:sz w:val="20"/>
                <w:szCs w:val="20"/>
                <w:rtl w:val="0"/>
              </w:rPr>
              <w:br w:type="textWrapping"/>
            </w:r>
          </w:p>
          <w:p w:rsidR="00000000" w:rsidDel="00000000" w:rsidP="00000000" w:rsidRDefault="00000000" w:rsidRPr="00000000" w14:paraId="0000001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D">
            <w:pPr>
              <w:rPr>
                <w:sz w:val="20"/>
                <w:szCs w:val="20"/>
              </w:rPr>
            </w:pPr>
            <w:r w:rsidDel="00000000" w:rsidR="00000000" w:rsidRPr="00000000">
              <w:rPr>
                <w:sz w:val="20"/>
                <w:szCs w:val="20"/>
                <w:rtl w:val="0"/>
              </w:rPr>
              <w:t xml:space="preserve">Processing payments of high values or multiple invoices/transactions mainly for B2B business models (bulk orders, monthly billing, insurance premiums)</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E">
            <w:pPr>
              <w:pBdr>
                <w:bottom w:color="000000" w:space="1" w:sz="6" w:val="single"/>
              </w:pBd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F">
            <w:pPr>
              <w:rPr>
                <w:sz w:val="20"/>
                <w:szCs w:val="20"/>
              </w:rPr>
            </w:pPr>
            <w:r w:rsidDel="00000000" w:rsidR="00000000" w:rsidRPr="00000000">
              <w:rPr>
                <w:sz w:val="20"/>
                <w:szCs w:val="20"/>
                <w:rtl w:val="0"/>
              </w:rPr>
              <w:t xml:space="preserve">Offering direct debit as a payment method</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20">
            <w:pPr>
              <w:pBdr>
                <w:bottom w:color="000000" w:space="1" w:sz="6" w:val="single"/>
              </w:pBd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sz w:val="20"/>
                <w:szCs w:val="20"/>
                <w:rtl w:val="0"/>
              </w:rPr>
              <w:t xml:space="preserve">Other, explain:</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2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24">
            <w:pPr>
              <w:rPr>
                <w:sz w:val="20"/>
                <w:szCs w:val="20"/>
              </w:rPr>
            </w:pPr>
            <w:r w:rsidDel="00000000" w:rsidR="00000000" w:rsidRPr="00000000">
              <w:rPr>
                <w:rtl w:val="0"/>
              </w:rPr>
            </w:r>
          </w:p>
        </w:tc>
      </w:tr>
    </w:tbl>
    <w:p w:rsidR="00000000" w:rsidDel="00000000" w:rsidP="00000000" w:rsidRDefault="00000000" w:rsidRPr="00000000" w14:paraId="00000025">
      <w:pPr>
        <w:pStyle w:val="Heading2"/>
        <w:numPr>
          <w:ilvl w:val="0"/>
          <w:numId w:val="3"/>
        </w:numPr>
        <w:ind w:left="567" w:right="555" w:hanging="141"/>
        <w:rPr>
          <w:b w:val="1"/>
          <w:bCs w:val="1"/>
          <w:color w:val="2f5496"/>
          <w:sz w:val="22"/>
          <w:szCs w:val="22"/>
        </w:rPr>
      </w:pPr>
      <w:bookmarkStart w:colFirst="0" w:colLast="0" w:name="_heading=h.s3xygsdjiee" w:id="1"/>
      <w:bookmarkEnd w:id="1"/>
      <w:r w:rsidDel="00000000" w:rsidR="00000000" w:rsidRPr="00000000">
        <w:rPr>
          <w:b w:val="1"/>
          <w:bCs w:val="1"/>
          <w:color w:val="000000"/>
          <w:sz w:val="22"/>
          <w:szCs w:val="22"/>
          <w:rtl w:val="0"/>
        </w:rPr>
        <w:t xml:space="preserve">What is the maximum expected transaction value? To manage risk and ensure compliance, we require you to specify the maximum expected value of a single transaction your business might process. This is not the total value of all transactions, but rather the highest amount anticipated for any one individual transaction. As the acquirer, we will automatically decline any transaction that exceeds this specified single-transaction limit. This safeguard helps prevent potential fraud and reduces unexpected financial exposure.</w:t>
      </w:r>
      <w:r w:rsidDel="00000000" w:rsidR="00000000" w:rsidRPr="00000000">
        <w:rPr>
          <w:rtl w:val="0"/>
        </w:rPr>
      </w:r>
    </w:p>
    <w:p w:rsidR="00000000" w:rsidDel="00000000" w:rsidP="00000000" w:rsidRDefault="00000000" w:rsidRPr="00000000" w14:paraId="00000026">
      <w:pPr>
        <w:ind w:left="426" w:right="555" w:firstLine="0"/>
        <w:rPr/>
      </w:pPr>
      <w:r w:rsidDel="00000000" w:rsidR="00000000" w:rsidRPr="00000000">
        <w:rPr>
          <w:rtl w:val="0"/>
        </w:rPr>
      </w:r>
    </w:p>
    <w:p w:rsidR="00000000" w:rsidDel="00000000" w:rsidP="00000000" w:rsidRDefault="00000000" w:rsidRPr="00000000" w14:paraId="00000027">
      <w:pPr>
        <w:pBdr>
          <w:top w:color="000000" w:space="1" w:sz="6" w:val="single"/>
          <w:bottom w:color="000000" w:space="1" w:sz="6" w:val="single"/>
        </w:pBdr>
        <w:ind w:left="426" w:right="555" w:firstLine="0"/>
        <w:rPr/>
      </w:pPr>
      <w:r w:rsidDel="00000000" w:rsidR="00000000" w:rsidRPr="00000000">
        <w:rPr>
          <w:rtl w:val="0"/>
        </w:rPr>
      </w:r>
    </w:p>
    <w:p w:rsidR="00000000" w:rsidDel="00000000" w:rsidP="00000000" w:rsidRDefault="00000000" w:rsidRPr="00000000" w14:paraId="00000028">
      <w:pPr>
        <w:ind w:right="555"/>
        <w:rPr/>
      </w:pPr>
      <w:r w:rsidDel="00000000" w:rsidR="00000000" w:rsidRPr="00000000">
        <w:rPr>
          <w:rtl w:val="0"/>
        </w:rPr>
      </w:r>
    </w:p>
    <w:p w:rsidR="00000000" w:rsidDel="00000000" w:rsidP="00000000" w:rsidRDefault="00000000" w:rsidRPr="00000000" w14:paraId="00000029">
      <w:pPr>
        <w:ind w:right="555"/>
        <w:rPr/>
      </w:pPr>
      <w:r w:rsidDel="00000000" w:rsidR="00000000" w:rsidRPr="00000000">
        <w:rPr>
          <w:rtl w:val="0"/>
        </w:rPr>
      </w:r>
    </w:p>
    <w:p w:rsidR="00000000" w:rsidDel="00000000" w:rsidP="00000000" w:rsidRDefault="00000000" w:rsidRPr="00000000" w14:paraId="0000002A">
      <w:pPr>
        <w:pStyle w:val="Heading2"/>
        <w:numPr>
          <w:ilvl w:val="0"/>
          <w:numId w:val="7"/>
        </w:numPr>
        <w:ind w:left="567" w:right="555" w:hanging="141"/>
        <w:jc w:val="both"/>
        <w:rPr>
          <w:b w:val="1"/>
          <w:bCs w:val="1"/>
          <w:sz w:val="22"/>
          <w:szCs w:val="22"/>
        </w:rPr>
      </w:pPr>
      <w:bookmarkStart w:colFirst="0" w:colLast="0" w:name="_heading=h.kpee86jkhxox" w:id="2"/>
      <w:bookmarkEnd w:id="2"/>
      <w:r w:rsidDel="00000000" w:rsidR="00000000" w:rsidRPr="00000000">
        <w:rPr>
          <w:b w:val="1"/>
          <w:bCs w:val="1"/>
          <w:color w:val="000000"/>
          <w:sz w:val="22"/>
          <w:szCs w:val="22"/>
          <w:rtl w:val="0"/>
        </w:rPr>
        <w:t xml:space="preserve">I</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 you are a new Adyen merchant and not requesting a special deposit, please provide your direct debit volumes and chargeback/return rates from the last quarter, obtained from your current payment processor.</w:t>
      </w:r>
      <w:r w:rsidDel="00000000" w:rsidR="00000000" w:rsidRPr="00000000">
        <w:rPr>
          <w:rtl w:val="0"/>
        </w:rPr>
      </w:r>
    </w:p>
    <w:p w:rsidR="00000000" w:rsidDel="00000000" w:rsidP="00000000" w:rsidRDefault="00000000" w:rsidRPr="00000000" w14:paraId="0000002B">
      <w:pPr>
        <w:ind w:left="426" w:right="555" w:firstLine="0"/>
        <w:rPr/>
      </w:pPr>
      <w:r w:rsidDel="00000000" w:rsidR="00000000" w:rsidRPr="00000000">
        <w:rPr>
          <w:rtl w:val="0"/>
        </w:rPr>
      </w:r>
    </w:p>
    <w:p w:rsidR="00000000" w:rsidDel="00000000" w:rsidP="00000000" w:rsidRDefault="00000000" w:rsidRPr="00000000" w14:paraId="0000002C">
      <w:pPr>
        <w:pBdr>
          <w:top w:color="000000" w:space="1" w:sz="6" w:val="single"/>
          <w:bottom w:color="000000" w:space="1" w:sz="6" w:val="single"/>
        </w:pBdr>
        <w:ind w:left="426" w:right="555" w:firstLine="0"/>
        <w:rPr/>
      </w:pPr>
      <w:r w:rsidDel="00000000" w:rsidR="00000000" w:rsidRPr="00000000">
        <w:rPr>
          <w:rtl w:val="0"/>
        </w:rPr>
      </w:r>
    </w:p>
    <w:p w:rsidR="00000000" w:rsidDel="00000000" w:rsidP="00000000" w:rsidRDefault="00000000" w:rsidRPr="00000000" w14:paraId="0000002D">
      <w:pPr>
        <w:ind w:right="555"/>
        <w:rPr/>
      </w:pPr>
      <w:r w:rsidDel="00000000" w:rsidR="00000000" w:rsidRPr="00000000">
        <w:rPr>
          <w:rtl w:val="0"/>
        </w:rPr>
      </w:r>
    </w:p>
    <w:p w:rsidR="00000000" w:rsidDel="00000000" w:rsidP="00000000" w:rsidRDefault="00000000" w:rsidRPr="00000000" w14:paraId="0000002E">
      <w:pPr>
        <w:ind w:right="555"/>
        <w:rPr/>
      </w:pPr>
      <w:r w:rsidDel="00000000" w:rsidR="00000000" w:rsidRPr="00000000">
        <w:rPr>
          <w:rtl w:val="0"/>
        </w:rPr>
      </w:r>
    </w:p>
    <w:p w:rsidR="00000000" w:rsidDel="00000000" w:rsidP="00000000" w:rsidRDefault="00000000" w:rsidRPr="00000000" w14:paraId="0000002F">
      <w:pPr>
        <w:pStyle w:val="Heading2"/>
        <w:numPr>
          <w:ilvl w:val="0"/>
          <w:numId w:val="6"/>
        </w:numPr>
        <w:ind w:left="426" w:right="555" w:hanging="360"/>
        <w:rPr>
          <w:b w:val="1"/>
          <w:bCs w:val="1"/>
          <w:color w:val="538135"/>
          <w:sz w:val="28"/>
          <w:szCs w:val="28"/>
        </w:rPr>
      </w:pPr>
      <w:r w:rsidDel="00000000" w:rsidR="00000000" w:rsidRPr="00000000">
        <w:rPr>
          <w:b w:val="1"/>
          <w:bCs w:val="1"/>
          <w:color w:val="538135"/>
          <w:sz w:val="28"/>
          <w:szCs w:val="28"/>
          <w:rtl w:val="0"/>
        </w:rPr>
        <w:t xml:space="preserve">Money Laundering, Fraud and Terrorist Financing Risk Mitigating Controls</w:t>
      </w:r>
      <w:r w:rsidDel="00000000" w:rsidR="00000000" w:rsidRPr="00000000">
        <w:rPr>
          <w:rtl w:val="0"/>
        </w:rPr>
      </w:r>
    </w:p>
    <w:p w:rsidR="00000000" w:rsidDel="00000000" w:rsidP="00000000" w:rsidRDefault="00000000" w:rsidRPr="00000000" w14:paraId="00000030">
      <w:pPr>
        <w:ind w:right="555"/>
        <w:rPr/>
      </w:pPr>
      <w:r w:rsidDel="00000000" w:rsidR="00000000" w:rsidRPr="00000000">
        <w:rPr>
          <w:rtl w:val="0"/>
        </w:rPr>
      </w:r>
    </w:p>
    <w:p w:rsidR="00000000" w:rsidDel="00000000" w:rsidP="00000000" w:rsidRDefault="00000000" w:rsidRPr="00000000" w14:paraId="00000031">
      <w:pPr>
        <w:pStyle w:val="Heading2"/>
        <w:numPr>
          <w:ilvl w:val="0"/>
          <w:numId w:val="7"/>
        </w:numPr>
        <w:ind w:left="567" w:right="555" w:hanging="141"/>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What information is collected about the shoppers/customers/sub-merchants to identify them and how is this information verified (supporting documents)?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6" w:right="55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pBdr>
          <w:top w:color="000000" w:space="1" w:sz="6" w:val="single"/>
          <w:bottom w:color="000000" w:space="1" w:sz="6" w:val="single"/>
        </w:pBdr>
        <w:ind w:left="426" w:right="555" w:firstLine="0"/>
        <w:rPr/>
      </w:pPr>
      <w:r w:rsidDel="00000000" w:rsidR="00000000" w:rsidRPr="00000000">
        <w:rPr>
          <w:rtl w:val="0"/>
        </w:rPr>
      </w:r>
    </w:p>
    <w:p w:rsidR="00000000" w:rsidDel="00000000" w:rsidP="00000000" w:rsidRDefault="00000000" w:rsidRPr="00000000" w14:paraId="00000034">
      <w:pPr>
        <w:ind w:right="555"/>
        <w:rPr/>
      </w:pPr>
      <w:r w:rsidDel="00000000" w:rsidR="00000000" w:rsidRPr="00000000">
        <w:rPr>
          <w:rtl w:val="0"/>
        </w:rPr>
      </w:r>
    </w:p>
    <w:p w:rsidR="00000000" w:rsidDel="00000000" w:rsidP="00000000" w:rsidRDefault="00000000" w:rsidRPr="00000000" w14:paraId="00000035">
      <w:pPr>
        <w:pStyle w:val="Heading2"/>
        <w:numPr>
          <w:ilvl w:val="0"/>
          <w:numId w:val="7"/>
        </w:numPr>
        <w:ind w:left="567" w:right="555" w:hanging="141"/>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Does the merchant have an AML Policy? If yes, please provide a copy.</w:t>
      </w:r>
    </w:p>
    <w:p w:rsidR="00000000" w:rsidDel="00000000" w:rsidP="00000000" w:rsidRDefault="00000000" w:rsidRPr="00000000" w14:paraId="00000036">
      <w:pPr>
        <w:ind w:right="555"/>
        <w:rPr/>
      </w:pPr>
      <w:r w:rsidDel="00000000" w:rsidR="00000000" w:rsidRPr="00000000">
        <w:rPr>
          <w:rtl w:val="0"/>
        </w:rPr>
      </w:r>
    </w:p>
    <w:p w:rsidR="00000000" w:rsidDel="00000000" w:rsidP="00000000" w:rsidRDefault="00000000" w:rsidRPr="00000000" w14:paraId="00000037">
      <w:pPr>
        <w:pStyle w:val="Heading2"/>
        <w:numPr>
          <w:ilvl w:val="0"/>
          <w:numId w:val="7"/>
        </w:numPr>
        <w:ind w:left="567" w:right="555" w:hanging="141"/>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What controls are in place for mitigating shopper fraud</w:t>
      </w:r>
      <w:r w:rsidDel="00000000" w:rsidR="00000000" w:rsidRPr="00000000">
        <w:rPr>
          <w:b w:val="1"/>
          <w:bCs w:val="1"/>
          <w:color w:val="000000"/>
          <w:sz w:val="22"/>
          <w:szCs w:val="22"/>
          <w:rtl w:val="0"/>
        </w:rPr>
        <w:t xml:space="preserve">? This occurs when a buyer (shopper) engages in deceptive behavior to gain goods, services, or money dishonestly.</w:t>
      </w:r>
      <w:r w:rsidDel="00000000" w:rsidR="00000000" w:rsidRPr="00000000">
        <w:rPr>
          <w:rtl w:val="0"/>
        </w:rPr>
      </w:r>
    </w:p>
    <w:p w:rsidR="00000000" w:rsidDel="00000000" w:rsidP="00000000" w:rsidRDefault="00000000" w:rsidRPr="00000000" w14:paraId="00000038">
      <w:pPr>
        <w:ind w:right="555"/>
        <w:rPr/>
      </w:pPr>
      <w:r w:rsidDel="00000000" w:rsidR="00000000" w:rsidRPr="00000000">
        <w:rPr>
          <w:rtl w:val="0"/>
        </w:rPr>
      </w:r>
    </w:p>
    <w:p w:rsidR="00000000" w:rsidDel="00000000" w:rsidP="00000000" w:rsidRDefault="00000000" w:rsidRPr="00000000" w14:paraId="00000039">
      <w:pPr>
        <w:pBdr>
          <w:top w:color="000000" w:space="1" w:sz="6" w:val="single"/>
          <w:bottom w:color="000000" w:space="1" w:sz="6" w:val="single"/>
        </w:pBdr>
        <w:ind w:left="426" w:right="555" w:firstLine="0"/>
        <w:rPr/>
      </w:pPr>
      <w:r w:rsidDel="00000000" w:rsidR="00000000" w:rsidRPr="00000000">
        <w:rPr>
          <w:rtl w:val="0"/>
        </w:rPr>
      </w:r>
    </w:p>
    <w:p w:rsidR="00000000" w:rsidDel="00000000" w:rsidP="00000000" w:rsidRDefault="00000000" w:rsidRPr="00000000" w14:paraId="0000003A">
      <w:pPr>
        <w:ind w:right="555"/>
        <w:rPr/>
      </w:pPr>
      <w:r w:rsidDel="00000000" w:rsidR="00000000" w:rsidRPr="00000000">
        <w:rPr>
          <w:rtl w:val="0"/>
        </w:rPr>
      </w:r>
    </w:p>
    <w:p w:rsidR="00000000" w:rsidDel="00000000" w:rsidP="00000000" w:rsidRDefault="00000000" w:rsidRPr="00000000" w14:paraId="0000003B">
      <w:pPr>
        <w:numPr>
          <w:ilvl w:val="0"/>
          <w:numId w:val="5"/>
        </w:numPr>
        <w:ind w:left="720" w:right="555" w:hanging="360"/>
        <w:rPr>
          <w:b w:val="1"/>
          <w:bCs w:val="1"/>
          <w:sz w:val="22"/>
          <w:szCs w:val="22"/>
          <w:u w:val="none"/>
        </w:rPr>
      </w:pPr>
      <w:r w:rsidDel="00000000" w:rsidR="00000000" w:rsidRPr="00000000">
        <w:rPr>
          <w:b w:val="1"/>
          <w:bCs w:val="1"/>
          <w:sz w:val="22"/>
          <w:szCs w:val="22"/>
          <w:rtl w:val="0"/>
        </w:rPr>
        <w:t xml:space="preserve">What controls are in place for mitigating</w:t>
      </w:r>
      <w:r w:rsidDel="00000000" w:rsidR="00000000" w:rsidRPr="00000000">
        <w:rPr>
          <w:b w:val="1"/>
          <w:bCs w:val="1"/>
          <w:sz w:val="22"/>
          <w:szCs w:val="22"/>
          <w:rtl w:val="0"/>
        </w:rPr>
        <w:t xml:space="preserve"> seller fraud?</w:t>
      </w:r>
      <w:r w:rsidDel="00000000" w:rsidR="00000000" w:rsidRPr="00000000">
        <w:rPr>
          <w:b w:val="1"/>
          <w:bCs w:val="1"/>
          <w:sz w:val="22"/>
          <w:szCs w:val="22"/>
          <w:rtl w:val="0"/>
        </w:rPr>
        <w:t xml:space="preserve"> This happens when a seller engages in dishonest or malicious behavior to scam buyers or platforms.</w:t>
      </w:r>
    </w:p>
    <w:p w:rsidR="00000000" w:rsidDel="00000000" w:rsidP="00000000" w:rsidRDefault="00000000" w:rsidRPr="00000000" w14:paraId="0000003C">
      <w:pPr>
        <w:ind w:right="555"/>
        <w:rPr/>
      </w:pPr>
      <w:r w:rsidDel="00000000" w:rsidR="00000000" w:rsidRPr="00000000">
        <w:rPr>
          <w:rtl w:val="0"/>
        </w:rPr>
      </w:r>
    </w:p>
    <w:p w:rsidR="00000000" w:rsidDel="00000000" w:rsidP="00000000" w:rsidRDefault="00000000" w:rsidRPr="00000000" w14:paraId="0000003D">
      <w:pPr>
        <w:pBdr>
          <w:top w:color="000000" w:space="1" w:sz="6" w:val="single"/>
          <w:bottom w:color="000000" w:space="1" w:sz="6" w:val="single"/>
        </w:pBdr>
        <w:ind w:left="426" w:right="555" w:firstLine="0"/>
        <w:rPr/>
      </w:pPr>
      <w:r w:rsidDel="00000000" w:rsidR="00000000" w:rsidRPr="00000000">
        <w:rPr>
          <w:rtl w:val="0"/>
        </w:rPr>
      </w:r>
    </w:p>
    <w:p w:rsidR="00000000" w:rsidDel="00000000" w:rsidP="00000000" w:rsidRDefault="00000000" w:rsidRPr="00000000" w14:paraId="0000003E">
      <w:pPr>
        <w:ind w:right="555"/>
        <w:rPr/>
      </w:pPr>
      <w:r w:rsidDel="00000000" w:rsidR="00000000" w:rsidRPr="00000000">
        <w:rPr>
          <w:rtl w:val="0"/>
        </w:rPr>
      </w:r>
    </w:p>
    <w:p w:rsidR="00000000" w:rsidDel="00000000" w:rsidP="00000000" w:rsidRDefault="00000000" w:rsidRPr="00000000" w14:paraId="0000003F">
      <w:pPr>
        <w:pStyle w:val="Heading2"/>
        <w:numPr>
          <w:ilvl w:val="0"/>
          <w:numId w:val="7"/>
        </w:numPr>
        <w:ind w:left="567" w:right="555" w:hanging="141"/>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Are the high value transactions always subject to a contract or only relevant for B2B between well-known parties?</w:t>
      </w:r>
      <w:r w:rsidDel="00000000" w:rsidR="00000000" w:rsidRPr="00000000">
        <w:rPr>
          <w:rtl w:val="0"/>
        </w:rPr>
      </w:r>
    </w:p>
    <w:p w:rsidR="00000000" w:rsidDel="00000000" w:rsidP="00000000" w:rsidRDefault="00000000" w:rsidRPr="00000000" w14:paraId="00000040">
      <w:pPr>
        <w:ind w:right="555"/>
        <w:rPr/>
      </w:pPr>
      <w:r w:rsidDel="00000000" w:rsidR="00000000" w:rsidRPr="00000000">
        <w:rPr>
          <w:rtl w:val="0"/>
        </w:rPr>
      </w:r>
    </w:p>
    <w:p w:rsidR="00000000" w:rsidDel="00000000" w:rsidP="00000000" w:rsidRDefault="00000000" w:rsidRPr="00000000" w14:paraId="00000041">
      <w:pPr>
        <w:pBdr>
          <w:top w:color="000000" w:space="1" w:sz="6" w:val="single"/>
          <w:bottom w:color="000000" w:space="1" w:sz="6" w:val="single"/>
        </w:pBdr>
        <w:ind w:left="426" w:right="555" w:firstLine="0"/>
        <w:rPr/>
      </w:pPr>
      <w:r w:rsidDel="00000000" w:rsidR="00000000" w:rsidRPr="00000000">
        <w:rPr>
          <w:rtl w:val="0"/>
        </w:rPr>
      </w:r>
    </w:p>
    <w:p w:rsidR="00000000" w:rsidDel="00000000" w:rsidP="00000000" w:rsidRDefault="00000000" w:rsidRPr="00000000" w14:paraId="00000042">
      <w:pPr>
        <w:ind w:left="0" w:firstLine="0"/>
        <w:rPr/>
      </w:pPr>
      <w:r w:rsidDel="00000000" w:rsidR="00000000" w:rsidRPr="00000000">
        <w:rPr>
          <w:rtl w:val="0"/>
        </w:rPr>
      </w:r>
    </w:p>
    <w:p w:rsidR="00000000" w:rsidDel="00000000" w:rsidP="00000000" w:rsidRDefault="00000000" w:rsidRPr="00000000" w14:paraId="00000043">
      <w:pPr>
        <w:pStyle w:val="Heading2"/>
        <w:numPr>
          <w:ilvl w:val="0"/>
          <w:numId w:val="7"/>
        </w:numPr>
        <w:ind w:left="567" w:right="555" w:hanging="141"/>
        <w:rPr>
          <w:b w:val="1"/>
          <w:bCs w:val="1"/>
          <w:sz w:val="22"/>
          <w:szCs w:val="22"/>
        </w:rPr>
      </w:pPr>
      <w:bookmarkStart w:colFirst="0" w:colLast="0" w:name="_heading=h.8meprllbm2aj" w:id="3"/>
      <w:bookmarkEnd w:id="3"/>
      <w:r w:rsidDel="00000000" w:rsidR="00000000" w:rsidRPr="00000000">
        <w:rPr>
          <w:b w:val="1"/>
          <w:bCs w:val="1"/>
          <w:color w:val="000000"/>
          <w:sz w:val="22"/>
          <w:szCs w:val="22"/>
          <w:rtl w:val="0"/>
        </w:rPr>
        <w:t xml:space="preserve">SEPA only - are you utilizing a strong customer authentication (SCA) method, such as iDEAL, SOFORT, Open banking etc., during the sign-up process?</w:t>
      </w:r>
      <w:r w:rsidDel="00000000" w:rsidR="00000000" w:rsidRPr="00000000">
        <w:rPr>
          <w:rtl w:val="0"/>
        </w:rPr>
      </w:r>
    </w:p>
    <w:p w:rsidR="00000000" w:rsidDel="00000000" w:rsidP="00000000" w:rsidRDefault="00000000" w:rsidRPr="00000000" w14:paraId="00000044">
      <w:pPr>
        <w:ind w:right="555"/>
        <w:rPr/>
      </w:pPr>
      <w:r w:rsidDel="00000000" w:rsidR="00000000" w:rsidRPr="00000000">
        <w:rPr>
          <w:rtl w:val="0"/>
        </w:rPr>
      </w:r>
    </w:p>
    <w:p w:rsidR="00000000" w:rsidDel="00000000" w:rsidP="00000000" w:rsidRDefault="00000000" w:rsidRPr="00000000" w14:paraId="00000045">
      <w:pPr>
        <w:pBdr>
          <w:top w:color="000000" w:space="1" w:sz="6" w:val="single"/>
          <w:bottom w:color="000000" w:space="1" w:sz="6" w:val="single"/>
        </w:pBdr>
        <w:ind w:left="426" w:right="555" w:firstLine="0"/>
        <w:rPr/>
      </w:pPr>
      <w:r w:rsidDel="00000000" w:rsidR="00000000" w:rsidRPr="00000000">
        <w:rPr>
          <w:rtl w:val="0"/>
        </w:rPr>
      </w:r>
    </w:p>
    <w:p w:rsidR="00000000" w:rsidDel="00000000" w:rsidP="00000000" w:rsidRDefault="00000000" w:rsidRPr="00000000" w14:paraId="00000046">
      <w:pPr>
        <w:pStyle w:val="Heading2"/>
        <w:ind w:left="0" w:right="555" w:firstLine="0"/>
        <w:rPr>
          <w:b w:val="1"/>
          <w:bCs w:val="1"/>
          <w:color w:val="000000"/>
          <w:sz w:val="22"/>
          <w:szCs w:val="22"/>
        </w:rPr>
      </w:pPr>
      <w:r w:rsidDel="00000000" w:rsidR="00000000" w:rsidRPr="00000000">
        <w:rPr>
          <w:rtl w:val="0"/>
        </w:rPr>
      </w:r>
    </w:p>
    <w:p w:rsidR="00000000" w:rsidDel="00000000" w:rsidP="00000000" w:rsidRDefault="00000000" w:rsidRPr="00000000" w14:paraId="00000047">
      <w:pPr>
        <w:pStyle w:val="Heading2"/>
        <w:numPr>
          <w:ilvl w:val="0"/>
          <w:numId w:val="1"/>
        </w:numPr>
        <w:ind w:left="567" w:right="555" w:hanging="141"/>
        <w:rPr>
          <w:b w:val="1"/>
          <w:bCs w:val="1"/>
          <w:sz w:val="22"/>
          <w:szCs w:val="22"/>
        </w:rPr>
      </w:pPr>
      <w:r w:rsidDel="00000000" w:rsidR="00000000" w:rsidRPr="00000000">
        <w:rPr>
          <w:b w:val="1"/>
          <w:bCs w:val="1"/>
          <w:color w:val="000000"/>
          <w:sz w:val="22"/>
          <w:szCs w:val="22"/>
          <w:rtl w:val="0"/>
        </w:rPr>
        <w:t xml:space="preserve">ACH only - when accepting ACH Direct Debit payments, Nacha requires merchants to validate that the shopper's bank account details are correct for consumer accounts. This requirement is outlined in </w:t>
      </w:r>
      <w:hyperlink r:id="rId7">
        <w:r w:rsidDel="00000000" w:rsidR="00000000" w:rsidRPr="00000000">
          <w:rPr>
            <w:b w:val="1"/>
            <w:bCs w:val="1"/>
            <w:color w:val="1155cc"/>
            <w:sz w:val="22"/>
            <w:szCs w:val="22"/>
            <w:u w:val="single"/>
            <w:rtl w:val="0"/>
          </w:rPr>
          <w:t xml:space="preserve">Nacha Operating Rules</w:t>
        </w:r>
      </w:hyperlink>
      <w:r w:rsidDel="00000000" w:rsidR="00000000" w:rsidRPr="00000000">
        <w:rPr>
          <w:b w:val="1"/>
          <w:bCs w:val="1"/>
          <w:color w:val="000000"/>
          <w:sz w:val="22"/>
          <w:szCs w:val="22"/>
          <w:rtl w:val="0"/>
        </w:rPr>
        <w:t xml:space="preserve">. To comply with this regulation, a method to confirm that the account is open and capable of receiving ACH entries needs to be implemented. Adyen has partnered with </w:t>
      </w:r>
      <w:hyperlink r:id="rId8">
        <w:r w:rsidDel="00000000" w:rsidR="00000000" w:rsidRPr="00000000">
          <w:rPr>
            <w:b w:val="1"/>
            <w:bCs w:val="1"/>
            <w:color w:val="1155cc"/>
            <w:sz w:val="22"/>
            <w:szCs w:val="22"/>
            <w:u w:val="single"/>
            <w:rtl w:val="0"/>
          </w:rPr>
          <w:t xml:space="preserve">Giact's gVerify</w:t>
        </w:r>
      </w:hyperlink>
      <w:r w:rsidDel="00000000" w:rsidR="00000000" w:rsidRPr="00000000">
        <w:rPr>
          <w:b w:val="1"/>
          <w:bCs w:val="1"/>
          <w:color w:val="000000"/>
          <w:sz w:val="22"/>
          <w:szCs w:val="22"/>
          <w:rtl w:val="0"/>
        </w:rPr>
        <w:t xml:space="preserve"> to provide this validation service, ensuring adherence to Nacha's standards. How will your business validate these accounts?</w:t>
      </w:r>
    </w:p>
    <w:p w:rsidR="00000000" w:rsidDel="00000000" w:rsidP="00000000" w:rsidRDefault="00000000" w:rsidRPr="00000000" w14:paraId="00000048">
      <w:pPr>
        <w:ind w:left="786" w:right="555" w:firstLine="0"/>
        <w:rPr/>
      </w:pPr>
      <w:r w:rsidDel="00000000" w:rsidR="00000000" w:rsidRPr="00000000">
        <w:rPr>
          <w:rtl w:val="0"/>
        </w:rPr>
      </w:r>
    </w:p>
    <w:p w:rsidR="00000000" w:rsidDel="00000000" w:rsidP="00000000" w:rsidRDefault="00000000" w:rsidRPr="00000000" w14:paraId="00000049">
      <w:pPr>
        <w:pBdr>
          <w:top w:color="000000" w:space="1" w:sz="6" w:val="single"/>
          <w:bottom w:color="000000" w:space="1" w:sz="6" w:val="single"/>
        </w:pBdr>
        <w:ind w:left="426" w:right="555" w:firstLine="0"/>
        <w:rPr/>
      </w:pPr>
      <w:r w:rsidDel="00000000" w:rsidR="00000000" w:rsidRPr="00000000">
        <w:rPr>
          <w:rtl w:val="0"/>
        </w:rPr>
      </w:r>
    </w:p>
    <w:p w:rsidR="00000000" w:rsidDel="00000000" w:rsidP="00000000" w:rsidRDefault="00000000" w:rsidRPr="00000000" w14:paraId="0000004A">
      <w:pPr>
        <w:pStyle w:val="Heading2"/>
        <w:ind w:right="555"/>
        <w:rPr>
          <w:b w:val="1"/>
          <w:bCs w:val="1"/>
          <w:color w:val="000000"/>
          <w:sz w:val="22"/>
          <w:szCs w:val="22"/>
        </w:rPr>
      </w:pPr>
      <w:bookmarkStart w:colFirst="0" w:colLast="0" w:name="_heading=h.um28tqp9ck0" w:id="4"/>
      <w:bookmarkEnd w:id="4"/>
      <w:r w:rsidDel="00000000" w:rsidR="00000000" w:rsidRPr="00000000">
        <w:rPr>
          <w:rtl w:val="0"/>
        </w:rPr>
      </w:r>
    </w:p>
    <w:p w:rsidR="00000000" w:rsidDel="00000000" w:rsidP="00000000" w:rsidRDefault="00000000" w:rsidRPr="00000000" w14:paraId="0000004B">
      <w:pPr>
        <w:ind w:right="555"/>
        <w:rPr/>
      </w:pPr>
      <w:r w:rsidDel="00000000" w:rsidR="00000000" w:rsidRPr="00000000">
        <w:rPr>
          <w:rtl w:val="0"/>
        </w:rPr>
      </w:r>
    </w:p>
    <w:p w:rsidR="00000000" w:rsidDel="00000000" w:rsidP="00000000" w:rsidRDefault="00000000" w:rsidRPr="00000000" w14:paraId="0000004C">
      <w:pPr>
        <w:pStyle w:val="Heading2"/>
        <w:numPr>
          <w:ilvl w:val="0"/>
          <w:numId w:val="7"/>
        </w:numPr>
        <w:ind w:left="567" w:right="555" w:hanging="141"/>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Are there any other risk controls?</w:t>
      </w:r>
    </w:p>
    <w:p w:rsidR="00000000" w:rsidDel="00000000" w:rsidP="00000000" w:rsidRDefault="00000000" w:rsidRPr="00000000" w14:paraId="0000004D">
      <w:pPr>
        <w:ind w:right="555"/>
        <w:rPr/>
      </w:pPr>
      <w:r w:rsidDel="00000000" w:rsidR="00000000" w:rsidRPr="00000000">
        <w:rPr>
          <w:rtl w:val="0"/>
        </w:rPr>
      </w:r>
    </w:p>
    <w:p w:rsidR="00000000" w:rsidDel="00000000" w:rsidP="00000000" w:rsidRDefault="00000000" w:rsidRPr="00000000" w14:paraId="0000004E">
      <w:pPr>
        <w:pBdr>
          <w:top w:color="000000" w:space="1" w:sz="6" w:val="single"/>
          <w:bottom w:color="000000" w:space="1" w:sz="6" w:val="single"/>
        </w:pBdr>
        <w:ind w:left="426" w:right="555" w:firstLine="0"/>
        <w:rPr/>
      </w:pPr>
      <w:r w:rsidDel="00000000" w:rsidR="00000000" w:rsidRPr="00000000">
        <w:rPr>
          <w:rtl w:val="0"/>
        </w:rPr>
      </w:r>
    </w:p>
    <w:p w:rsidR="00000000" w:rsidDel="00000000" w:rsidP="00000000" w:rsidRDefault="00000000" w:rsidRPr="00000000" w14:paraId="0000004F">
      <w:pPr>
        <w:ind w:right="555"/>
        <w:rPr/>
      </w:pPr>
      <w:r w:rsidDel="00000000" w:rsidR="00000000" w:rsidRPr="00000000">
        <w:rPr>
          <w:rtl w:val="0"/>
        </w:rPr>
      </w:r>
    </w:p>
    <w:p w:rsidR="00000000" w:rsidDel="00000000" w:rsidP="00000000" w:rsidRDefault="00000000" w:rsidRPr="00000000" w14:paraId="00000050">
      <w:pPr>
        <w:ind w:right="555"/>
        <w:rPr/>
      </w:pPr>
      <w:r w:rsidDel="00000000" w:rsidR="00000000" w:rsidRPr="00000000">
        <w:rPr>
          <w:rtl w:val="0"/>
        </w:rPr>
      </w:r>
    </w:p>
    <w:p w:rsidR="00000000" w:rsidDel="00000000" w:rsidP="00000000" w:rsidRDefault="00000000" w:rsidRPr="00000000" w14:paraId="00000051">
      <w:pPr>
        <w:pStyle w:val="Heading2"/>
        <w:numPr>
          <w:ilvl w:val="0"/>
          <w:numId w:val="6"/>
        </w:numPr>
        <w:ind w:left="426" w:right="555" w:hanging="360"/>
        <w:rPr>
          <w:b w:val="1"/>
          <w:bCs w:val="1"/>
          <w:color w:val="538135"/>
          <w:sz w:val="28"/>
          <w:szCs w:val="28"/>
        </w:rPr>
      </w:pPr>
      <w:bookmarkStart w:colFirst="0" w:colLast="0" w:name="_heading=h.t55iiwhujwz4" w:id="5"/>
      <w:bookmarkEnd w:id="5"/>
      <w:r w:rsidDel="00000000" w:rsidR="00000000" w:rsidRPr="00000000">
        <w:rPr>
          <w:b w:val="1"/>
          <w:bCs w:val="1"/>
          <w:color w:val="538135"/>
          <w:sz w:val="28"/>
          <w:szCs w:val="28"/>
          <w:rtl w:val="0"/>
        </w:rPr>
        <w:t xml:space="preserve">Importance of a payout delay associated with Direct Debits</w:t>
      </w:r>
    </w:p>
    <w:p w:rsidR="00000000" w:rsidDel="00000000" w:rsidP="00000000" w:rsidRDefault="00000000" w:rsidRPr="00000000" w14:paraId="00000052">
      <w:pPr>
        <w:spacing w:after="240" w:before="240" w:lineRule="auto"/>
        <w:ind w:left="450" w:right="555" w:firstLine="0"/>
        <w:jc w:val="both"/>
        <w:rPr>
          <w:b w:val="1"/>
          <w:bCs w:val="1"/>
        </w:rPr>
      </w:pPr>
      <w:r w:rsidDel="00000000" w:rsidR="00000000" w:rsidRPr="00000000">
        <w:rPr>
          <w:rtl w:val="0"/>
        </w:rPr>
        <w:t xml:space="preserve">For direct debit payments, there is no live authorisation of transactions to check whether there are funds in the bank account or if the bank account of the shopper is valid. Requested direct debit transactions will therefore always settle to Adyen. If the bank accounts are closed or if they do not have sufficient funds, the issuing bank will file for a reversal of funds. The reversals are issued to retrieve the funds, which can take up to 8 business days depending on the payment method. </w:t>
      </w:r>
      <w:r w:rsidDel="00000000" w:rsidR="00000000" w:rsidRPr="00000000">
        <w:rPr>
          <w:b w:val="1"/>
          <w:bCs w:val="1"/>
          <w:rtl w:val="0"/>
        </w:rPr>
        <w:t xml:space="preserve">It is not possible to defend against or reverse them. </w:t>
      </w:r>
      <w:r w:rsidDel="00000000" w:rsidR="00000000" w:rsidRPr="00000000">
        <w:rPr>
          <w:rtl w:val="0"/>
        </w:rPr>
      </w:r>
    </w:p>
    <w:p w:rsidR="00000000" w:rsidDel="00000000" w:rsidP="00000000" w:rsidRDefault="00000000" w:rsidRPr="00000000" w14:paraId="00000053">
      <w:pPr>
        <w:spacing w:after="240" w:before="240" w:lineRule="auto"/>
        <w:ind w:left="450" w:right="555" w:firstLine="0"/>
        <w:jc w:val="both"/>
        <w:rPr/>
      </w:pPr>
      <w:r w:rsidDel="00000000" w:rsidR="00000000" w:rsidRPr="00000000">
        <w:rPr>
          <w:rtl w:val="0"/>
        </w:rPr>
        <w:t xml:space="preserve">If payouts occurred within these 8 business days, the reversal will cause the account to go negative. This can lead to a potential financial loss when your customer and shoppers collude to process fraudulent payments, or if shoppers are trying to defraud your customer. To mitigate the risk of collusion and fraudulent activities, all new customers will start with a following payout delay:</w:t>
      </w:r>
    </w:p>
    <w:p w:rsidR="00000000" w:rsidDel="00000000" w:rsidP="00000000" w:rsidRDefault="00000000" w:rsidRPr="00000000" w14:paraId="00000054">
      <w:pPr>
        <w:numPr>
          <w:ilvl w:val="0"/>
          <w:numId w:val="2"/>
        </w:numPr>
        <w:spacing w:after="0" w:afterAutospacing="0" w:before="240" w:lineRule="auto"/>
        <w:ind w:left="1440" w:right="555" w:hanging="360"/>
        <w:jc w:val="both"/>
        <w:rPr>
          <w:u w:val="none"/>
        </w:rPr>
      </w:pPr>
      <w:r w:rsidDel="00000000" w:rsidR="00000000" w:rsidRPr="00000000">
        <w:rPr>
          <w:rtl w:val="0"/>
        </w:rPr>
        <w:t xml:space="preserve">SEPA - 9 business days</w:t>
      </w:r>
      <w:r w:rsidDel="00000000" w:rsidR="00000000" w:rsidRPr="00000000">
        <w:rPr>
          <w:rtl w:val="0"/>
        </w:rPr>
      </w:r>
    </w:p>
    <w:p w:rsidR="00000000" w:rsidDel="00000000" w:rsidP="00000000" w:rsidRDefault="00000000" w:rsidRPr="00000000" w14:paraId="00000055">
      <w:pPr>
        <w:numPr>
          <w:ilvl w:val="0"/>
          <w:numId w:val="2"/>
        </w:numPr>
        <w:spacing w:after="0" w:afterAutospacing="0" w:before="0" w:beforeAutospacing="0" w:lineRule="auto"/>
        <w:ind w:left="1440" w:right="555" w:hanging="360"/>
        <w:jc w:val="both"/>
        <w:rPr>
          <w:u w:val="none"/>
        </w:rPr>
      </w:pPr>
      <w:r w:rsidDel="00000000" w:rsidR="00000000" w:rsidRPr="00000000">
        <w:rPr>
          <w:rtl w:val="0"/>
        </w:rPr>
        <w:t xml:space="preserve">BACS - 6 business days</w:t>
      </w:r>
    </w:p>
    <w:p w:rsidR="00000000" w:rsidDel="00000000" w:rsidP="00000000" w:rsidRDefault="00000000" w:rsidRPr="00000000" w14:paraId="00000056">
      <w:pPr>
        <w:numPr>
          <w:ilvl w:val="0"/>
          <w:numId w:val="2"/>
        </w:numPr>
        <w:spacing w:after="0" w:afterAutospacing="0" w:before="0" w:beforeAutospacing="0" w:lineRule="auto"/>
        <w:ind w:left="1440" w:right="555" w:hanging="360"/>
        <w:jc w:val="both"/>
        <w:rPr>
          <w:u w:val="none"/>
        </w:rPr>
      </w:pPr>
      <w:r w:rsidDel="00000000" w:rsidR="00000000" w:rsidRPr="00000000">
        <w:rPr>
          <w:rtl w:val="0"/>
        </w:rPr>
        <w:t xml:space="preserve">ACH - 5 business days</w:t>
      </w:r>
    </w:p>
    <w:p w:rsidR="00000000" w:rsidDel="00000000" w:rsidP="00000000" w:rsidRDefault="00000000" w:rsidRPr="00000000" w14:paraId="00000057">
      <w:pPr>
        <w:numPr>
          <w:ilvl w:val="0"/>
          <w:numId w:val="2"/>
        </w:numPr>
        <w:spacing w:after="240" w:before="0" w:beforeAutospacing="0" w:lineRule="auto"/>
        <w:ind w:left="1440" w:right="555" w:hanging="360"/>
        <w:jc w:val="both"/>
        <w:rPr>
          <w:u w:val="none"/>
        </w:rPr>
      </w:pPr>
      <w:r w:rsidDel="00000000" w:rsidR="00000000" w:rsidRPr="00000000">
        <w:rPr>
          <w:rtl w:val="0"/>
        </w:rPr>
        <w:t xml:space="preserve">EFT PADs - 5 business days</w:t>
      </w:r>
    </w:p>
    <w:p w:rsidR="00000000" w:rsidDel="00000000" w:rsidP="00000000" w:rsidRDefault="00000000" w:rsidRPr="00000000" w14:paraId="00000058">
      <w:pPr>
        <w:pStyle w:val="Heading2"/>
        <w:ind w:left="0" w:right="555" w:firstLine="0"/>
        <w:jc w:val="both"/>
        <w:rPr>
          <w:b w:val="1"/>
          <w:bCs w:val="1"/>
          <w:color w:val="538135"/>
          <w:sz w:val="28"/>
          <w:szCs w:val="28"/>
        </w:rPr>
      </w:pPr>
      <w:bookmarkStart w:colFirst="0" w:colLast="0" w:name="_heading=h.lcbm9g4uzcnx" w:id="6"/>
      <w:bookmarkEnd w:id="6"/>
      <w:r w:rsidDel="00000000" w:rsidR="00000000" w:rsidRPr="00000000">
        <w:rPr>
          <w:rtl w:val="0"/>
        </w:rPr>
      </w:r>
    </w:p>
    <w:p w:rsidR="00000000" w:rsidDel="00000000" w:rsidP="00000000" w:rsidRDefault="00000000" w:rsidRPr="00000000" w14:paraId="00000059">
      <w:pPr>
        <w:pStyle w:val="Heading2"/>
        <w:numPr>
          <w:ilvl w:val="0"/>
          <w:numId w:val="6"/>
        </w:numPr>
        <w:ind w:left="426" w:right="555" w:hanging="360"/>
        <w:jc w:val="both"/>
        <w:rPr>
          <w:b w:val="1"/>
          <w:bCs w:val="1"/>
          <w:color w:val="538135"/>
          <w:sz w:val="28"/>
          <w:szCs w:val="28"/>
        </w:rPr>
      </w:pPr>
      <w:bookmarkStart w:colFirst="0" w:colLast="0" w:name="_heading=h.46waxmuubvgt" w:id="7"/>
      <w:bookmarkEnd w:id="7"/>
      <w:r w:rsidDel="00000000" w:rsidR="00000000" w:rsidRPr="00000000">
        <w:rPr>
          <w:b w:val="1"/>
          <w:bCs w:val="1"/>
          <w:color w:val="538135"/>
          <w:sz w:val="28"/>
          <w:szCs w:val="28"/>
          <w:rtl w:val="0"/>
        </w:rPr>
        <w:t xml:space="preserve">Disclaimer</w:t>
      </w:r>
    </w:p>
    <w:p w:rsidR="00000000" w:rsidDel="00000000" w:rsidP="00000000" w:rsidRDefault="00000000" w:rsidRPr="00000000" w14:paraId="0000005A">
      <w:pPr>
        <w:spacing w:after="240" w:before="240" w:lineRule="auto"/>
        <w:ind w:left="450" w:right="555" w:firstLine="0"/>
        <w:jc w:val="both"/>
        <w:rPr/>
      </w:pPr>
      <w:r w:rsidDel="00000000" w:rsidR="00000000" w:rsidRPr="00000000">
        <w:rPr>
          <w:rtl w:val="0"/>
        </w:rPr>
        <w:t xml:space="preserve">We would like to draw your attention to the potential fraud risks associated with Direct Debit transactions. It is crucial for your platform to be aware of these risks and take proactive measures to protect both your business and your customers. Below are some common scenarios of direct debit fraud:</w:t>
      </w:r>
    </w:p>
    <w:p w:rsidR="00000000" w:rsidDel="00000000" w:rsidP="00000000" w:rsidRDefault="00000000" w:rsidRPr="00000000" w14:paraId="0000005B">
      <w:pPr>
        <w:numPr>
          <w:ilvl w:val="0"/>
          <w:numId w:val="4"/>
        </w:numPr>
        <w:spacing w:after="0" w:before="240" w:lineRule="auto"/>
        <w:ind w:left="720" w:right="555" w:hanging="360"/>
        <w:jc w:val="both"/>
        <w:rPr>
          <w:b w:val="1"/>
          <w:bCs w:val="1"/>
          <w:u w:val="none"/>
        </w:rPr>
      </w:pPr>
      <w:r w:rsidDel="00000000" w:rsidR="00000000" w:rsidRPr="00000000">
        <w:rPr>
          <w:b w:val="1"/>
          <w:bCs w:val="1"/>
          <w:rtl w:val="0"/>
        </w:rPr>
        <w:t xml:space="preserve">Fraudulent Refund Requests and Reversals:</w:t>
      </w:r>
      <w:r w:rsidDel="00000000" w:rsidR="00000000" w:rsidRPr="00000000">
        <w:rPr>
          <w:rtl w:val="0"/>
        </w:rPr>
      </w:r>
    </w:p>
    <w:p w:rsidR="00000000" w:rsidDel="00000000" w:rsidP="00000000" w:rsidRDefault="00000000" w:rsidRPr="00000000" w14:paraId="0000005C">
      <w:pPr>
        <w:numPr>
          <w:ilvl w:val="1"/>
          <w:numId w:val="4"/>
        </w:numPr>
        <w:spacing w:after="0" w:before="0" w:lineRule="auto"/>
        <w:ind w:left="1080" w:right="555" w:hanging="360"/>
        <w:jc w:val="both"/>
        <w:rPr/>
      </w:pPr>
      <w:r w:rsidDel="00000000" w:rsidR="00000000" w:rsidRPr="00000000">
        <w:rPr>
          <w:rtl w:val="0"/>
        </w:rPr>
        <w:t xml:space="preserve">Fraudulent shoppers can initiate refund requests and later perform reversals, leading to a double debit. Note, these refund and reversals transactions are not “linked” and can take place simultaneously, posing a significant financial risk.</w:t>
      </w:r>
    </w:p>
    <w:p w:rsidR="00000000" w:rsidDel="00000000" w:rsidP="00000000" w:rsidRDefault="00000000" w:rsidRPr="00000000" w14:paraId="0000005D">
      <w:pPr>
        <w:numPr>
          <w:ilvl w:val="0"/>
          <w:numId w:val="4"/>
        </w:numPr>
        <w:spacing w:after="0" w:before="0" w:lineRule="auto"/>
        <w:ind w:left="720" w:right="555" w:hanging="360"/>
        <w:jc w:val="both"/>
        <w:rPr>
          <w:b w:val="1"/>
          <w:bCs w:val="1"/>
          <w:u w:val="none"/>
        </w:rPr>
      </w:pPr>
      <w:r w:rsidDel="00000000" w:rsidR="00000000" w:rsidRPr="00000000">
        <w:rPr>
          <w:b w:val="1"/>
          <w:bCs w:val="1"/>
          <w:rtl w:val="0"/>
        </w:rPr>
        <w:t xml:space="preserve">Invalid/Empty IBANs During Authorization:</w:t>
      </w:r>
      <w:r w:rsidDel="00000000" w:rsidR="00000000" w:rsidRPr="00000000">
        <w:rPr>
          <w:rtl w:val="0"/>
        </w:rPr>
      </w:r>
    </w:p>
    <w:p w:rsidR="00000000" w:rsidDel="00000000" w:rsidP="00000000" w:rsidRDefault="00000000" w:rsidRPr="00000000" w14:paraId="0000005E">
      <w:pPr>
        <w:numPr>
          <w:ilvl w:val="1"/>
          <w:numId w:val="4"/>
        </w:numPr>
        <w:spacing w:after="0" w:before="0" w:lineRule="auto"/>
        <w:ind w:left="1080" w:right="555" w:hanging="360"/>
        <w:jc w:val="both"/>
        <w:rPr/>
      </w:pPr>
      <w:r w:rsidDel="00000000" w:rsidR="00000000" w:rsidRPr="00000000">
        <w:rPr>
          <w:rtl w:val="0"/>
        </w:rPr>
        <w:t xml:space="preserve">Invalid or empty IBANs are provided during authorization, leading to items being shipped and subsequent </w:t>
      </w:r>
      <w:r w:rsidDel="00000000" w:rsidR="00000000" w:rsidRPr="00000000">
        <w:rPr>
          <w:rtl w:val="0"/>
        </w:rPr>
        <w:t xml:space="preserve">reversals a few days later. This leads to direct financial loss.</w:t>
      </w:r>
    </w:p>
    <w:p w:rsidR="00000000" w:rsidDel="00000000" w:rsidP="00000000" w:rsidRDefault="00000000" w:rsidRPr="00000000" w14:paraId="0000005F">
      <w:pPr>
        <w:numPr>
          <w:ilvl w:val="0"/>
          <w:numId w:val="4"/>
        </w:numPr>
        <w:spacing w:after="0" w:before="0" w:lineRule="auto"/>
        <w:ind w:left="720" w:right="555" w:hanging="360"/>
        <w:jc w:val="both"/>
        <w:rPr>
          <w:b w:val="1"/>
          <w:bCs w:val="1"/>
          <w:u w:val="none"/>
        </w:rPr>
      </w:pPr>
      <w:r w:rsidDel="00000000" w:rsidR="00000000" w:rsidRPr="00000000">
        <w:rPr>
          <w:b w:val="1"/>
          <w:bCs w:val="1"/>
          <w:rtl w:val="0"/>
        </w:rPr>
        <w:t xml:space="preserve">Unauthorized Use of IBANs:</w:t>
      </w:r>
      <w:r w:rsidDel="00000000" w:rsidR="00000000" w:rsidRPr="00000000">
        <w:rPr>
          <w:rtl w:val="0"/>
        </w:rPr>
      </w:r>
    </w:p>
    <w:p w:rsidR="00000000" w:rsidDel="00000000" w:rsidP="00000000" w:rsidRDefault="00000000" w:rsidRPr="00000000" w14:paraId="00000060">
      <w:pPr>
        <w:numPr>
          <w:ilvl w:val="1"/>
          <w:numId w:val="4"/>
        </w:numPr>
        <w:spacing w:after="0" w:before="0" w:lineRule="auto"/>
        <w:ind w:left="1080" w:right="555" w:hanging="360"/>
        <w:jc w:val="both"/>
        <w:rPr/>
      </w:pPr>
      <w:r w:rsidDel="00000000" w:rsidR="00000000" w:rsidRPr="00000000">
        <w:rPr>
          <w:rtl w:val="0"/>
        </w:rPr>
        <w:t xml:space="preserve">There is a risk of shoppers using someone else’s IBAN for transactions and receiving the goods / services. The IBAN owner will issue a return due to fraudulent use of their IBAN.</w:t>
      </w:r>
    </w:p>
    <w:p w:rsidR="00000000" w:rsidDel="00000000" w:rsidP="00000000" w:rsidRDefault="00000000" w:rsidRPr="00000000" w14:paraId="00000061">
      <w:pPr>
        <w:numPr>
          <w:ilvl w:val="0"/>
          <w:numId w:val="4"/>
        </w:numPr>
        <w:spacing w:after="0" w:before="0" w:lineRule="auto"/>
        <w:ind w:left="720" w:right="555" w:hanging="360"/>
        <w:jc w:val="both"/>
        <w:rPr>
          <w:b w:val="1"/>
          <w:bCs w:val="1"/>
          <w:u w:val="none"/>
        </w:rPr>
      </w:pPr>
      <w:r w:rsidDel="00000000" w:rsidR="00000000" w:rsidRPr="00000000">
        <w:rPr>
          <w:b w:val="1"/>
          <w:bCs w:val="1"/>
          <w:rtl w:val="0"/>
        </w:rPr>
        <w:t xml:space="preserve">Multiple Failed Accounts and Reversal Fees:</w:t>
      </w:r>
      <w:r w:rsidDel="00000000" w:rsidR="00000000" w:rsidRPr="00000000">
        <w:rPr>
          <w:rtl w:val="0"/>
        </w:rPr>
      </w:r>
    </w:p>
    <w:p w:rsidR="00000000" w:rsidDel="00000000" w:rsidP="00000000" w:rsidRDefault="00000000" w:rsidRPr="00000000" w14:paraId="00000062">
      <w:pPr>
        <w:numPr>
          <w:ilvl w:val="1"/>
          <w:numId w:val="4"/>
        </w:numPr>
        <w:spacing w:after="240" w:before="0" w:lineRule="auto"/>
        <w:ind w:left="1080" w:right="555" w:hanging="360"/>
        <w:jc w:val="both"/>
        <w:rPr/>
      </w:pPr>
      <w:r w:rsidDel="00000000" w:rsidR="00000000" w:rsidRPr="00000000">
        <w:rPr>
          <w:rtl w:val="0"/>
        </w:rPr>
        <w:t xml:space="preserve">Fraudsters use multiple invalid accounts to process payments that will eventually fail, resulting in merchants having to pay reversal fees.</w:t>
      </w:r>
    </w:p>
    <w:p w:rsidR="00000000" w:rsidDel="00000000" w:rsidP="00000000" w:rsidRDefault="00000000" w:rsidRPr="00000000" w14:paraId="00000063">
      <w:pPr>
        <w:spacing w:after="240" w:before="0" w:lineRule="auto"/>
        <w:ind w:left="450" w:right="555" w:firstLine="0"/>
        <w:jc w:val="both"/>
        <w:rPr/>
      </w:pPr>
      <w:r w:rsidDel="00000000" w:rsidR="00000000" w:rsidRPr="00000000">
        <w:rPr>
          <w:rtl w:val="0"/>
        </w:rPr>
        <w:t xml:space="preserve">There are more scenarios of potential direct debit fraud. </w:t>
      </w:r>
      <w:r w:rsidDel="00000000" w:rsidR="00000000" w:rsidRPr="00000000">
        <w:rPr>
          <w:rtl w:val="0"/>
        </w:rPr>
        <w:t xml:space="preserve">Implementing robust fraud prevention and risk mitigation strategies will be essential in maintaining the integrity and trustworthiness of your company.</w:t>
      </w:r>
    </w:p>
    <w:p w:rsidR="00000000" w:rsidDel="00000000" w:rsidP="00000000" w:rsidRDefault="00000000" w:rsidRPr="00000000" w14:paraId="00000064">
      <w:pPr>
        <w:spacing w:after="240" w:before="240" w:lineRule="auto"/>
        <w:ind w:left="450" w:right="555" w:firstLine="0"/>
        <w:jc w:val="both"/>
        <w:rPr/>
      </w:pPr>
      <w:r w:rsidDel="00000000" w:rsidR="00000000" w:rsidRPr="00000000">
        <w:rPr>
          <w:rtl w:val="0"/>
        </w:rPr>
        <w:t xml:space="preserve">If you have any questions, please do not hesitate to contact Adyen’s fraud specialists by sending an email to fraud@adyen.com.</w:t>
      </w:r>
      <w:r w:rsidDel="00000000" w:rsidR="00000000" w:rsidRPr="00000000">
        <w:rPr>
          <w:rtl w:val="0"/>
        </w:rPr>
      </w:r>
    </w:p>
    <w:p w:rsidR="00000000" w:rsidDel="00000000" w:rsidP="00000000" w:rsidRDefault="00000000" w:rsidRPr="00000000" w14:paraId="00000065">
      <w:pPr>
        <w:spacing w:after="240" w:before="240" w:lineRule="auto"/>
        <w:ind w:left="0" w:right="555" w:firstLine="0"/>
        <w:jc w:val="both"/>
        <w:rPr/>
      </w:pPr>
      <w:r w:rsidDel="00000000" w:rsidR="00000000" w:rsidRPr="00000000">
        <w:rPr>
          <w:rtl w:val="0"/>
        </w:rPr>
      </w:r>
    </w:p>
    <w:sectPr>
      <w:headerReference r:id="rId9" w:type="default"/>
      <w:headerReference r:id="rId10" w:type="first"/>
      <w:footerReference r:id="rId11" w:type="default"/>
      <w:footerReference r:id="rId12" w:type="even"/>
      <w:pgSz w:h="16840" w:w="11900" w:orient="portrait"/>
      <w:pgMar w:bottom="565" w:top="356" w:left="578" w:right="690" w:header="283"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Page </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of </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2651"/>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tab/>
      <w:tab/>
      <w:t xml:space="preserve">                   </w:t>
    </w: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Pr>
      <w:drawing>
        <wp:inline distB="0" distT="0" distL="0" distR="0">
          <wp:extent cx="1002840" cy="324151"/>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02840" cy="32415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bullet"/>
      <w:lvlText w:val="-"/>
      <w:lvlJc w:val="left"/>
      <w:pPr>
        <w:ind w:left="786" w:hanging="360.0000000000001"/>
      </w:pPr>
      <w:rPr>
        <w:u w:val="none"/>
      </w:rPr>
    </w:lvl>
    <w:lvl w:ilvl="1">
      <w:start w:val="1"/>
      <w:numFmt w:val="bullet"/>
      <w:lvlText w:val="o"/>
      <w:lvlJc w:val="left"/>
      <w:pPr>
        <w:ind w:left="1506" w:hanging="360"/>
      </w:pPr>
      <w:rPr>
        <w:u w:val="none"/>
      </w:rPr>
    </w:lvl>
    <w:lvl w:ilvl="2">
      <w:start w:val="1"/>
      <w:numFmt w:val="bullet"/>
      <w:lvlText w:val="▪"/>
      <w:lvlJc w:val="left"/>
      <w:pPr>
        <w:ind w:left="2226" w:hanging="360"/>
      </w:pPr>
      <w:rPr>
        <w:u w:val="none"/>
      </w:rPr>
    </w:lvl>
    <w:lvl w:ilvl="3">
      <w:start w:val="1"/>
      <w:numFmt w:val="bullet"/>
      <w:lvlText w:val="●"/>
      <w:lvlJc w:val="left"/>
      <w:pPr>
        <w:ind w:left="2946" w:hanging="360"/>
      </w:pPr>
      <w:rPr>
        <w:u w:val="none"/>
      </w:rPr>
    </w:lvl>
    <w:lvl w:ilvl="4">
      <w:start w:val="1"/>
      <w:numFmt w:val="bullet"/>
      <w:lvlText w:val="o"/>
      <w:lvlJc w:val="left"/>
      <w:pPr>
        <w:ind w:left="3666" w:hanging="360"/>
      </w:pPr>
      <w:rPr>
        <w:u w:val="none"/>
      </w:rPr>
    </w:lvl>
    <w:lvl w:ilvl="5">
      <w:start w:val="1"/>
      <w:numFmt w:val="bullet"/>
      <w:lvlText w:val="▪"/>
      <w:lvlJc w:val="left"/>
      <w:pPr>
        <w:ind w:left="4386" w:hanging="360"/>
      </w:pPr>
      <w:rPr>
        <w:u w:val="none"/>
      </w:rPr>
    </w:lvl>
    <w:lvl w:ilvl="6">
      <w:start w:val="1"/>
      <w:numFmt w:val="bullet"/>
      <w:lvlText w:val="●"/>
      <w:lvlJc w:val="left"/>
      <w:pPr>
        <w:ind w:left="5106" w:hanging="360"/>
      </w:pPr>
      <w:rPr>
        <w:u w:val="none"/>
      </w:rPr>
    </w:lvl>
    <w:lvl w:ilvl="7">
      <w:start w:val="1"/>
      <w:numFmt w:val="bullet"/>
      <w:lvlText w:val="o"/>
      <w:lvlJc w:val="left"/>
      <w:pPr>
        <w:ind w:left="5826" w:hanging="360"/>
      </w:pPr>
      <w:rPr>
        <w:u w:val="none"/>
      </w:rPr>
    </w:lvl>
    <w:lvl w:ilvl="8">
      <w:start w:val="1"/>
      <w:numFmt w:val="bullet"/>
      <w:lvlText w:val="▪"/>
      <w:lvlJc w:val="left"/>
      <w:pPr>
        <w:ind w:left="6546" w:hanging="360"/>
      </w:pPr>
      <w:rPr>
        <w:u w:val="none"/>
      </w:rPr>
    </w:lvl>
  </w:abstractNum>
  <w:abstractNum w:abstractNumId="2">
    <w:lvl w:ilvl="0">
      <w:start w:val="1"/>
      <w:numFmt w:val="bullet"/>
      <w:lvlText w:val="●"/>
      <w:lvlJc w:val="left"/>
      <w:pPr>
        <w:ind w:left="1440" w:hanging="360"/>
      </w:pPr>
      <w:rPr>
        <w:sz w:val="20"/>
        <w:szCs w:val="20"/>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4"/>
      <w:numFmt w:val="bullet"/>
      <w:lvlText w:val="-"/>
      <w:lvlJc w:val="left"/>
      <w:pPr>
        <w:ind w:left="786" w:hanging="360.0000000000002"/>
      </w:pPr>
      <w:rPr>
        <w:u w:val="none"/>
      </w:rPr>
    </w:lvl>
    <w:lvl w:ilvl="1">
      <w:start w:val="1"/>
      <w:numFmt w:val="bullet"/>
      <w:lvlText w:val="o"/>
      <w:lvlJc w:val="left"/>
      <w:pPr>
        <w:ind w:left="1506" w:hanging="360"/>
      </w:pPr>
      <w:rPr>
        <w:u w:val="none"/>
      </w:rPr>
    </w:lvl>
    <w:lvl w:ilvl="2">
      <w:start w:val="1"/>
      <w:numFmt w:val="bullet"/>
      <w:lvlText w:val="▪"/>
      <w:lvlJc w:val="left"/>
      <w:pPr>
        <w:ind w:left="2226" w:hanging="360"/>
      </w:pPr>
      <w:rPr>
        <w:u w:val="none"/>
      </w:rPr>
    </w:lvl>
    <w:lvl w:ilvl="3">
      <w:start w:val="1"/>
      <w:numFmt w:val="bullet"/>
      <w:lvlText w:val="●"/>
      <w:lvlJc w:val="left"/>
      <w:pPr>
        <w:ind w:left="2946" w:hanging="360"/>
      </w:pPr>
      <w:rPr>
        <w:u w:val="none"/>
      </w:rPr>
    </w:lvl>
    <w:lvl w:ilvl="4">
      <w:start w:val="1"/>
      <w:numFmt w:val="bullet"/>
      <w:lvlText w:val="o"/>
      <w:lvlJc w:val="left"/>
      <w:pPr>
        <w:ind w:left="3666" w:hanging="360"/>
      </w:pPr>
      <w:rPr>
        <w:u w:val="none"/>
      </w:rPr>
    </w:lvl>
    <w:lvl w:ilvl="5">
      <w:start w:val="1"/>
      <w:numFmt w:val="bullet"/>
      <w:lvlText w:val="▪"/>
      <w:lvlJc w:val="left"/>
      <w:pPr>
        <w:ind w:left="4386" w:hanging="360"/>
      </w:pPr>
      <w:rPr>
        <w:u w:val="none"/>
      </w:rPr>
    </w:lvl>
    <w:lvl w:ilvl="6">
      <w:start w:val="1"/>
      <w:numFmt w:val="bullet"/>
      <w:lvlText w:val="●"/>
      <w:lvlJc w:val="left"/>
      <w:pPr>
        <w:ind w:left="5106" w:hanging="360"/>
      </w:pPr>
      <w:rPr>
        <w:u w:val="none"/>
      </w:rPr>
    </w:lvl>
    <w:lvl w:ilvl="7">
      <w:start w:val="1"/>
      <w:numFmt w:val="bullet"/>
      <w:lvlText w:val="o"/>
      <w:lvlJc w:val="left"/>
      <w:pPr>
        <w:ind w:left="5826" w:hanging="360"/>
      </w:pPr>
      <w:rPr>
        <w:u w:val="none"/>
      </w:rPr>
    </w:lvl>
    <w:lvl w:ilvl="8">
      <w:start w:val="1"/>
      <w:numFmt w:val="bullet"/>
      <w:lvlText w:val="▪"/>
      <w:lvlJc w:val="left"/>
      <w:pPr>
        <w:ind w:left="6546" w:hanging="360"/>
      </w:pPr>
      <w:rPr>
        <w:u w:val="none"/>
      </w:rPr>
    </w:lvl>
  </w:abstractNum>
  <w:abstractNum w:abstractNumId="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4"/>
      <w:numFmt w:val="bullet"/>
      <w:lvlText w:val="-"/>
      <w:lvlJc w:val="left"/>
      <w:pPr>
        <w:ind w:left="786" w:hanging="360.0000000000002"/>
      </w:pPr>
      <w:rPr>
        <w:rFonts w:ascii="Calibri" w:cs="Calibri" w:eastAsia="Calibri" w:hAnsi="Calibri"/>
      </w:rPr>
    </w:lvl>
    <w:lvl w:ilvl="1">
      <w:start w:val="1"/>
      <w:numFmt w:val="bullet"/>
      <w:lvlText w:val="o"/>
      <w:lvlJc w:val="left"/>
      <w:pPr>
        <w:ind w:left="1506" w:hanging="360"/>
      </w:pPr>
      <w:rPr>
        <w:rFonts w:ascii="Courier New" w:cs="Courier New" w:eastAsia="Courier New" w:hAnsi="Courier New"/>
      </w:rPr>
    </w:lvl>
    <w:lvl w:ilvl="2">
      <w:start w:val="1"/>
      <w:numFmt w:val="bullet"/>
      <w:lvlText w:val="▪"/>
      <w:lvlJc w:val="left"/>
      <w:pPr>
        <w:ind w:left="2226" w:hanging="360"/>
      </w:pPr>
      <w:rPr>
        <w:rFonts w:ascii="Noto Sans Symbols" w:cs="Noto Sans Symbols" w:eastAsia="Noto Sans Symbols" w:hAnsi="Noto Sans Symbols"/>
      </w:rPr>
    </w:lvl>
    <w:lvl w:ilvl="3">
      <w:start w:val="1"/>
      <w:numFmt w:val="bullet"/>
      <w:lvlText w:val="●"/>
      <w:lvlJc w:val="left"/>
      <w:pPr>
        <w:ind w:left="2946" w:hanging="360"/>
      </w:pPr>
      <w:rPr>
        <w:rFonts w:ascii="Noto Sans Symbols" w:cs="Noto Sans Symbols" w:eastAsia="Noto Sans Symbols" w:hAnsi="Noto Sans Symbols"/>
      </w:rPr>
    </w:lvl>
    <w:lvl w:ilvl="4">
      <w:start w:val="1"/>
      <w:numFmt w:val="bullet"/>
      <w:lvlText w:val="o"/>
      <w:lvlJc w:val="left"/>
      <w:pPr>
        <w:ind w:left="3666" w:hanging="360"/>
      </w:pPr>
      <w:rPr>
        <w:rFonts w:ascii="Courier New" w:cs="Courier New" w:eastAsia="Courier New" w:hAnsi="Courier New"/>
      </w:rPr>
    </w:lvl>
    <w:lvl w:ilvl="5">
      <w:start w:val="1"/>
      <w:numFmt w:val="bullet"/>
      <w:lvlText w:val="▪"/>
      <w:lvlJc w:val="left"/>
      <w:pPr>
        <w:ind w:left="4386" w:hanging="360"/>
      </w:pPr>
      <w:rPr>
        <w:rFonts w:ascii="Noto Sans Symbols" w:cs="Noto Sans Symbols" w:eastAsia="Noto Sans Symbols" w:hAnsi="Noto Sans Symbols"/>
      </w:rPr>
    </w:lvl>
    <w:lvl w:ilvl="6">
      <w:start w:val="1"/>
      <w:numFmt w:val="bullet"/>
      <w:lvlText w:val="●"/>
      <w:lvlJc w:val="left"/>
      <w:pPr>
        <w:ind w:left="5106" w:hanging="360"/>
      </w:pPr>
      <w:rPr>
        <w:rFonts w:ascii="Noto Sans Symbols" w:cs="Noto Sans Symbols" w:eastAsia="Noto Sans Symbols" w:hAnsi="Noto Sans Symbols"/>
      </w:rPr>
    </w:lvl>
    <w:lvl w:ilvl="7">
      <w:start w:val="1"/>
      <w:numFmt w:val="bullet"/>
      <w:lvlText w:val="o"/>
      <w:lvlJc w:val="left"/>
      <w:pPr>
        <w:ind w:left="5826" w:hanging="360"/>
      </w:pPr>
      <w:rPr>
        <w:rFonts w:ascii="Courier New" w:cs="Courier New" w:eastAsia="Courier New" w:hAnsi="Courier New"/>
      </w:rPr>
    </w:lvl>
    <w:lvl w:ilvl="8">
      <w:start w:val="1"/>
      <w:numFmt w:val="bullet"/>
      <w:lvlText w:val="▪"/>
      <w:lvlJc w:val="left"/>
      <w:pPr>
        <w:ind w:left="6546"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DA4A9D"/>
    <w:rPr>
      <w:rFonts w:ascii="Times New Roman" w:cs="Times New Roman" w:eastAsia="Times New Roman" w:hAnsi="Times New Roman"/>
      <w:b w:val="1"/>
      <w:bCs w:val="1"/>
      <w:kern w:val="36"/>
      <w:sz w:val="48"/>
      <w:szCs w:val="48"/>
    </w:rPr>
  </w:style>
  <w:style w:type="character" w:styleId="Heading2Char" w:customStyle="1">
    <w:name w:val="Heading 2 Char"/>
    <w:basedOn w:val="DefaultParagraphFont"/>
    <w:link w:val="Heading2"/>
    <w:uiPriority w:val="9"/>
    <w:rsid w:val="00DA4A9D"/>
    <w:rPr>
      <w:rFonts w:asciiTheme="majorHAnsi" w:cstheme="majorBidi" w:eastAsiaTheme="majorEastAsia" w:hAnsiTheme="majorHAnsi"/>
      <w:color w:val="2f5496" w:themeColor="accent1" w:themeShade="0000BF"/>
      <w:sz w:val="26"/>
      <w:szCs w:val="26"/>
    </w:rPr>
  </w:style>
  <w:style w:type="table" w:styleId="TableGrid">
    <w:name w:val="Table Grid"/>
    <w:basedOn w:val="TableNormal"/>
    <w:uiPriority w:val="39"/>
    <w:rsid w:val="00DA4A9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DA4A9D"/>
    <w:pPr>
      <w:tabs>
        <w:tab w:val="center" w:pos="4680"/>
        <w:tab w:val="right" w:pos="9360"/>
      </w:tabs>
    </w:pPr>
  </w:style>
  <w:style w:type="character" w:styleId="HeaderChar" w:customStyle="1">
    <w:name w:val="Header Char"/>
    <w:basedOn w:val="DefaultParagraphFont"/>
    <w:link w:val="Header"/>
    <w:uiPriority w:val="99"/>
    <w:rsid w:val="00DA4A9D"/>
  </w:style>
  <w:style w:type="paragraph" w:styleId="Footer">
    <w:name w:val="footer"/>
    <w:basedOn w:val="Normal"/>
    <w:link w:val="FooterChar"/>
    <w:uiPriority w:val="99"/>
    <w:unhideWhenUsed w:val="1"/>
    <w:rsid w:val="00DA4A9D"/>
    <w:pPr>
      <w:tabs>
        <w:tab w:val="center" w:pos="4680"/>
        <w:tab w:val="right" w:pos="9360"/>
      </w:tabs>
    </w:pPr>
  </w:style>
  <w:style w:type="character" w:styleId="FooterChar" w:customStyle="1">
    <w:name w:val="Footer Char"/>
    <w:basedOn w:val="DefaultParagraphFont"/>
    <w:link w:val="Footer"/>
    <w:uiPriority w:val="99"/>
    <w:rsid w:val="00DA4A9D"/>
  </w:style>
  <w:style w:type="character" w:styleId="PageNumber">
    <w:name w:val="page number"/>
    <w:basedOn w:val="DefaultParagraphFont"/>
    <w:uiPriority w:val="99"/>
    <w:semiHidden w:val="1"/>
    <w:unhideWhenUsed w:val="1"/>
    <w:rsid w:val="00DA4A9D"/>
  </w:style>
  <w:style w:type="paragraph" w:styleId="ListParagraph">
    <w:name w:val="List Paragraph"/>
    <w:basedOn w:val="Normal"/>
    <w:uiPriority w:val="34"/>
    <w:qFormat w:val="1"/>
    <w:rsid w:val="00DA4A9D"/>
    <w:pPr>
      <w:ind w:left="720"/>
      <w:contextualSpacing w:val="1"/>
    </w:pPr>
  </w:style>
  <w:style w:type="character" w:styleId="Strong">
    <w:name w:val="Strong"/>
    <w:basedOn w:val="DefaultParagraphFont"/>
    <w:uiPriority w:val="22"/>
    <w:qFormat w:val="1"/>
    <w:rsid w:val="00ED692C"/>
    <w:rPr>
      <w:b w:val="1"/>
      <w:bCs w:val="1"/>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nacha.org/rules/supplementing-fraud-detection-standards-web-debits" TargetMode="External"/><Relationship Id="rId8" Type="http://schemas.openxmlformats.org/officeDocument/2006/relationships/hyperlink" Target="https://docs.adyen.com/payment-methods/ach-direct-debit/verification-with-giac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1lojHlV04sUgC7jo6aCiTHuOEg==">CgMxLjAyCGguZ2pkZ3hzMg1oLnMzeHlnc2RqaWVlMg5oLmtwZWU4NmpraHhveDIOaC44bWVwcmxsYm0yYWoyDWgudW0yOHRxcDljazAyDmgudDU1aWl3aHVqd3o0Mg5oLmxjYm05ZzR1emNueDIOaC40NndheG11dWJ2Z3Q4AGomChRzdWdnZXN0LjVhdTdmZWt1YzZsYxIORmVkZGUgZGVuIEJvZXJyITFyN2U1SjBYT05IeG9wUThYSGFQY1ZQLUxPVm10c3hhdg==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2024-07-31T09:44:00Z</dcterms:created>
  <dc:creator>Microsoft Office User</dc:creator>
</cp:coreProperties>
</file>