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none" w:color="FFFFFF" w:sz="0"/>
              <w:left w:val="none" w:color="FFFFFF" w:sz="0"/>
              <w:bottom w:val="none" w:color="FFFFFF" w:sz="0"/>
              <w:right w:val="none" w:color="FFFFFF" w:sz="0"/>
            </w:tcBorders>
            <w:shd w:fill="C0392B" w:val="clear"/>
          </w:tcPr>
          <w:p>
            <w:pPr>
              <w:spacing w:before="0" w:after="0"/>
            </w:pPr>
            <w:r>
              <w:rPr>
                <w:sz w:val="4"/>
                <w:szCs w:val="4"/>
              </w:rPr>
              <w:t xml:space="preserve"> </w:t>
            </w:r>
          </w:p>
        </w:tc>
      </w:tr>
    </w:tbl>
    <w:p>
      <w:pPr>
        <w:spacing w:before="200"/>
      </w:pPr>
    </w:p>
    <w:p>
      <w:r>
        <w:rPr>
          <w:b/>
          <w:bCs/>
          <w:color w:val="2C3E50"/>
          <w:sz w:val="48"/>
          <w:szCs w:val="48"/>
        </w:rPr>
        <w:t xml:space="preserve">EXECUTIVE DECISION BRIEF</w:t>
      </w:r>
    </w:p>
    <w:p>
      <w:pPr>
        <w:spacing w:after="200"/>
      </w:pPr>
      <w:r>
        <w:rPr>
          <w:color w:val="C0392B"/>
          <w:sz w:val="32"/>
          <w:szCs w:val="32"/>
        </w:rPr>
        <w:t xml:space="preserve">Engage Decision Advisor</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7020"/>
      </w:tblGrid>
      <w:tr>
        <w:tc>
          <w:tcPr>
            <w:tcW w:type="dxa" w:w="2340"/>
            <w:tcBorders>
              <w:top w:val="none" w:color="FFFFFF" w:sz="0"/>
              <w:left w:val="none" w:color="FFFFFF" w:sz="0"/>
              <w:bottom w:val="none" w:color="FFFFFF" w:sz="0"/>
              <w:right w:val="none" w:color="FFFFFF" w:sz="0"/>
            </w:tcBorders>
            <w:shd w:fill="ECF0F1" w:val="clear"/>
            <w:tcMar>
              <w:top w:type="dxa" w:w="80"/>
              <w:left w:type="dxa" w:w="120"/>
              <w:bottom w:type="dxa" w:w="80"/>
              <w:right w:type="dxa" w:w="120"/>
            </w:tcMar>
          </w:tcPr>
          <w:p>
            <w:r>
              <w:rPr>
                <w:b/>
                <w:bCs/>
                <w:sz w:val="20"/>
                <w:szCs w:val="20"/>
              </w:rPr>
              <w:t xml:space="preserve">Decision Owner:</w:t>
            </w:r>
          </w:p>
        </w:tc>
        <w:tc>
          <w:tcPr>
            <w:tcW w:type="dxa" w:w="7020"/>
            <w:tcBorders>
              <w:top w:val="none" w:color="FFFFFF" w:sz="0"/>
              <w:left w:val="none" w:color="FFFFFF" w:sz="0"/>
              <w:bottom w:val="none" w:color="FFFFFF" w:sz="0"/>
              <w:right w:val="none" w:color="FFFFFF" w:sz="0"/>
            </w:tcBorders>
            <w:shd w:fill="ECF0F1" w:val="clear"/>
            <w:tcMar>
              <w:top w:type="dxa" w:w="80"/>
              <w:left w:type="dxa" w:w="120"/>
              <w:bottom w:type="dxa" w:w="80"/>
              <w:right w:type="dxa" w:w="120"/>
            </w:tcMar>
          </w:tcPr>
          <w:p>
            <w:r>
              <w:rPr>
                <w:sz w:val="20"/>
                <w:szCs w:val="20"/>
              </w:rPr>
              <w:t xml:space="preserve">CEO</w:t>
            </w:r>
          </w:p>
        </w:tc>
      </w:tr>
      <w:tr>
        <w:tc>
          <w:tcPr>
            <w:tcW w:type="dxa" w:w="2340"/>
            <w:tcBorders>
              <w:top w:val="none" w:color="FFFFFF" w:sz="0"/>
              <w:left w:val="none" w:color="FFFFFF" w:sz="0"/>
              <w:bottom w:val="none" w:color="FFFFFF" w:sz="0"/>
              <w:right w:val="none" w:color="FFFFFF" w:sz="0"/>
            </w:tcBorders>
            <w:tcMar>
              <w:top w:type="dxa" w:w="80"/>
              <w:left w:type="dxa" w:w="120"/>
              <w:bottom w:type="dxa" w:w="80"/>
              <w:right w:type="dxa" w:w="120"/>
            </w:tcMar>
          </w:tcPr>
          <w:p>
            <w:r>
              <w:rPr>
                <w:b/>
                <w:bCs/>
                <w:sz w:val="20"/>
                <w:szCs w:val="20"/>
              </w:rPr>
              <w:t xml:space="preserve">Decision Type:</w:t>
            </w:r>
          </w:p>
        </w:tc>
        <w:tc>
          <w:tcPr>
            <w:tcW w:type="dxa" w:w="7020"/>
            <w:tcBorders>
              <w:top w:val="none" w:color="FFFFFF" w:sz="0"/>
              <w:left w:val="none" w:color="FFFFFF" w:sz="0"/>
              <w:bottom w:val="none" w:color="FFFFFF" w:sz="0"/>
              <w:right w:val="none" w:color="FFFFFF" w:sz="0"/>
            </w:tcBorders>
            <w:tcMar>
              <w:top w:type="dxa" w:w="80"/>
              <w:left w:type="dxa" w:w="120"/>
              <w:bottom w:type="dxa" w:w="80"/>
              <w:right w:type="dxa" w:w="120"/>
            </w:tcMar>
          </w:tcPr>
          <w:p>
            <w:r>
              <w:rPr>
                <w:sz w:val="20"/>
                <w:szCs w:val="20"/>
              </w:rPr>
              <w:t xml:space="preserve">Two-Way Door (Reversible)</w:t>
            </w:r>
          </w:p>
        </w:tc>
      </w:tr>
      <w:tr>
        <w:tc>
          <w:tcPr>
            <w:tcW w:type="dxa" w:w="2340"/>
            <w:tcBorders>
              <w:top w:val="none" w:color="FFFFFF" w:sz="0"/>
              <w:left w:val="none" w:color="FFFFFF" w:sz="0"/>
              <w:bottom w:val="none" w:color="FFFFFF" w:sz="0"/>
              <w:right w:val="none" w:color="FFFFFF" w:sz="0"/>
            </w:tcBorders>
            <w:shd w:fill="ECF0F1" w:val="clear"/>
            <w:tcMar>
              <w:top w:type="dxa" w:w="80"/>
              <w:left w:type="dxa" w:w="120"/>
              <w:bottom w:type="dxa" w:w="80"/>
              <w:right w:type="dxa" w:w="120"/>
            </w:tcMar>
          </w:tcPr>
          <w:p>
            <w:r>
              <w:rPr>
                <w:b/>
                <w:bCs/>
                <w:sz w:val="20"/>
                <w:szCs w:val="20"/>
              </w:rPr>
              <w:t xml:space="preserve">Date:</w:t>
            </w:r>
          </w:p>
        </w:tc>
        <w:tc>
          <w:tcPr>
            <w:tcW w:type="dxa" w:w="7020"/>
            <w:tcBorders>
              <w:top w:val="none" w:color="FFFFFF" w:sz="0"/>
              <w:left w:val="none" w:color="FFFFFF" w:sz="0"/>
              <w:bottom w:val="none" w:color="FFFFFF" w:sz="0"/>
              <w:right w:val="none" w:color="FFFFFF" w:sz="0"/>
            </w:tcBorders>
            <w:shd w:fill="ECF0F1" w:val="clear"/>
            <w:tcMar>
              <w:top w:type="dxa" w:w="80"/>
              <w:left w:type="dxa" w:w="120"/>
              <w:bottom w:type="dxa" w:w="80"/>
              <w:right w:type="dxa" w:w="120"/>
            </w:tcMar>
          </w:tcPr>
          <w:p>
            <w:r>
              <w:rPr>
                <w:sz w:val="20"/>
                <w:szCs w:val="20"/>
              </w:rPr>
              <w:t xml:space="preserve">January 5, 2026</w:t>
            </w:r>
          </w:p>
        </w:tc>
      </w:tr>
      <w:tr>
        <w:tc>
          <w:tcPr>
            <w:tcW w:type="dxa" w:w="2340"/>
            <w:tcBorders>
              <w:top w:val="none" w:color="FFFFFF" w:sz="0"/>
              <w:left w:val="none" w:color="FFFFFF" w:sz="0"/>
              <w:bottom w:val="none" w:color="FFFFFF" w:sz="0"/>
              <w:right w:val="none" w:color="FFFFFF" w:sz="0"/>
            </w:tcBorders>
            <w:tcMar>
              <w:top w:type="dxa" w:w="80"/>
              <w:left w:type="dxa" w:w="120"/>
              <w:bottom w:type="dxa" w:w="80"/>
              <w:right w:type="dxa" w:w="120"/>
            </w:tcMar>
          </w:tcPr>
          <w:p>
            <w:r>
              <w:rPr>
                <w:b/>
                <w:bCs/>
                <w:sz w:val="20"/>
                <w:szCs w:val="20"/>
              </w:rPr>
              <w:t xml:space="preserve">Review Date:</w:t>
            </w:r>
          </w:p>
        </w:tc>
        <w:tc>
          <w:tcPr>
            <w:tcW w:type="dxa" w:w="7020"/>
            <w:tcBorders>
              <w:top w:val="none" w:color="FFFFFF" w:sz="0"/>
              <w:left w:val="none" w:color="FFFFFF" w:sz="0"/>
              <w:bottom w:val="none" w:color="FFFFFF" w:sz="0"/>
              <w:right w:val="none" w:color="FFFFFF" w:sz="0"/>
            </w:tcBorders>
            <w:tcMar>
              <w:top w:type="dxa" w:w="80"/>
              <w:left w:type="dxa" w:w="120"/>
              <w:bottom w:type="dxa" w:w="80"/>
              <w:right w:type="dxa" w:w="120"/>
            </w:tcMar>
          </w:tcPr>
          <w:p>
            <w:r>
              <w:rPr>
                <w:sz w:val="20"/>
                <w:szCs w:val="20"/>
              </w:rPr>
              <w:t xml:space="preserve">1-month mark</w:t>
            </w:r>
          </w:p>
        </w:tc>
      </w:tr>
    </w:tbl>
    <w:p>
      <w:pPr>
        <w:spacing w:before="200" w:after="200"/>
      </w:pPr>
    </w:p>
    <w:p>
      <w:pPr>
        <w:pStyle w:val="Heading1"/>
      </w:pPr>
      <w:r>
        <w:t xml:space="preserve">RECOMMENDATION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2C3E50" w:val="clear"/>
            <w:tcMar>
              <w:top w:type="dxa" w:w="160"/>
              <w:left w:type="dxa" w:w="200"/>
              <w:bottom w:type="dxa" w:w="160"/>
              <w:right w:type="dxa" w:w="200"/>
            </w:tcMar>
          </w:tcPr>
          <w:p>
            <w:r>
              <w:rPr>
                <w:b/>
                <w:bCs/>
                <w:color w:val="FFFFFF"/>
                <w:sz w:val="24"/>
                <w:szCs w:val="24"/>
              </w:rPr>
              <w:t xml:space="preserve">Engage a decision advisor, </w:t>
            </w:r>
          </w:p>
          <w:p>
            <w:pPr>
              <w:spacing w:before="80"/>
            </w:pPr>
            <w:r>
              <w:rPr>
                <w:color w:val="FFFFFF"/>
                <w:sz w:val="22"/>
                <w:szCs w:val="22"/>
              </w:rPr>
              <w:t xml:space="preserve">prioritizing the search for an individual who demonstrably meets the criteria of being unbiased, trustworthy, and having no agenda or equity. This investment is crucial for navigating current pressures and ensuring high-quality, confidential decision support.</w:t>
            </w:r>
          </w:p>
          <w:p>
            <w:pPr>
              <w:spacing w:before="160"/>
            </w:pPr>
            <w:r>
              <w:rPr>
                <w:b/>
                <w:bCs/>
                <w:color w:val="FFFFFF"/>
                <w:sz w:val="22"/>
                <w:szCs w:val="22"/>
              </w:rPr>
              <w:t xml:space="preserve">Confidence: 80/100</w:t>
            </w:r>
          </w:p>
        </w:tc>
      </w:tr>
    </w:tbl>
    <w:p>
      <w:pPr>
        <w:spacing w:before="200" w:after="200"/>
      </w:pPr>
    </w:p>
    <w:p>
      <w:pPr>
        <w:pStyle w:val="Heading1"/>
      </w:pPr>
      <w:r>
        <w:t xml:space="preserve">SITUATION</w:t>
      </w:r>
    </w:p>
    <w:p>
      <w:pPr>
        <w:spacing w:after="120"/>
      </w:pPr>
      <w:r>
        <w:rPr>
          <w:sz w:val="22"/>
          <w:szCs w:val="22"/>
        </w:rPr>
        <w:t xml:space="preserve">As CEO of a $15M/year company, you are experiencing increased pressure due to compressed timelines, heavier cognitive load, and fewer margins for error. The decision is whether to engage an unbiased, trustworthy decision advisor on a monthly retainer to discuss sensitive items not yet shareable with the board or staff.</w:t>
      </w:r>
    </w:p>
    <w:p>
      <w:pPr>
        <w:spacing w:after="200"/>
      </w:pPr>
      <w:r>
        <w:rPr>
          <w:sz w:val="22"/>
          <w:szCs w:val="22"/>
        </w:rPr>
        <w:t xml:space="preserve">This is a </w:t>
      </w:r>
      <w:r>
        <w:rPr>
          <w:b/>
          <w:bCs/>
          <w:sz w:val="22"/>
          <w:szCs w:val="22"/>
        </w:rPr>
        <w:t xml:space="preserve">two-way door decision</w:t>
      </w:r>
      <w:r>
        <w:rPr>
          <w:sz w:val="22"/>
          <w:szCs w:val="22"/>
        </w:rPr>
        <w:t xml:space="preserve">. While the initial commitment is for 6 months, the engagement can be terminated if trust is violated, making it reversible at a reasonable cost.</w:t>
      </w:r>
    </w:p>
    <w:p>
      <w:pPr>
        <w:pStyle w:val="Heading2"/>
      </w:pPr>
      <w:r>
        <w:t xml:space="preserve">Priorities (in order)</w:t>
      </w:r>
    </w:p>
    <w:p>
      <w:pPr>
        <w:pStyle w:val="ListParagraph"/>
        <w:numPr>
          <w:ilvl w:val="0"/>
          <w:numId w:val="2"/>
        </w:numPr>
        <w:spacing w:after="60"/>
      </w:pPr>
      <w:r>
        <w:rPr>
          <w:sz w:val="22"/>
          <w:szCs w:val="22"/>
        </w:rPr>
        <w:t xml:space="preserve">Maintain trust and confidentiality for sensitive discussions</w:t>
      </w:r>
    </w:p>
    <w:p>
      <w:pPr>
        <w:pStyle w:val="ListParagraph"/>
        <w:numPr>
          <w:ilvl w:val="0"/>
          <w:numId w:val="2"/>
        </w:numPr>
        <w:spacing w:after="60"/>
      </w:pPr>
      <w:r>
        <w:rPr>
          <w:sz w:val="22"/>
          <w:szCs w:val="22"/>
        </w:rPr>
        <w:t xml:space="preserve">Enhance decision clarity and quality</w:t>
      </w:r>
    </w:p>
    <w:p>
      <w:pPr>
        <w:pStyle w:val="ListParagraph"/>
        <w:numPr>
          <w:ilvl w:val="0"/>
          <w:numId w:val="2"/>
        </w:numPr>
        <w:spacing w:after="200"/>
      </w:pPr>
      <w:r>
        <w:rPr>
          <w:sz w:val="22"/>
          <w:szCs w:val="22"/>
        </w:rPr>
        <w:t xml:space="preserve">Reduce CEO cognitive load and decision-making pressure</w:t>
      </w:r>
    </w:p>
    <w:p>
      <w:pPr>
        <w:spacing w:before="200" w:after="200"/>
      </w:pPr>
    </w:p>
    <w:p>
      <w:pPr>
        <w:pStyle w:val="Heading1"/>
      </w:pPr>
      <w:r>
        <w:t xml:space="preserve">OPTIONS ANALYSIS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1872"/>
        <w:gridCol w:w="2496"/>
        <w:gridCol w:w="2496"/>
        <w:gridCol w:w="1248"/>
        <w:gridCol w:w="1248"/>
      </w:tblGrid>
      <w:tr>
        <w:trPr>
          <w:tblHeader/>
        </w:trPr>
        <w:tc>
          <w:tcPr>
            <w:tcW w:type="dxa" w:w="1872"/>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Option</w:t>
            </w:r>
          </w:p>
        </w:tc>
        <w:tc>
          <w:tcPr>
            <w:tcW w:type="dxa" w:w="2496"/>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Upside</w:t>
            </w:r>
          </w:p>
        </w:tc>
        <w:tc>
          <w:tcPr>
            <w:tcW w:type="dxa" w:w="2496"/>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Downside</w:t>
            </w:r>
          </w:p>
        </w:tc>
        <w:tc>
          <w:tcPr>
            <w:tcW w:type="dxa" w:w="1248"/>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Cost</w:t>
            </w:r>
          </w:p>
        </w:tc>
        <w:tc>
          <w:tcPr>
            <w:tcW w:type="dxa" w:w="1248"/>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Exit Cost</w:t>
            </w:r>
          </w:p>
        </w:tc>
      </w:tr>
      <w:tr>
        <w:tc>
          <w:tcPr>
            <w:tcW w:type="dxa" w:w="1872"/>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r>
              <w:rPr>
                <w:b/>
                <w:bCs/>
                <w:sz w:val="18"/>
                <w:szCs w:val="18"/>
              </w:rPr>
              <w:t xml:space="preserve">A: Engage Advisor</w:t>
            </w:r>
          </w:p>
          <w:p>
            <w:r>
              <w:rPr>
                <w:b/>
                <w:bCs/>
                <w:color w:val="C0392B"/>
                <w:sz w:val="16"/>
                <w:szCs w:val="16"/>
              </w:rPr>
              <w:t xml:space="preserve">(Recommended)</w:t>
            </w:r>
          </w:p>
        </w:tc>
        <w:tc>
          <w:tcPr>
            <w:tcW w:type="dxa" w:w="2496"/>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Enhanced decision clarity, reduced cognitive load, confidential sounding board, unbiased perspective</w:t>
            </w:r>
          </w:p>
        </w:tc>
        <w:tc>
          <w:tcPr>
            <w:tcW w:type="dxa" w:w="2496"/>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Financial cost ($18k over 6 months), potential for underutilization if not actively engaged</w:t>
            </w:r>
          </w:p>
        </w:tc>
        <w:tc>
          <w:tcPr>
            <w:tcW w:type="dxa" w:w="1248"/>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$3,000/mo ($18,000 total)</w:t>
            </w:r>
          </w:p>
        </w:tc>
        <w:tc>
          <w:tcPr>
            <w:tcW w:type="dxa" w:w="1248"/>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1 month retainer</w:t>
            </w:r>
          </w:p>
        </w:tc>
      </w:tr>
      <w:tr>
        <w:tc>
          <w:tcPr>
            <w:tcW w:type="dxa" w:w="1872"/>
            <w:tcBorders>
              <w:top w:val="single" w:color="CCCCCC" w:sz="1"/>
              <w:left w:val="single" w:color="CCCCCC" w:sz="1"/>
              <w:bottom w:val="single" w:color="CCCCCC" w:sz="1"/>
              <w:right w:val="single" w:color="CCCCCC" w:sz="1"/>
            </w:tcBorders>
            <w:tcMar>
              <w:top w:type="dxa" w:w="80"/>
              <w:left w:type="dxa" w:w="80"/>
              <w:bottom w:type="dxa" w:w="80"/>
              <w:right w:type="dxa" w:w="80"/>
            </w:tcMar>
          </w:tcPr>
          <w:p>
            <w:r>
              <w:rPr>
                <w:b/>
                <w:bCs/>
                <w:sz w:val="18"/>
                <w:szCs w:val="18"/>
              </w:rPr>
              <w:t xml:space="preserve">B: Do Not Engage</w:t>
            </w:r>
          </w:p>
        </w:tc>
        <w:tc>
          <w:tcPr>
            <w:tcW w:type="dxa" w:w="2496"/>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No additional financial cost</w:t>
            </w:r>
          </w:p>
        </w:tc>
        <w:tc>
          <w:tcPr>
            <w:tcW w:type="dxa" w:w="2496"/>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Continued high cognitive load, potential for suboptimal decisions, increased risk of error under pressure</w:t>
            </w:r>
          </w:p>
        </w:tc>
        <w:tc>
          <w:tcPr>
            <w:tcW w:type="dxa" w:w="1248"/>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$0</w:t>
            </w:r>
          </w:p>
        </w:tc>
        <w:tc>
          <w:tcPr>
            <w:tcW w:type="dxa" w:w="1248"/>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N/A</w:t>
            </w:r>
          </w:p>
        </w:tc>
      </w:tr>
    </w:tbl>
    <w:p>
      <w:pPr>
        <w:spacing w:before="200" w:after="200"/>
      </w:pPr>
    </w:p>
    <w:p>
      <w:pPr>
        <w:pStyle w:val="Heading1"/>
      </w:pPr>
      <w:r>
        <w:t xml:space="preserve">ANALYSIS</w:t>
      </w:r>
    </w:p>
    <w:p>
      <w:pPr>
        <w:pStyle w:val="Heading2"/>
      </w:pPr>
      <w:r>
        <w:t xml:space="preserve">Facts We Know</w:t>
      </w:r>
    </w:p>
    <w:p>
      <w:pPr>
        <w:pStyle w:val="ListParagraph"/>
        <w:numPr>
          <w:ilvl w:val="0"/>
          <w:numId w:val="3"/>
        </w:numPr>
        <w:spacing w:after="60"/>
      </w:pPr>
      <w:r>
        <w:rPr>
          <w:sz w:val="22"/>
          <w:szCs w:val="22"/>
        </w:rPr>
        <w:t xml:space="preserve">Company revenue is $15M/year</w:t>
      </w:r>
    </w:p>
    <w:p>
      <w:pPr>
        <w:pStyle w:val="ListParagraph"/>
        <w:numPr>
          <w:ilvl w:val="0"/>
          <w:numId w:val="3"/>
        </w:numPr>
        <w:spacing w:after="60"/>
      </w:pPr>
      <w:r>
        <w:rPr>
          <w:sz w:val="22"/>
          <w:szCs w:val="22"/>
        </w:rPr>
        <w:t xml:space="preserve">CEO is facing compressed timelines, heavier cognitive load, and fewer margins for error</w:t>
      </w:r>
    </w:p>
    <w:p>
      <w:pPr>
        <w:pStyle w:val="ListParagraph"/>
        <w:numPr>
          <w:ilvl w:val="0"/>
          <w:numId w:val="3"/>
        </w:numPr>
        <w:spacing w:after="60"/>
      </w:pPr>
      <w:r>
        <w:rPr>
          <w:sz w:val="22"/>
          <w:szCs w:val="22"/>
        </w:rPr>
        <w:t xml:space="preserve">Need for a confidential sounding board for topics not yet suitable for board/staff</w:t>
      </w:r>
    </w:p>
    <w:p>
      <w:pPr>
        <w:pStyle w:val="ListParagraph"/>
        <w:numPr>
          <w:ilvl w:val="0"/>
          <w:numId w:val="3"/>
        </w:numPr>
        <w:spacing w:after="200"/>
      </w:pPr>
      <w:r>
        <w:rPr>
          <w:sz w:val="22"/>
          <w:szCs w:val="22"/>
        </w:rPr>
        <w:t xml:space="preserve">Advisor cost is $3,000/month for 6 months</w:t>
      </w:r>
    </w:p>
    <w:p>
      <w:pPr>
        <w:pStyle w:val="Heading2"/>
      </w:pPr>
      <w:r>
        <w:t xml:space="preserve">Critical Assumptions</w:t>
      </w:r>
    </w:p>
    <w:p>
      <w:pPr>
        <w:pStyle w:val="ListParagraph"/>
        <w:numPr>
          <w:ilvl w:val="0"/>
          <w:numId w:val="3"/>
        </w:numPr>
        <w:spacing w:after="60"/>
      </w:pPr>
      <w:r>
        <w:rPr>
          <w:sz w:val="22"/>
          <w:szCs w:val="22"/>
        </w:rPr>
        <w:t xml:space="preserve">An advisor exists who can meet the criteria</w:t>
      </w:r>
      <w:r>
        <w:rPr>
          <w:i/>
          <w:iCs/>
          <w:color w:val="7F8C8D"/>
          <w:sz w:val="22"/>
          <w:szCs w:val="22"/>
        </w:rPr>
        <w:t xml:space="preserve"> — Testable by: Thorough vetting and reference checks</w:t>
      </w:r>
    </w:p>
    <w:p>
      <w:pPr>
        <w:pStyle w:val="ListParagraph"/>
        <w:numPr>
          <w:ilvl w:val="0"/>
          <w:numId w:val="3"/>
        </w:numPr>
        <w:spacing w:after="60"/>
      </w:pPr>
      <w:r>
        <w:rPr>
          <w:sz w:val="22"/>
          <w:szCs w:val="22"/>
        </w:rPr>
        <w:t xml:space="preserve">The advisor's insights will justify the $18,000 investment</w:t>
      </w:r>
      <w:r>
        <w:rPr>
          <w:i/>
          <w:iCs/>
          <w:color w:val="7F8C8D"/>
          <w:sz w:val="22"/>
          <w:szCs w:val="22"/>
        </w:rPr>
        <w:t xml:space="preserve"> — Testable by: Initial trial period, tracking decision outcomes</w:t>
      </w:r>
    </w:p>
    <w:p>
      <w:pPr>
        <w:pStyle w:val="ListParagraph"/>
        <w:numPr>
          <w:ilvl w:val="0"/>
          <w:numId w:val="3"/>
        </w:numPr>
        <w:spacing w:after="200"/>
      </w:pPr>
      <w:r>
        <w:rPr>
          <w:sz w:val="22"/>
          <w:szCs w:val="22"/>
        </w:rPr>
        <w:t xml:space="preserve">The CEO will actively utilize the advisor</w:t>
      </w:r>
      <w:r>
        <w:rPr>
          <w:i/>
          <w:iCs/>
          <w:color w:val="7F8C8D"/>
          <w:sz w:val="22"/>
          <w:szCs w:val="22"/>
        </w:rPr>
        <w:t xml:space="preserve"> — Testable by: Regular scheduled check-ins and self-assessment</w:t>
      </w:r>
    </w:p>
    <w:p>
      <w:pPr>
        <w:pStyle w:val="Heading2"/>
      </w:pPr>
      <w:r>
        <w:t xml:space="preserve">Sensitivity Analysis</w:t>
      </w:r>
    </w:p>
    <w:p>
      <w:pPr>
        <w:spacing w:after="200"/>
      </w:pPr>
      <w:r>
        <w:rPr>
          <w:sz w:val="22"/>
          <w:szCs w:val="22"/>
        </w:rPr>
        <w:t xml:space="preserve">If the advisor's contribution leads to even one critical decision improvement that saves 0.1% of annual revenue ($15,000), the investment is nearly recouped. A 1% improvement ($150,000) represents significant ROI.</w:t>
      </w:r>
    </w:p>
    <w:p>
      <w:pPr>
        <w:spacing w:before="200" w:after="200"/>
      </w:pPr>
    </w:p>
    <w:p>
      <w:pPr>
        <w:pStyle w:val="Heading1"/>
      </w:pPr>
      <w:r>
        <w:t xml:space="preserve">RISK ANALYSIS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2340"/>
        <w:gridCol w:w="1170"/>
        <w:gridCol w:w="1170"/>
        <w:gridCol w:w="4680"/>
      </w:tblGrid>
      <w:tr>
        <w:trPr>
          <w:tblHeader/>
        </w:trPr>
        <w:tc>
          <w:tcPr>
            <w:tcW w:type="dxa" w:w="2340"/>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Risk</w:t>
            </w:r>
          </w:p>
        </w:tc>
        <w:tc>
          <w:tcPr>
            <w:tcW w:type="dxa" w:w="1170"/>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Likelihood</w:t>
            </w:r>
          </w:p>
        </w:tc>
        <w:tc>
          <w:tcPr>
            <w:tcW w:type="dxa" w:w="1170"/>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Impact</w:t>
            </w:r>
          </w:p>
        </w:tc>
        <w:tc>
          <w:tcPr>
            <w:tcW w:type="dxa" w:w="4680"/>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Mitigation</w:t>
            </w:r>
          </w:p>
        </w:tc>
      </w:tr>
      <w:tr>
        <w:tc>
          <w:tcPr>
            <w:tcW w:type="dxa" w:w="234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b/>
                <w:bCs/>
                <w:sz w:val="18"/>
                <w:szCs w:val="18"/>
              </w:rPr>
              <w:t xml:space="preserve">Advisor Mismatch</w:t>
            </w:r>
          </w:p>
        </w:tc>
        <w:tc>
          <w:tcPr>
            <w:tcW w:type="dxa" w:w="117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b/>
                <w:bCs/>
                <w:sz w:val="18"/>
                <w:szCs w:val="18"/>
              </w:rPr>
              <w:t xml:space="preserve">M</w:t>
            </w:r>
          </w:p>
        </w:tc>
        <w:tc>
          <w:tcPr>
            <w:tcW w:type="dxa" w:w="117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b/>
                <w:bCs/>
                <w:sz w:val="18"/>
                <w:szCs w:val="18"/>
              </w:rPr>
              <w:t xml:space="preserve">M</w:t>
            </w:r>
          </w:p>
        </w:tc>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Thorough interview process, reference checks, trial period. If triggered: Terminate immediately; restart search.</w:t>
            </w:r>
          </w:p>
        </w:tc>
      </w:tr>
      <w:tr>
        <w:tc>
          <w:tcPr>
            <w:tcW w:type="dxa" w:w="234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r>
              <w:rPr>
                <w:b/>
                <w:bCs/>
                <w:sz w:val="18"/>
                <w:szCs w:val="18"/>
              </w:rPr>
              <w:t xml:space="preserve">Underutilization</w:t>
            </w:r>
          </w:p>
        </w:tc>
        <w:tc>
          <w:tcPr>
            <w:tcW w:type="dxa" w:w="117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pPr>
              <w:jc w:val="center"/>
            </w:pPr>
            <w:r>
              <w:rPr>
                <w:b/>
                <w:bCs/>
                <w:sz w:val="18"/>
                <w:szCs w:val="18"/>
              </w:rPr>
              <w:t xml:space="preserve">M</w:t>
            </w:r>
          </w:p>
        </w:tc>
        <w:tc>
          <w:tcPr>
            <w:tcW w:type="dxa" w:w="117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pPr>
              <w:jc w:val="center"/>
            </w:pPr>
            <w:r>
              <w:rPr>
                <w:b/>
                <w:bCs/>
                <w:sz w:val="18"/>
                <w:szCs w:val="18"/>
              </w:rPr>
              <w:t xml:space="preserve">M</w:t>
            </w:r>
          </w:p>
        </w:tc>
        <w:tc>
          <w:tcPr>
            <w:tcW w:type="dxa" w:w="468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r>
              <w:rPr>
                <w:sz w:val="18"/>
                <w:szCs w:val="18"/>
              </w:rPr>
              <w:t xml:space="preserve">Regular self-assessment of engagement and value. If triggered: Re-evaluate fit, adjust frequency, or terminate.</w:t>
            </w:r>
          </w:p>
        </w:tc>
      </w:tr>
      <w:tr>
        <w:tc>
          <w:tcPr>
            <w:tcW w:type="dxa" w:w="234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b/>
                <w:bCs/>
                <w:sz w:val="18"/>
                <w:szCs w:val="18"/>
              </w:rPr>
              <w:t xml:space="preserve">Trust/NDA Violation</w:t>
            </w:r>
          </w:p>
        </w:tc>
        <w:tc>
          <w:tcPr>
            <w:tcW w:type="dxa" w:w="117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b/>
                <w:bCs/>
                <w:sz w:val="18"/>
                <w:szCs w:val="18"/>
              </w:rPr>
              <w:t xml:space="preserve">L</w:t>
            </w:r>
          </w:p>
        </w:tc>
        <w:tc>
          <w:tcPr>
            <w:tcW w:type="dxa" w:w="117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b/>
                <w:bCs/>
                <w:color w:val="C0392B"/>
                <w:sz w:val="18"/>
                <w:szCs w:val="18"/>
              </w:rPr>
              <w:t xml:space="preserve">H</w:t>
            </w:r>
          </w:p>
        </w:tc>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Comprehensive NDA, clear confidentiality expectations. If triggered: Immediate legal action and termination.</w:t>
            </w:r>
          </w:p>
        </w:tc>
      </w:tr>
    </w:tbl>
    <w:p>
      <w:pPr>
        <w:spacing w:before="200" w:after="200"/>
      </w:pPr>
    </w:p>
    <w:p>
      <w:pPr>
        <w:pStyle w:val="Heading1"/>
      </w:pPr>
      <w:r>
        <w:t xml:space="preserve">SCENARIOS</w:t>
      </w:r>
    </w:p>
    <w:p>
      <w:pPr>
        <w:pStyle w:val="Heading3"/>
      </w:pPr>
      <w:r>
        <w:rPr>
          <w:color w:val="27AE60"/>
        </w:rPr>
        <w:t xml:space="preserve">Best Case</w:t>
      </w:r>
    </w:p>
    <w:p>
      <w:pPr>
        <w:spacing w:after="120"/>
      </w:pPr>
      <w:r>
        <w:rPr>
          <w:sz w:val="22"/>
          <w:szCs w:val="22"/>
        </w:rPr>
        <w:t xml:space="preserve">The advisor provides critical, unbiased insights that lead to several high-impact decisions, significantly reducing CEO stress and improving company performance beyond the cost of the retainer. The CEO gains a trusted, confidential partner.</w:t>
      </w:r>
    </w:p>
    <w:p>
      <w:pPr>
        <w:pStyle w:val="Heading3"/>
      </w:pPr>
      <w:r>
        <w:rPr>
          <w:color w:val="2C3E50"/>
        </w:rPr>
        <w:t xml:space="preserve">Most Likely</w:t>
      </w:r>
    </w:p>
    <w:p>
      <w:pPr>
        <w:spacing w:after="120"/>
      </w:pPr>
      <w:r>
        <w:rPr>
          <w:sz w:val="22"/>
          <w:szCs w:val="22"/>
        </w:rPr>
        <w:t xml:space="preserve">The advisor offers valuable perspectives on several key decisions, providing a confidential outlet for complex issues. The CEO experiences a reduction in cognitive load and increased confidence in sensitive decisions, justifying the investment.</w:t>
      </w:r>
    </w:p>
    <w:p>
      <w:pPr>
        <w:pStyle w:val="Heading3"/>
      </w:pPr>
      <w:r>
        <w:rPr>
          <w:color w:val="C0392B"/>
        </w:rPr>
        <w:t xml:space="preserve">Worst Case</w:t>
      </w:r>
    </w:p>
    <w:p>
      <w:pPr>
        <w:spacing w:after="200"/>
      </w:pPr>
      <w:r>
        <w:rPr>
          <w:sz w:val="22"/>
          <w:szCs w:val="22"/>
        </w:rPr>
        <w:t xml:space="preserve">The advisor proves to be ineffective or unsuitable, failing to provide actionable insights or violating trust. The $18,000 is spent with minimal return, and the CEO's cognitive load remains high.</w:t>
      </w:r>
    </w:p>
    <w:p>
      <w:pPr>
        <w:spacing w:before="200" w:after="200"/>
      </w:pPr>
    </w:p>
    <w:p>
      <w:pPr>
        <w:pStyle w:val="Heading1"/>
      </w:pPr>
      <w:r>
        <w:t xml:space="preserve">NEXT ACTIONS</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4680"/>
        <w:gridCol w:w="1560"/>
        <w:gridCol w:w="1560"/>
        <w:gridCol w:w="1560"/>
      </w:tblGrid>
      <w:tr>
        <w:trPr>
          <w:tblHeader/>
        </w:trPr>
        <w:tc>
          <w:tcPr>
            <w:tcW w:type="dxa" w:w="4680"/>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r>
              <w:rPr>
                <w:b/>
                <w:bCs/>
                <w:color w:val="FFFFFF"/>
                <w:sz w:val="18"/>
                <w:szCs w:val="18"/>
              </w:rPr>
              <w:t xml:space="preserve">Action</w:t>
            </w:r>
          </w:p>
        </w:tc>
        <w:tc>
          <w:tcPr>
            <w:tcW w:type="dxa" w:w="1560"/>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Owner</w:t>
            </w:r>
          </w:p>
        </w:tc>
        <w:tc>
          <w:tcPr>
            <w:tcW w:type="dxa" w:w="1560"/>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Timeline</w:t>
            </w:r>
          </w:p>
        </w:tc>
        <w:tc>
          <w:tcPr>
            <w:tcW w:type="dxa" w:w="1560"/>
            <w:tcBorders>
              <w:top w:val="single" w:color="CCCCCC" w:sz="1"/>
              <w:left w:val="single" w:color="CCCCCC" w:sz="1"/>
              <w:bottom w:val="single" w:color="CCCCCC" w:sz="1"/>
              <w:right w:val="single" w:color="CCCCCC" w:sz="1"/>
            </w:tcBorders>
            <w:shd w:fill="2C3E50" w:val="clear"/>
            <w:tcMar>
              <w:top w:type="dxa" w:w="80"/>
              <w:left w:type="dxa" w:w="80"/>
              <w:bottom w:type="dxa" w:w="80"/>
              <w:right w:type="dxa" w:w="80"/>
            </w:tcMar>
          </w:tcPr>
          <w:p>
            <w:pPr>
              <w:jc w:val="center"/>
            </w:pPr>
            <w:r>
              <w:rPr>
                <w:b/>
                <w:bCs/>
                <w:color w:val="FFFFFF"/>
                <w:sz w:val="18"/>
                <w:szCs w:val="18"/>
              </w:rPr>
              <w:t xml:space="preserve">Type</w:t>
            </w:r>
          </w:p>
        </w:tc>
      </w:tr>
      <w:tr>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Finalize advisor criteria (experience, communication style)</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sz w:val="18"/>
                <w:szCs w:val="18"/>
              </w:rPr>
              <w:t xml:space="preserve">CEO</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sz w:val="18"/>
                <w:szCs w:val="18"/>
              </w:rPr>
              <w:t xml:space="preserve">24 hours</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sz w:val="18"/>
                <w:szCs w:val="18"/>
              </w:rPr>
              <w:t xml:space="preserve">Decide</w:t>
            </w:r>
          </w:p>
        </w:tc>
      </w:tr>
      <w:tr>
        <w:tc>
          <w:tcPr>
            <w:tcW w:type="dxa" w:w="468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r>
              <w:rPr>
                <w:sz w:val="18"/>
                <w:szCs w:val="18"/>
              </w:rPr>
              <w:t xml:space="preserve">Source potential advisors (network, specialized firms)</w:t>
            </w:r>
          </w:p>
        </w:tc>
        <w:tc>
          <w:tcPr>
            <w:tcW w:type="dxa" w:w="156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pPr>
              <w:jc w:val="center"/>
            </w:pPr>
            <w:r>
              <w:rPr>
                <w:sz w:val="18"/>
                <w:szCs w:val="18"/>
              </w:rPr>
              <w:t xml:space="preserve">CEO</w:t>
            </w:r>
          </w:p>
        </w:tc>
        <w:tc>
          <w:tcPr>
            <w:tcW w:type="dxa" w:w="156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pPr>
              <w:jc w:val="center"/>
            </w:pPr>
            <w:r>
              <w:rPr>
                <w:sz w:val="18"/>
                <w:szCs w:val="18"/>
              </w:rPr>
              <w:t xml:space="preserve">7 days</w:t>
            </w:r>
          </w:p>
        </w:tc>
        <w:tc>
          <w:tcPr>
            <w:tcW w:type="dxa" w:w="156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pPr>
              <w:jc w:val="center"/>
            </w:pPr>
            <w:r>
              <w:rPr>
                <w:sz w:val="18"/>
                <w:szCs w:val="18"/>
              </w:rPr>
              <w:t xml:space="preserve">Execute</w:t>
            </w:r>
          </w:p>
        </w:tc>
      </w:tr>
      <w:tr>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Conduct initial interviews and reference checks</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sz w:val="18"/>
                <w:szCs w:val="18"/>
              </w:rPr>
              <w:t xml:space="preserve">CEO</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sz w:val="18"/>
                <w:szCs w:val="18"/>
              </w:rPr>
              <w:t xml:space="preserve">14 days</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sz w:val="18"/>
                <w:szCs w:val="18"/>
              </w:rPr>
              <w:t xml:space="preserve">Execute</w:t>
            </w:r>
          </w:p>
        </w:tc>
      </w:tr>
      <w:tr>
        <w:tc>
          <w:tcPr>
            <w:tcW w:type="dxa" w:w="468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r>
              <w:rPr>
                <w:sz w:val="18"/>
                <w:szCs w:val="18"/>
              </w:rPr>
              <w:t xml:space="preserve">Negotiate terms and sign NDA/retainer agreement</w:t>
            </w:r>
          </w:p>
        </w:tc>
        <w:tc>
          <w:tcPr>
            <w:tcW w:type="dxa" w:w="156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pPr>
              <w:jc w:val="center"/>
            </w:pPr>
            <w:r>
              <w:rPr>
                <w:sz w:val="18"/>
                <w:szCs w:val="18"/>
              </w:rPr>
              <w:t xml:space="preserve">CEO</w:t>
            </w:r>
          </w:p>
        </w:tc>
        <w:tc>
          <w:tcPr>
            <w:tcW w:type="dxa" w:w="156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pPr>
              <w:jc w:val="center"/>
            </w:pPr>
            <w:r>
              <w:rPr>
                <w:sz w:val="18"/>
                <w:szCs w:val="18"/>
              </w:rPr>
              <w:t xml:space="preserve">21 days</w:t>
            </w:r>
          </w:p>
        </w:tc>
        <w:tc>
          <w:tcPr>
            <w:tcW w:type="dxa" w:w="1560"/>
            <w:tcBorders>
              <w:top w:val="single" w:color="CCCCCC" w:sz="1"/>
              <w:left w:val="single" w:color="CCCCCC" w:sz="1"/>
              <w:bottom w:val="single" w:color="CCCCCC" w:sz="1"/>
              <w:right w:val="single" w:color="CCCCCC" w:sz="1"/>
            </w:tcBorders>
            <w:shd w:fill="ECF0F1" w:val="clear"/>
            <w:tcMar>
              <w:top w:type="dxa" w:w="80"/>
              <w:left w:type="dxa" w:w="80"/>
              <w:bottom w:type="dxa" w:w="80"/>
              <w:right w:type="dxa" w:w="80"/>
            </w:tcMar>
          </w:tcPr>
          <w:p>
            <w:pPr>
              <w:jc w:val="center"/>
            </w:pPr>
            <w:r>
              <w:rPr>
                <w:sz w:val="18"/>
                <w:szCs w:val="18"/>
              </w:rPr>
              <w:t xml:space="preserve">Decide</w:t>
            </w:r>
          </w:p>
        </w:tc>
      </w:tr>
      <w:tr>
        <w:tc>
          <w:tcPr>
            <w:tcW w:type="dxa" w:w="4680"/>
            <w:tcBorders>
              <w:top w:val="single" w:color="CCCCCC" w:sz="1"/>
              <w:left w:val="single" w:color="CCCCCC" w:sz="1"/>
              <w:bottom w:val="single" w:color="CCCCCC" w:sz="1"/>
              <w:right w:val="single" w:color="CCCCCC" w:sz="1"/>
            </w:tcBorders>
            <w:tcMar>
              <w:top w:type="dxa" w:w="80"/>
              <w:left w:type="dxa" w:w="80"/>
              <w:bottom w:type="dxa" w:w="80"/>
              <w:right w:type="dxa" w:w="80"/>
            </w:tcMar>
          </w:tcPr>
          <w:p>
            <w:r>
              <w:rPr>
                <w:sz w:val="18"/>
                <w:szCs w:val="18"/>
              </w:rPr>
              <w:t xml:space="preserve">Schedule first advisory session</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sz w:val="18"/>
                <w:szCs w:val="18"/>
              </w:rPr>
              <w:t xml:space="preserve">CEO</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sz w:val="18"/>
                <w:szCs w:val="18"/>
              </w:rPr>
              <w:t xml:space="preserve">24 hrs post-sign</w:t>
            </w:r>
          </w:p>
        </w:tc>
        <w:tc>
          <w:tcPr>
            <w:tcW w:type="dxa" w:w="1560"/>
            <w:tcBorders>
              <w:top w:val="single" w:color="CCCCCC" w:sz="1"/>
              <w:left w:val="single" w:color="CCCCCC" w:sz="1"/>
              <w:bottom w:val="single" w:color="CCCCCC" w:sz="1"/>
              <w:right w:val="single" w:color="CCCCCC" w:sz="1"/>
            </w:tcBorders>
            <w:tcMar>
              <w:top w:type="dxa" w:w="80"/>
              <w:left w:type="dxa" w:w="80"/>
              <w:bottom w:type="dxa" w:w="80"/>
              <w:right w:type="dxa" w:w="80"/>
            </w:tcMar>
          </w:tcPr>
          <w:p>
            <w:pPr>
              <w:jc w:val="center"/>
            </w:pPr>
            <w:r>
              <w:rPr>
                <w:sz w:val="18"/>
                <w:szCs w:val="18"/>
              </w:rPr>
              <w:t xml:space="preserve">Execute</w:t>
            </w:r>
          </w:p>
        </w:tc>
      </w:tr>
    </w:tbl>
    <w:p>
      <w:pPr>
        <w:spacing w:before="200" w:after="200"/>
      </w:pPr>
    </w:p>
    <w:p>
      <w:pPr>
        <w:pStyle w:val="Heading1"/>
      </w:pPr>
      <w:r>
        <w:t xml:space="preserve">KILL METRIC &amp; REVIEW GATE</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C0392B" w:val="clear"/>
            <w:tcMar>
              <w:top w:type="dxa" w:w="120"/>
              <w:left w:type="dxa" w:w="200"/>
              <w:bottom w:type="dxa" w:w="120"/>
              <w:right w:type="dxa" w:w="200"/>
            </w:tcMar>
          </w:tcPr>
          <w:p>
            <w:r>
              <w:rPr>
                <w:b/>
                <w:bCs/>
                <w:color w:val="FFFFFF"/>
                <w:sz w:val="22"/>
                <w:szCs w:val="22"/>
              </w:rPr>
              <w:t xml:space="preserve">KILL METRIC: </w:t>
            </w:r>
            <w:r>
              <w:rPr>
                <w:color w:val="FFFFFF"/>
                <w:sz w:val="22"/>
                <w:szCs w:val="22"/>
              </w:rPr>
              <w:t xml:space="preserve">If the advisor violates NDA or trust, the engagement stops immediately. If the CEO consistently finds no value after 1 month, re-evaluate.</w:t>
            </w:r>
          </w:p>
          <w:p>
            <w:pPr>
              <w:spacing w:before="100"/>
            </w:pPr>
            <w:r>
              <w:rPr>
                <w:b/>
                <w:bCs/>
                <w:color w:val="FFFFFF"/>
                <w:sz w:val="22"/>
                <w:szCs w:val="22"/>
              </w:rPr>
              <w:t xml:space="preserve">REVIEW GATE: </w:t>
            </w:r>
            <w:r>
              <w:rPr>
                <w:color w:val="FFFFFF"/>
                <w:sz w:val="22"/>
                <w:szCs w:val="22"/>
              </w:rPr>
              <w:t xml:space="preserve">1-month mark</w:t>
            </w:r>
          </w:p>
          <w:p>
            <w:pPr>
              <w:spacing w:before="100"/>
            </w:pPr>
            <w:r>
              <w:rPr>
                <w:i/>
                <w:iCs/>
                <w:color w:val="FFFFFF"/>
                <w:sz w:val="20"/>
                <w:szCs w:val="20"/>
              </w:rPr>
              <w:t xml:space="preserve">This analysis is valid for 6 months or until a critical trust violation, whichever comes first.</w:t>
            </w:r>
          </w:p>
        </w:tc>
      </w:tr>
    </w:tbl>
    <w:p>
      <w:pPr>
        <w:spacing w:before="200" w:after="200"/>
      </w:pPr>
    </w:p>
    <w:p>
      <w:pPr>
        <w:pStyle w:val="Heading1"/>
      </w:pPr>
      <w:r>
        <w:t xml:space="preserve">REGRET CHECK</w:t>
      </w:r>
    </w:p>
    <w:p>
      <w:pPr>
        <w:spacing w:after="200"/>
      </w:pPr>
      <w:r>
        <w:rPr>
          <w:b/>
          <w:bCs/>
          <w:sz w:val="22"/>
          <w:szCs w:val="22"/>
        </w:rPr>
        <w:t xml:space="preserve">We will likely regret </w:t>
      </w:r>
      <w:r>
        <w:rPr>
          <w:b/>
          <w:bCs/>
          <w:color w:val="C0392B"/>
          <w:sz w:val="22"/>
          <w:szCs w:val="22"/>
        </w:rPr>
        <w:t xml:space="preserve">NOT</w:t>
      </w:r>
      <w:r>
        <w:rPr>
          <w:sz w:val="22"/>
          <w:szCs w:val="22"/>
        </w:rPr>
        <w:t xml:space="preserve"> making this investment if a critical, sensitive decision is made poorly due to lack of an unbiased sounding board, leading to significant negative impact on the company.</w:t>
      </w:r>
    </w:p>
    <w:p>
      <w:pPr>
        <w:spacing w:before="200" w:after="200"/>
      </w:pP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1"/>
              <w:left w:val="single" w:color="CCCCCC" w:sz="1"/>
              <w:bottom w:val="single" w:color="CCCCCC" w:sz="1"/>
              <w:right w:val="single" w:color="CCCCCC" w:sz="1"/>
            </w:tcBorders>
            <w:shd w:fill="ECF0F1" w:val="clear"/>
            <w:tcMar>
              <w:top w:type="dxa" w:w="120"/>
              <w:left w:type="dxa" w:w="200"/>
              <w:bottom w:type="dxa" w:w="120"/>
              <w:right w:type="dxa" w:w="200"/>
            </w:tcMar>
          </w:tcPr>
          <w:p>
            <w:pPr>
              <w:jc w:val="center"/>
            </w:pPr>
            <w:r>
              <w:rPr>
                <w:b/>
                <w:bCs/>
                <w:color w:val="2C3E50"/>
                <w:sz w:val="22"/>
                <w:szCs w:val="22"/>
              </w:rPr>
              <w:t xml:space="preserve">⚠ HUMAN OVERSIGHT REQUIRED</w:t>
            </w:r>
          </w:p>
          <w:p>
            <w:pPr>
              <w:spacing w:before="60"/>
              <w:jc w:val="center"/>
            </w:pPr>
            <w:r>
              <w:rPr>
                <w:i/>
                <w:iCs/>
                <w:color w:val="7F8C8D"/>
                <w:sz w:val="20"/>
                <w:szCs w:val="20"/>
              </w:rPr>
              <w:t xml:space="preserve">This analysis supports your decision. The final call and accountability remain yours.</w:t>
            </w:r>
          </w:p>
        </w:tc>
      </w:tr>
    </w:tbl>
    <w:p>
      <w:pPr>
        <w:spacing w:before="300"/>
        <w:jc w:val="center"/>
      </w:pPr>
      <w:r>
        <w:rPr>
          <w:color w:val="7F8C8D"/>
          <w:sz w:val="18"/>
          <w:szCs w:val="18"/>
        </w:rPr>
        <w:t xml:space="preserve">— END OF BRIEF —</w:t>
      </w:r>
    </w:p>
    <w:sectPr>
      <w:headerReference w:type="default" r:id="rId6"/>
      <w:footerReference w:type="default" r:id="rId7"/>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color w:val="7F8C8D"/>
        <w:sz w:val="16"/>
        <w:szCs w:val="16"/>
      </w:rPr>
      <w:t xml:space="preserve">Powered by TEAM Solutions  |  </w:t>
    </w:r>
    <w:r>
      <w:rPr>
        <w:color w:val="7F8C8D"/>
        <w:sz w:val="16"/>
        <w:szCs w:val="16"/>
      </w:rPr>
      <w:t xml:space="preserve">Page </w:t>
    </w:r>
    <w:r>
      <w:rPr>
        <w:color w:val="7F8C8D"/>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i/>
        <w:iCs/>
        <w:color w:val="7F8C8D"/>
        <w:sz w:val="18"/>
        <w:szCs w:val="18"/>
      </w:rPr>
      <w:t xml:space="preserve">[YOUR LOGO]</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 w:numId="3">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itle">
    <w:name w:val="Title"/>
    <w:basedOn w:val="Normal"/>
    <w:pPr>
      <w:spacing w:before="0" w:after="120"/>
      <w:jc w:val="left"/>
    </w:pPr>
    <w:rPr>
      <w:rFonts w:ascii="Arial" w:cs="Arial" w:eastAsia="Arial" w:hAnsi="Arial"/>
      <w:b/>
      <w:bCs/>
      <w:color w:val="2C3E50"/>
      <w:sz w:val="48"/>
      <w:szCs w:val="48"/>
    </w:rPr>
  </w:style>
  <w:style w:type="paragraph" w:styleId="Heading1">
    <w:name w:val="Heading 1"/>
    <w:basedOn w:val="Normal"/>
    <w:next w:val="Normal"/>
    <w:qFormat/>
    <w:pPr>
      <w:spacing w:before="300" w:after="120"/>
      <w:outlineLvl w:val="0"/>
    </w:pPr>
    <w:rPr>
      <w:rFonts w:ascii="Arial" w:cs="Arial" w:eastAsia="Arial" w:hAnsi="Arial"/>
      <w:b/>
      <w:bCs/>
      <w:caps/>
      <w:color w:val="C0392B"/>
      <w:sz w:val="28"/>
      <w:szCs w:val="28"/>
    </w:rPr>
  </w:style>
  <w:style w:type="paragraph" w:styleId="Heading2">
    <w:name w:val="Heading 2"/>
    <w:basedOn w:val="Normal"/>
    <w:next w:val="Normal"/>
    <w:qFormat/>
    <w:pPr>
      <w:spacing w:before="240" w:after="100"/>
      <w:outlineLvl w:val="1"/>
    </w:pPr>
    <w:rPr>
      <w:rFonts w:ascii="Arial" w:cs="Arial" w:eastAsia="Arial" w:hAnsi="Arial"/>
      <w:b/>
      <w:bCs/>
      <w:color w:val="2C3E50"/>
      <w:sz w:val="24"/>
      <w:szCs w:val="24"/>
    </w:rPr>
  </w:style>
  <w:style w:type="paragraph" w:styleId="Heading3">
    <w:name w:val="Heading 3"/>
    <w:basedOn w:val="Normal"/>
    <w:next w:val="Normal"/>
    <w:qFormat/>
    <w:pPr>
      <w:spacing w:before="200" w:after="80"/>
      <w:outlineLvl w:val="2"/>
    </w:pPr>
    <w:rPr>
      <w:rFonts w:ascii="Arial" w:cs="Arial" w:eastAsia="Arial" w:hAnsi="Arial"/>
      <w:b/>
      <w:bCs/>
      <w:color w:val="2C3E50"/>
      <w:sz w:val="22"/>
      <w:szCs w:val="22"/>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fontTable" Target="fontTable.xml"/></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2026-01-05T18:41:39.419Z</dcterms:created>
  <dcterms:modified xsi:type="dcterms:W3CDTF">2026-01-05T18:41:39.420Z</dcterms:modified>
</cp:coreProperties>
</file>

<file path=docProps/custom.xml><?xml version="1.0" encoding="utf-8"?>
<Properties xmlns="http://schemas.openxmlformats.org/officeDocument/2006/custom-properties" xmlns:vt="http://schemas.openxmlformats.org/officeDocument/2006/docPropsVTypes"/>
</file>