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Quarterly Report</w:t>
      </w:r>
    </w:p>
    <w:p>
      <w:pPr>
        <w:pStyle w:val="Heading1"/>
      </w:pPr>
      <w:r>
        <w:t>Executive Summary</w:t>
      </w:r>
    </w:p>
    <w:p>
      <w:r>
        <w:t>This report summarizes our Q4 performance. Revenue grew steadily across all regions, and operating margins improved compared to the prior quarter.</w:t>
      </w:r>
    </w:p>
    <w:p>
      <w:pPr>
        <w:pStyle w:val="Heading1"/>
      </w:pPr>
      <w:r>
        <w:t>First Section</w:t>
      </w:r>
    </w:p>
    <w:p>
      <w:r>
        <w:t>Content under first section.</w:t>
      </w:r>
    </w:p>
    <w:p>
      <w:pPr>
        <w:pStyle w:val="Heading1"/>
      </w:pPr>
      <w:r>
        <w:t>Second Section</w:t>
      </w:r>
    </w:p>
    <w:p>
      <w:r>
        <w:t>Content under second section.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