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E051" w14:textId="6333BA6C" w:rsidR="00AF34B9" w:rsidRPr="00920047" w:rsidRDefault="00FA028B" w:rsidP="0077390E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T</w:t>
      </w:r>
      <w:r w:rsidRPr="00FA028B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ransformação, </w:t>
      </w:r>
      <w:r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I</w:t>
      </w:r>
      <w:r w:rsidRPr="00FA028B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ncorporação, </w:t>
      </w:r>
      <w:r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C</w:t>
      </w:r>
      <w:r w:rsidRPr="00FA028B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isão ou </w:t>
      </w:r>
      <w:r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F</w:t>
      </w:r>
      <w:r w:rsidRPr="00FA028B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usão </w:t>
      </w:r>
      <w:r w:rsidR="00F2417A" w:rsidRPr="008656DC">
        <w:rPr>
          <w:rFonts w:ascii="Arial Narrow" w:eastAsia="Times New Roman" w:hAnsi="Arial Narrow" w:cs="Arial"/>
          <w:b/>
          <w:bCs/>
          <w:color w:val="222222"/>
          <w:sz w:val="24"/>
          <w:szCs w:val="24"/>
          <w:u w:val="single"/>
          <w:lang w:eastAsia="pt-BR"/>
        </w:rPr>
        <w:t>de</w:t>
      </w:r>
      <w:r w:rsidR="008656DC" w:rsidRPr="008656DC">
        <w:rPr>
          <w:rFonts w:ascii="Arial Narrow" w:eastAsia="Times New Roman" w:hAnsi="Arial Narrow" w:cs="Arial"/>
          <w:b/>
          <w:bCs/>
          <w:color w:val="222222"/>
          <w:sz w:val="24"/>
          <w:szCs w:val="24"/>
          <w:u w:val="single"/>
          <w:lang w:eastAsia="pt-BR"/>
        </w:rPr>
        <w:t xml:space="preserve"> ou por</w:t>
      </w:r>
      <w:r w:rsidR="00F2417A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 Fundações de </w:t>
      </w:r>
      <w:r w:rsidR="008656DC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D</w:t>
      </w:r>
      <w:r w:rsidR="00F2417A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ireito </w:t>
      </w:r>
      <w:r w:rsidR="008656DC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P</w:t>
      </w:r>
      <w:r w:rsidR="00F2417A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rivado </w:t>
      </w:r>
    </w:p>
    <w:p w14:paraId="3D76E876" w14:textId="77777777" w:rsidR="00936C91" w:rsidRDefault="00936C91" w:rsidP="00212463">
      <w:pPr>
        <w:shd w:val="clear" w:color="auto" w:fill="FFFFFF"/>
        <w:spacing w:after="120" w:line="240" w:lineRule="auto"/>
        <w:jc w:val="right"/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</w:pPr>
    </w:p>
    <w:p w14:paraId="06E724B1" w14:textId="58367D6F" w:rsidR="00912C18" w:rsidRDefault="009433CC" w:rsidP="00212463">
      <w:pPr>
        <w:shd w:val="clear" w:color="auto" w:fill="FFFFFF"/>
        <w:spacing w:after="120" w:line="240" w:lineRule="auto"/>
        <w:jc w:val="right"/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sectPr w:rsidR="00912C18" w:rsidSect="00912C18">
          <w:endnotePr>
            <w:numFmt w:val="decimal"/>
          </w:end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920047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José Marinho P</w:t>
      </w:r>
      <w:r w:rsidR="00212463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aulo Junior</w:t>
      </w:r>
      <w:r w:rsidR="00912C18" w:rsidRPr="00920047">
        <w:rPr>
          <w:rStyle w:val="Refdenotadefim"/>
          <w:rFonts w:ascii="Arial Narrow" w:eastAsia="Times New Roman" w:hAnsi="Arial Narrow" w:cs="Arial"/>
          <w:color w:val="222222"/>
          <w:sz w:val="24"/>
          <w:szCs w:val="24"/>
          <w:lang w:eastAsia="pt-BR"/>
        </w:rPr>
        <w:endnoteReference w:id="1"/>
      </w:r>
    </w:p>
    <w:p w14:paraId="06347CE7" w14:textId="77777777" w:rsidR="009B1102" w:rsidRDefault="009B1102" w:rsidP="0077390E">
      <w:pPr>
        <w:shd w:val="clear" w:color="auto" w:fill="FFFFFF"/>
        <w:spacing w:after="120" w:line="240" w:lineRule="auto"/>
        <w:jc w:val="right"/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</w:pPr>
    </w:p>
    <w:p w14:paraId="1C99C4D1" w14:textId="77777777" w:rsidR="007D16C7" w:rsidRDefault="007D16C7" w:rsidP="0077390E">
      <w:pPr>
        <w:shd w:val="clear" w:color="auto" w:fill="FFFFFF"/>
        <w:spacing w:after="120" w:line="240" w:lineRule="auto"/>
        <w:jc w:val="right"/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</w:pPr>
    </w:p>
    <w:p w14:paraId="49E929E9" w14:textId="2330A795" w:rsidR="007D16C7" w:rsidRDefault="007D16C7" w:rsidP="0077390E">
      <w:pPr>
        <w:shd w:val="clear" w:color="auto" w:fill="FFFFFF"/>
        <w:spacing w:after="120" w:line="240" w:lineRule="auto"/>
        <w:jc w:val="right"/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sectPr w:rsidR="007D16C7" w:rsidSect="00912C18">
          <w:endnotePr>
            <w:numFmt w:val="decimal"/>
          </w:end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377782" w14:textId="2474F64F" w:rsidR="009B1102" w:rsidRPr="00534A39" w:rsidRDefault="009B1102" w:rsidP="0077390E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</w:pPr>
      <w:r w:rsidRPr="00534A39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Resumo: </w:t>
      </w:r>
      <w:r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O artigo perquire, em revisão bibliográfica, </w:t>
      </w:r>
      <w:r w:rsidR="002D73E1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a</w:t>
      </w:r>
      <w:r w:rsidR="003857C2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viabilidade jurídica d</w:t>
      </w:r>
      <w:r w:rsidR="00EE58B7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a mutabilidade</w:t>
      </w:r>
      <w:r w:rsidR="003857C2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</w:t>
      </w:r>
      <w:r w:rsidR="00EE58B7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entre</w:t>
      </w:r>
      <w:r w:rsidR="003857C2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</w:t>
      </w:r>
      <w:r w:rsidR="00546ADF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fundaç</w:t>
      </w:r>
      <w:r w:rsidR="00EE58B7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ões</w:t>
      </w:r>
      <w:r w:rsidR="00546ADF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de direito privado e pessoa</w:t>
      </w:r>
      <w:r w:rsidR="00EE58B7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s</w:t>
      </w:r>
      <w:r w:rsidR="00546ADF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jurídica</w:t>
      </w:r>
      <w:r w:rsidR="00EE58B7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s</w:t>
      </w:r>
      <w:r w:rsidR="00546ADF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de outra natureza</w:t>
      </w:r>
      <w:r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. Com referencial na teoria da fundação enquanto universalidade de bens de Clovis </w:t>
      </w:r>
      <w:proofErr w:type="spellStart"/>
      <w:r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Bevilácqua</w:t>
      </w:r>
      <w:proofErr w:type="spellEnd"/>
      <w:r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, </w:t>
      </w:r>
      <w:r w:rsidR="00CA64E1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j</w:t>
      </w:r>
      <w:r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ustifica-se o estudo diante da necessidade de se compreender a aplicabilidade razoável das previsões normativas do Código Civil, com </w:t>
      </w:r>
      <w:r w:rsidR="00EE58B7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preservação </w:t>
      </w:r>
      <w:r w:rsidR="00F41E1D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da vontade do instituidor</w:t>
      </w:r>
      <w:r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. Conclui que</w:t>
      </w:r>
      <w:r w:rsidR="007E679F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, nesta hipótese,</w:t>
      </w:r>
      <w:r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a lógica sistemática </w:t>
      </w:r>
      <w:r w:rsidR="00F41E1D"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permite apenas a transformação, incorporação, cisão ou fusão pessoas jurídicas de outra natureza por Fundações de Direito Privado, mas não destas por aquelas</w:t>
      </w:r>
      <w:r w:rsidRPr="00534A39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. </w:t>
      </w:r>
    </w:p>
    <w:p w14:paraId="52F06CD9" w14:textId="73D10D3C" w:rsidR="009B1102" w:rsidRPr="00F04475" w:rsidRDefault="009B1102" w:rsidP="0077390E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</w:pPr>
      <w:r w:rsidRPr="00936C91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Palavras-chave: </w:t>
      </w:r>
      <w:r w:rsidRPr="00936C91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Fundação de direito privado. </w:t>
      </w:r>
      <w:proofErr w:type="spellStart"/>
      <w:r w:rsidR="00534A39"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Transformação</w:t>
      </w:r>
      <w:proofErr w:type="spellEnd"/>
      <w:r w:rsidR="00534A39"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. </w:t>
      </w:r>
      <w:proofErr w:type="spellStart"/>
      <w:r w:rsidR="00534A39"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Incorporação</w:t>
      </w:r>
      <w:proofErr w:type="spellEnd"/>
      <w:r w:rsidR="00534A39"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. </w:t>
      </w:r>
      <w:proofErr w:type="spellStart"/>
      <w:r w:rsidR="00534A39"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Cisão</w:t>
      </w:r>
      <w:proofErr w:type="spellEnd"/>
      <w:r w:rsidR="00534A39"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. </w:t>
      </w:r>
      <w:proofErr w:type="spellStart"/>
      <w:r w:rsidR="00534A39"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Fusão</w:t>
      </w:r>
      <w:proofErr w:type="spellEnd"/>
      <w:r w:rsidR="00724B9B"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. </w:t>
      </w:r>
      <w:r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 </w:t>
      </w:r>
    </w:p>
    <w:p w14:paraId="1F721F20" w14:textId="1C59DF86" w:rsidR="009B1102" w:rsidRPr="00936C91" w:rsidRDefault="009B1102" w:rsidP="0077390E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</w:pPr>
      <w:r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 </w:t>
      </w:r>
      <w:r w:rsidRPr="00936C91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val="en-US" w:eastAsia="pt-BR"/>
        </w:rPr>
        <w:t>Abstract: </w:t>
      </w:r>
      <w:r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This article aims to assess through bibliographic review </w:t>
      </w:r>
      <w:r w:rsidR="008A5BE7"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if </w:t>
      </w:r>
      <w:r w:rsidR="004F587A"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it is legally allowed to </w:t>
      </w:r>
      <w:r w:rsidR="0043487E"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turn foundations into </w:t>
      </w:r>
      <w:r w:rsidR="0054004C"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other forms of corporate organization</w:t>
      </w:r>
      <w:r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. </w:t>
      </w:r>
      <w:r w:rsidR="002F7008"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Under the light of </w:t>
      </w:r>
      <w:r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Clovis Bevilacqua´s foundation-as-a-group-of-rights theory as a scientific reference, the research d is justified by the need of comprehension of the enforceability of the Brazilian Law, </w:t>
      </w:r>
      <w:r w:rsidR="005C5DB6"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protecting the </w:t>
      </w:r>
      <w:r w:rsidR="008564CF"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will of its founder</w:t>
      </w:r>
      <w:r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s. The article concludes that, on account of systematic logic, </w:t>
      </w:r>
      <w:r w:rsidR="00C24F27"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other forms of corporate organization might be converted into foundations, but not the way </w:t>
      </w:r>
      <w:r w:rsidR="001E183B"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back</w:t>
      </w:r>
      <w:r w:rsidRPr="00936C91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.</w:t>
      </w:r>
    </w:p>
    <w:p w14:paraId="1CB78620" w14:textId="42374FAC" w:rsidR="009B1102" w:rsidRPr="004F587A" w:rsidRDefault="009B1102" w:rsidP="0077390E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val="en-US" w:eastAsia="pt-BR"/>
        </w:rPr>
      </w:pPr>
      <w:proofErr w:type="gramStart"/>
      <w:r w:rsidRPr="004F587A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val="en-US" w:eastAsia="pt-BR"/>
        </w:rPr>
        <w:t>Key-words</w:t>
      </w:r>
      <w:proofErr w:type="gramEnd"/>
      <w:r w:rsidRPr="004F587A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val="en-US" w:eastAsia="pt-BR"/>
        </w:rPr>
        <w:t>: </w:t>
      </w:r>
      <w:r w:rsidRPr="004F587A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Foundations. </w:t>
      </w:r>
      <w:r w:rsidR="004F587A" w:rsidRPr="004F587A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Transformation. Merger. Fusing</w:t>
      </w:r>
      <w:r w:rsidR="00BE4814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.</w:t>
      </w:r>
      <w:r w:rsidR="004F587A" w:rsidRPr="004F587A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 Spli</w:t>
      </w:r>
      <w:r w:rsidR="00BE4814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t.</w:t>
      </w:r>
      <w:r w:rsidR="004F587A" w:rsidRPr="004F587A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 Incorporation</w:t>
      </w:r>
      <w:r w:rsidR="00134037" w:rsidRPr="004F587A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. </w:t>
      </w:r>
      <w:r w:rsidR="006366CF" w:rsidRPr="004F587A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  </w:t>
      </w:r>
    </w:p>
    <w:p w14:paraId="13B42C13" w14:textId="2D060A8B" w:rsidR="009B1102" w:rsidRPr="00134037" w:rsidRDefault="009B1102" w:rsidP="0077390E">
      <w:pPr>
        <w:spacing w:after="120" w:line="240" w:lineRule="auto"/>
        <w:jc w:val="both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</w:pPr>
      <w:proofErr w:type="spellStart"/>
      <w:r w:rsidRPr="00F04475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val="en-US" w:eastAsia="pt-BR"/>
        </w:rPr>
        <w:t>Sumário</w:t>
      </w:r>
      <w:proofErr w:type="spellEnd"/>
      <w:r w:rsidRPr="00F04475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val="en-US" w:eastAsia="pt-BR"/>
        </w:rPr>
        <w:t xml:space="preserve">: </w:t>
      </w:r>
      <w:r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1. </w:t>
      </w:r>
      <w:proofErr w:type="spellStart"/>
      <w:r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>Introdução</w:t>
      </w:r>
      <w:proofErr w:type="spellEnd"/>
      <w:r w:rsidRPr="00F04475">
        <w:rPr>
          <w:rFonts w:ascii="Arial Narrow" w:eastAsia="Times New Roman" w:hAnsi="Arial Narrow" w:cs="Arial"/>
          <w:color w:val="222222"/>
          <w:sz w:val="24"/>
          <w:szCs w:val="24"/>
          <w:lang w:val="en-US" w:eastAsia="pt-BR"/>
        </w:rPr>
        <w:t xml:space="preserve">. </w:t>
      </w:r>
      <w:r w:rsidRPr="007D0812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2. </w:t>
      </w:r>
      <w:r w:rsidR="006457EA" w:rsidRPr="007D0812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Fundações e bens: um binômio desde a gênese da entidade</w:t>
      </w:r>
      <w:r w:rsidRPr="007D0812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. 3.</w:t>
      </w:r>
      <w:r w:rsidR="007D0812" w:rsidRPr="007D0812">
        <w:t xml:space="preserve"> </w:t>
      </w:r>
      <w:r w:rsidR="007D0812" w:rsidRPr="007D0812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Da transformação de pessoas jurídicas de outra natureza em fundações de direito privado. 4.</w:t>
      </w:r>
      <w:r w:rsidR="006457EA" w:rsidRPr="007D0812">
        <w:t xml:space="preserve"> </w:t>
      </w:r>
      <w:r w:rsidR="007D0812" w:rsidRPr="007D0812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Da transformação de fundações de direito privado em pessoas jurídicas de outra natureza</w:t>
      </w:r>
      <w:r w:rsidR="006457EA" w:rsidRPr="007D0812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.</w:t>
      </w:r>
      <w:r w:rsidR="007D0812" w:rsidRPr="007D0812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5</w:t>
      </w:r>
      <w:r w:rsidRPr="007D0812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. Conclus</w:t>
      </w:r>
      <w:r w:rsidR="00980D0F" w:rsidRPr="007D0812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ão</w:t>
      </w:r>
    </w:p>
    <w:p w14:paraId="3307362B" w14:textId="77777777" w:rsidR="00AF34B9" w:rsidRPr="00724B9B" w:rsidRDefault="00AF34B9" w:rsidP="0077390E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highlight w:val="yellow"/>
          <w:lang w:eastAsia="pt-BR"/>
        </w:rPr>
      </w:pPr>
    </w:p>
    <w:p w14:paraId="48D86157" w14:textId="7680F29B" w:rsidR="009B1102" w:rsidRPr="00C7797F" w:rsidRDefault="009B1102" w:rsidP="0077390E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</w:pPr>
      <w:r w:rsidRPr="00C7797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1. Introdução</w:t>
      </w:r>
      <w:r w:rsidRPr="00C7797F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. </w:t>
      </w:r>
    </w:p>
    <w:p w14:paraId="2538D665" w14:textId="0FDFB0F9" w:rsidR="009B1102" w:rsidRDefault="00733133" w:rsidP="0077390E">
      <w:pPr>
        <w:spacing w:before="100" w:beforeAutospacing="1" w:after="120" w:line="288" w:lineRule="auto"/>
        <w:ind w:firstLine="1134"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733133">
        <w:rPr>
          <w:rFonts w:ascii="Arial Narrow" w:eastAsia="Calibri" w:hAnsi="Arial Narrow" w:cs="Calibri"/>
          <w:sz w:val="24"/>
          <w:szCs w:val="24"/>
          <w:lang w:eastAsia="pt-BR"/>
        </w:rPr>
        <w:t xml:space="preserve">O artigo perquire, em revisão bibliográfica, a viabilidade jurídica da mutabilidade entre fundações de direito privado e pessoas jurídicas de outra natureza. Com referencial na teoria da fundação enquanto universalidade de bens de Clovis </w:t>
      </w:r>
      <w:proofErr w:type="spellStart"/>
      <w:r w:rsidRPr="00733133">
        <w:rPr>
          <w:rFonts w:ascii="Arial Narrow" w:eastAsia="Calibri" w:hAnsi="Arial Narrow" w:cs="Calibri"/>
          <w:sz w:val="24"/>
          <w:szCs w:val="24"/>
          <w:lang w:eastAsia="pt-BR"/>
        </w:rPr>
        <w:t>Bevilácqua</w:t>
      </w:r>
      <w:proofErr w:type="spellEnd"/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733133">
        <w:rPr>
          <w:rFonts w:ascii="Arial Narrow" w:eastAsia="Calibri" w:hAnsi="Arial Narrow" w:cs="Calibri"/>
          <w:sz w:val="24"/>
          <w:szCs w:val="24"/>
          <w:lang w:eastAsia="pt-BR"/>
        </w:rPr>
        <w:t>justifica-se o estudo diante da necessidade de se compreender, especialmente em sede de extinção judicial, a aplicabilidade razoável das previsões normativas do Código Civil, com preservação da vontade do instituidor.</w:t>
      </w:r>
    </w:p>
    <w:p w14:paraId="252BF748" w14:textId="77777777" w:rsidR="0077390E" w:rsidRDefault="0077390E" w:rsidP="0077390E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</w:pPr>
    </w:p>
    <w:p w14:paraId="16895866" w14:textId="2394F948" w:rsidR="009B1102" w:rsidRPr="00724B9B" w:rsidRDefault="009B1102" w:rsidP="0077390E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highlight w:val="yellow"/>
          <w:lang w:eastAsia="pt-BR"/>
        </w:rPr>
      </w:pPr>
      <w:r w:rsidRPr="004D04CD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</w:t>
      </w:r>
      <w:r w:rsidRPr="004D04CD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2.</w:t>
      </w:r>
      <w:r w:rsidR="003D78A9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60719D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Fundações e bens: um binômio </w:t>
      </w:r>
      <w:r w:rsidR="00A54382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desde a gênese</w:t>
      </w:r>
      <w:r w:rsidR="006457EA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 da entidade</w:t>
      </w:r>
      <w:r w:rsidR="00A54382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60719D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 </w:t>
      </w:r>
    </w:p>
    <w:p w14:paraId="3662D7E1" w14:textId="7AA5D3BF" w:rsidR="009B1102" w:rsidRPr="00002477" w:rsidRDefault="009B1102" w:rsidP="0077390E">
      <w:pPr>
        <w:spacing w:before="100" w:beforeAutospacing="1" w:after="120" w:line="288" w:lineRule="auto"/>
        <w:ind w:firstLine="1134"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002477">
        <w:rPr>
          <w:rFonts w:ascii="Arial Narrow" w:eastAsia="Calibri" w:hAnsi="Arial Narrow" w:cs="Calibri"/>
          <w:i/>
          <w:iCs/>
          <w:sz w:val="24"/>
          <w:szCs w:val="24"/>
          <w:lang w:eastAsia="pt-BR"/>
        </w:rPr>
        <w:t>Prima facie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, constata-se o tratamento sucinto (e algo precário) dado pelo Código Civil à matéria fundacional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. É, pois, singela e lacunosa a base normativa a partir da qual se tece a presente análise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.</w:t>
      </w:r>
    </w:p>
    <w:p w14:paraId="7E1A3522" w14:textId="6E3667C3" w:rsidR="009B1102" w:rsidRPr="00002477" w:rsidRDefault="009B1102" w:rsidP="0077390E">
      <w:pPr>
        <w:spacing w:before="100" w:beforeAutospacing="1" w:after="120" w:line="288" w:lineRule="auto"/>
        <w:ind w:firstLine="1134"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De toda sorte</w:t>
      </w:r>
      <w:r w:rsidR="00FA7299" w:rsidRPr="00002477">
        <w:rPr>
          <w:rFonts w:ascii="Arial Narrow" w:eastAsia="Calibri" w:hAnsi="Arial Narrow" w:cs="Calibri"/>
          <w:sz w:val="24"/>
          <w:szCs w:val="24"/>
          <w:lang w:eastAsia="pt-BR"/>
        </w:rPr>
        <w:t>, r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elembre-se aqui a lição de Masagão (1945)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4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de que “a instituição da fundação [...] visa personalizar os próprios bens, isto é, transformar esses bens e, pessoa jurídica, atribuindo-lhes fim especial a que, como pessoa, ficarão jungidos”, escorada nos ensinamentos 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lastRenderedPageBreak/>
        <w:t xml:space="preserve">de Clóvis </w:t>
      </w:r>
      <w:proofErr w:type="spellStart"/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Bevilácqua</w:t>
      </w:r>
      <w:proofErr w:type="spellEnd"/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de que a fundação é uma universalidade de bens personalizada em atenção ao fim que lhe dá unidade. Dallari (1995)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5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, em igual sentido, anota que fundação é a vinculação de um patrimônio a determinado fim, dando-lhe personalidade jurídica, isto é, um patrimônio personalizado - o que significa que “o patrimônio adquire a condição de pessoa, passando a ser sujeito de direitos, ao mesmo tempo em que pode assumir obrigações jurídicas”. </w:t>
      </w:r>
    </w:p>
    <w:p w14:paraId="1D096BA9" w14:textId="738354CF" w:rsidR="009B1102" w:rsidRPr="00002477" w:rsidRDefault="009B1102" w:rsidP="0077390E">
      <w:pPr>
        <w:spacing w:before="100" w:beforeAutospacing="1" w:after="120" w:line="288" w:lineRule="auto"/>
        <w:ind w:firstLine="1134"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E uma pergunta angular: se não há bens, poderá haver fundação? Evidentemente que não. A fundação, enquanto universalidade de bens, tem nestes a sua essência e não pode nunca existir sem estes. Não por outra</w:t>
      </w:r>
      <w:r w:rsidR="000514D3"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proofErr w:type="spellStart"/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Guasque</w:t>
      </w:r>
      <w:proofErr w:type="spellEnd"/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(2008, p. 65</w:t>
      </w:r>
      <w:r w:rsidR="00BE4927">
        <w:rPr>
          <w:rFonts w:ascii="Arial Narrow" w:eastAsia="Calibri" w:hAnsi="Arial Narrow" w:cs="Calibri"/>
          <w:sz w:val="24"/>
          <w:szCs w:val="24"/>
          <w:lang w:eastAsia="pt-BR"/>
        </w:rPr>
        <w:t>)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bem entrevê a fundação como “um fundo em ação”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6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. E daí porque uma fundação sem bens deve ser extinta, na forma do artigo 69</w:t>
      </w:r>
      <w:r w:rsidR="00EB0F03"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do Código Civil.</w:t>
      </w:r>
      <w:r w:rsidR="00EB0F03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7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</w:p>
    <w:p w14:paraId="2D9321A4" w14:textId="0FB27C35" w:rsidR="009B1102" w:rsidRPr="00002477" w:rsidRDefault="009B1102" w:rsidP="0077390E">
      <w:pPr>
        <w:spacing w:before="100" w:beforeAutospacing="1" w:after="120" w:line="288" w:lineRule="auto"/>
        <w:ind w:firstLine="1134"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Tal </w:t>
      </w:r>
      <w:r w:rsidRPr="00002477">
        <w:rPr>
          <w:rFonts w:ascii="Arial Narrow" w:eastAsia="Calibri" w:hAnsi="Arial Narrow" w:cs="Calibri"/>
          <w:i/>
          <w:iCs/>
          <w:sz w:val="24"/>
          <w:szCs w:val="24"/>
          <w:lang w:eastAsia="pt-BR"/>
        </w:rPr>
        <w:t xml:space="preserve">vexata quaestio 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leva </w:t>
      </w:r>
      <w:r w:rsidR="00F3317A">
        <w:rPr>
          <w:rFonts w:ascii="Arial Narrow" w:eastAsia="Calibri" w:hAnsi="Arial Narrow" w:cs="Calibri"/>
          <w:sz w:val="24"/>
          <w:szCs w:val="24"/>
          <w:lang w:eastAsia="pt-BR"/>
        </w:rPr>
        <w:t>à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fundamental premissa de criação de fundações por testamento: esta, se possível, somente ocorrerá diante da efetiva partilha e não antes (ao menos, como vista acima, em regra, ressalvada autorização judicial incidental, </w:t>
      </w:r>
      <w:proofErr w:type="spellStart"/>
      <w:r w:rsidRPr="00002477">
        <w:rPr>
          <w:rFonts w:ascii="Arial Narrow" w:eastAsia="Calibri" w:hAnsi="Arial Narrow" w:cs="Calibri"/>
          <w:i/>
          <w:iCs/>
          <w:sz w:val="24"/>
          <w:szCs w:val="24"/>
          <w:lang w:eastAsia="pt-BR"/>
        </w:rPr>
        <w:t>ex</w:t>
      </w:r>
      <w:proofErr w:type="spellEnd"/>
      <w:r w:rsidRPr="00002477">
        <w:rPr>
          <w:rFonts w:ascii="Arial Narrow" w:eastAsia="Calibri" w:hAnsi="Arial Narrow" w:cs="Calibri"/>
          <w:i/>
          <w:iCs/>
          <w:sz w:val="24"/>
          <w:szCs w:val="24"/>
          <w:lang w:eastAsia="pt-BR"/>
        </w:rPr>
        <w:t xml:space="preserve"> vi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do parágrafo único do artigo 647 do Código de Processo Civil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8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). </w:t>
      </w:r>
    </w:p>
    <w:p w14:paraId="6284F2B1" w14:textId="630C8233" w:rsidR="009B1102" w:rsidRPr="00002477" w:rsidRDefault="009B1102" w:rsidP="0077390E">
      <w:pPr>
        <w:spacing w:before="100" w:beforeAutospacing="1" w:after="120" w:line="288" w:lineRule="auto"/>
        <w:ind w:firstLine="1134"/>
        <w:jc w:val="both"/>
        <w:rPr>
          <w:rFonts w:ascii="Arial Narrow" w:eastAsia="Calibri" w:hAnsi="Arial Narrow" w:cs="Calibri"/>
          <w:i/>
          <w:iCs/>
          <w:sz w:val="24"/>
          <w:szCs w:val="24"/>
          <w:lang w:eastAsia="pt-BR"/>
        </w:rPr>
      </w:pP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Nas palavras de Azevedo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9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, para se criar uma fundação não bastam “direitos eventuais” – o que justamente é, afinal, a previsão de sua dotação até que seja ultimada: um direito em potencial e nada mais, a despeito da redação ditada pelo artigo 1923 do Código Civil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0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-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1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, que, em verdade, apenas se aplica a legatários, do que se distingue a fundação instituída – que não é legatária, nem herdeira, mas uma dotação (MASAGÃO, 1945)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2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. </w:t>
      </w:r>
    </w:p>
    <w:p w14:paraId="23C15A2E" w14:textId="62384924" w:rsidR="009B1102" w:rsidRPr="00002477" w:rsidRDefault="009B1102" w:rsidP="0077390E">
      <w:pPr>
        <w:spacing w:before="100" w:beforeAutospacing="1" w:after="120" w:line="288" w:lineRule="auto"/>
        <w:ind w:firstLine="1134"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Fosse diferente, haveria o absurdo de instituidor insolvente pretender formar uma fundação sem lhe garantir bens, sendo suficiente o desejo quiçá egoísta e mesquinho de ter para si mesmo algum legado pessoal. Tampouco se admite que a viabilidade financeira fundacional dependa de ilícito avanço sobre os quinhões de herdeiros necessários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3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, uma vez que, em interpretação sistêmica do Diploma Material e à luz do primado de vedação ao enriquecimento sem causa, não se pode tolerar isto. </w:t>
      </w:r>
    </w:p>
    <w:p w14:paraId="4BAD6E14" w14:textId="5AC92B7F" w:rsidR="009B1102" w:rsidRPr="00002477" w:rsidRDefault="009B1102" w:rsidP="0077390E">
      <w:pPr>
        <w:spacing w:before="100" w:beforeAutospacing="1" w:after="120" w:line="288" w:lineRule="auto"/>
        <w:ind w:firstLine="1134"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Noutras palavras, parece razoável interpretar-se o Código Civil no sentido de que a fundação instituída por testamento</w:t>
      </w:r>
      <w:r w:rsidR="0077390E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4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- e a é tão logo este é cumprido - somente vem a se formar </w:t>
      </w:r>
      <w:r w:rsidR="0077390E" w:rsidRPr="00002477">
        <w:rPr>
          <w:rFonts w:ascii="Arial Narrow" w:eastAsia="Calibri" w:hAnsi="Arial Narrow" w:cs="Calibri"/>
          <w:sz w:val="24"/>
          <w:szCs w:val="24"/>
          <w:lang w:eastAsia="pt-BR"/>
        </w:rPr>
        <w:t>se e quando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EB0F03"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da partilha, houver bens suficientes para concretizar aquela última vontade. Tal exegese clareia, aliás, o sentido do artigo 63 do diploma na medida em que não se exige ali seja antes extinta a fundação (o que, estivesse criada, o disposto no artigo 69 seria de observância obrigatória). </w:t>
      </w:r>
    </w:p>
    <w:p w14:paraId="13D3AEC4" w14:textId="702E50B5" w:rsidR="009B1102" w:rsidRPr="00002477" w:rsidRDefault="009B1102" w:rsidP="0077390E">
      <w:pPr>
        <w:spacing w:before="100" w:beforeAutospacing="1" w:after="120" w:line="288" w:lineRule="auto"/>
        <w:ind w:firstLine="1134"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Nestes termos, em hipóteses de instituição de fundação via testamentária, com o escopo de dirimir as eventuais dúvidas sobre os bens destinados à dotação patrimonial, salutar adotar a partilha em vida, em sua modalidade partilha-testamento, nos moldes </w:t>
      </w:r>
      <w:r w:rsidR="00EB0F03" w:rsidRPr="00002477">
        <w:rPr>
          <w:rFonts w:ascii="Arial Narrow" w:eastAsia="Calibri" w:hAnsi="Arial Narrow" w:cs="Calibri"/>
          <w:sz w:val="24"/>
          <w:szCs w:val="24"/>
          <w:lang w:eastAsia="pt-BR"/>
        </w:rPr>
        <w:t>delineados</w:t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 xml:space="preserve"> pelo artigo 2018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5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, preservados, por óbvio, a legítima dos herdeiros necessários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6"/>
      </w:r>
      <w:r w:rsidRPr="00002477">
        <w:rPr>
          <w:rFonts w:ascii="Arial Narrow" w:eastAsia="Calibri" w:hAnsi="Arial Narrow" w:cs="Calibri"/>
          <w:sz w:val="24"/>
          <w:szCs w:val="24"/>
          <w:lang w:eastAsia="pt-BR"/>
        </w:rPr>
        <w:t>, nos moldes determinados pelo Código Civil.</w:t>
      </w:r>
    </w:p>
    <w:p w14:paraId="7B9E65D4" w14:textId="77777777" w:rsidR="009B1102" w:rsidRPr="00724B9B" w:rsidRDefault="009B1102" w:rsidP="0077390E">
      <w:pPr>
        <w:spacing w:after="120" w:line="288" w:lineRule="auto"/>
        <w:jc w:val="both"/>
        <w:rPr>
          <w:rFonts w:ascii="Arial Narrow" w:eastAsia="Times New Roman" w:hAnsi="Arial Narrow" w:cs="Arial"/>
          <w:b/>
          <w:bCs/>
          <w:color w:val="222222"/>
          <w:sz w:val="24"/>
          <w:szCs w:val="24"/>
          <w:highlight w:val="yellow"/>
          <w:lang w:eastAsia="pt-BR"/>
        </w:rPr>
      </w:pPr>
    </w:p>
    <w:p w14:paraId="18FEBE47" w14:textId="0E2D03CB" w:rsidR="009B1102" w:rsidRDefault="009B1102" w:rsidP="0077390E">
      <w:pPr>
        <w:spacing w:after="120" w:line="288" w:lineRule="auto"/>
        <w:jc w:val="both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</w:pPr>
      <w:r w:rsidRPr="006457EA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lastRenderedPageBreak/>
        <w:t xml:space="preserve">3. </w:t>
      </w:r>
      <w:r w:rsidR="00BC7F6A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Da transformação de pessoas jurídicas de outra natureza em fundações de direito privado</w:t>
      </w:r>
    </w:p>
    <w:p w14:paraId="785C5ED8" w14:textId="096A9817" w:rsidR="0092107C" w:rsidRPr="00131573" w:rsidRDefault="00336705" w:rsidP="005F20B7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>À exceção</w:t>
      </w:r>
      <w:r>
        <w:rPr>
          <w:rFonts w:ascii="Arial Narrow" w:eastAsia="Calibri" w:hAnsi="Arial Narrow" w:cstheme="minorHAnsi"/>
          <w:sz w:val="24"/>
          <w:szCs w:val="24"/>
          <w:lang w:eastAsia="pt-BR"/>
        </w:rPr>
        <w:t>, por demais evidente,</w:t>
      </w: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das fundações de pesquisa e de doutrinação e educação política (por expressa e específica ressalva legal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7"/>
      </w: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>)</w:t>
      </w:r>
      <w:r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é </w:t>
      </w:r>
      <w:r w:rsidR="0092107C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polêmica a possibilidade de </w:t>
      </w:r>
      <w:r w:rsidR="00ED6DB3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conversão de </w:t>
      </w:r>
      <w:r w:rsidR="0092107C" w:rsidRPr="00131573">
        <w:rPr>
          <w:rFonts w:ascii="Arial Narrow" w:eastAsia="Calibri" w:hAnsi="Arial Narrow" w:cstheme="minorHAnsi"/>
          <w:sz w:val="24"/>
          <w:szCs w:val="24"/>
          <w:lang w:eastAsia="pt-BR"/>
        </w:rPr>
        <w:t>pessoas jurídicas de outra natureza</w:t>
      </w:r>
      <w:r w:rsidR="00ED6DB3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em </w:t>
      </w:r>
      <w:r w:rsidR="00C22181" w:rsidRPr="00131573">
        <w:rPr>
          <w:rFonts w:ascii="Arial Narrow" w:eastAsia="Calibri" w:hAnsi="Arial Narrow" w:cstheme="minorHAnsi"/>
          <w:sz w:val="24"/>
          <w:szCs w:val="24"/>
          <w:lang w:eastAsia="pt-BR"/>
        </w:rPr>
        <w:t>fundação de direito privado</w:t>
      </w:r>
      <w:r w:rsidR="0092107C" w:rsidRPr="00131573">
        <w:rPr>
          <w:rFonts w:ascii="Arial Narrow" w:eastAsia="Calibri" w:hAnsi="Arial Narrow" w:cstheme="minorHAnsi"/>
          <w:sz w:val="24"/>
          <w:szCs w:val="24"/>
          <w:lang w:eastAsia="pt-BR"/>
        </w:rPr>
        <w:t>.</w:t>
      </w:r>
    </w:p>
    <w:p w14:paraId="17409D20" w14:textId="29F5B6D5" w:rsidR="00336705" w:rsidRDefault="00ED6DB3" w:rsidP="005F20B7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125A7A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Há quem enxergue no artigo </w:t>
      </w:r>
      <w:r w:rsidR="000C5520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6</w:t>
      </w:r>
      <w:r w:rsidR="00775155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2</w:t>
      </w:r>
      <w:r w:rsidR="000C5520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do Código Civil</w:t>
      </w:r>
      <w:r w:rsidR="0043727D" w:rsidRPr="000F25BC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8"/>
      </w:r>
      <w:r w:rsidR="00A4049A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="00125A7A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uma única via</w:t>
      </w:r>
      <w:r w:rsidR="00A84569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(de duas faixas) </w:t>
      </w:r>
      <w:r w:rsidR="00A4049A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pela qual se possa </w:t>
      </w:r>
      <w:r w:rsidR="00775155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criar um </w:t>
      </w:r>
      <w:r w:rsidR="004F3B73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e</w:t>
      </w:r>
      <w:r w:rsidR="000E2B6E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nte fundacional:</w:t>
      </w:r>
      <w:r w:rsidR="00775155" w:rsidRPr="000F25BC">
        <w:t xml:space="preserve"> </w:t>
      </w:r>
      <w:r w:rsidR="00775155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por escritura pública ou testamento</w:t>
      </w:r>
      <w:r w:rsidR="00E81E63" w:rsidRPr="000F25BC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19"/>
      </w:r>
      <w:r w:rsidR="000C5520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.</w:t>
      </w:r>
      <w:r w:rsidR="009174CC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="000E2B6E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Tudo e apenas isto</w:t>
      </w:r>
      <w:r w:rsidR="00297B34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, em silêncio eloquente</w:t>
      </w:r>
      <w:r w:rsidR="00884346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0"/>
      </w:r>
      <w:r w:rsidR="00297B34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contrário à </w:t>
      </w:r>
      <w:r w:rsidR="00170B26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transformação. </w:t>
      </w:r>
      <w:r w:rsidR="00D7467A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Nesta direção, tenha-se </w:t>
      </w:r>
      <w:r w:rsidR="002436B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o disposto no </w:t>
      </w:r>
      <w:r w:rsidR="002436B0" w:rsidRPr="002436B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item 32 do Capítulo XVIII</w:t>
      </w:r>
      <w:r w:rsid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do </w:t>
      </w:r>
      <w:r w:rsidR="001E240B" w:rsidRP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Provimento </w:t>
      </w:r>
      <w:r w:rsid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n</w:t>
      </w:r>
      <w:r w:rsidR="001E240B" w:rsidRP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º 58/89</w:t>
      </w:r>
      <w:r w:rsid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da </w:t>
      </w:r>
      <w:r w:rsidR="001E240B" w:rsidRP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Corregedoria Geral </w:t>
      </w:r>
      <w:r w:rsid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d</w:t>
      </w:r>
      <w:r w:rsidR="001E240B" w:rsidRP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a Justiça</w:t>
      </w:r>
      <w:r w:rsid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do Estado de </w:t>
      </w:r>
      <w:r w:rsidR="001E240B" w:rsidRP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São Paulo</w:t>
      </w:r>
      <w:r w:rsid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(Normas de Serviço </w:t>
      </w:r>
      <w:r w:rsidR="00F53CFA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- </w:t>
      </w:r>
      <w:r w:rsidR="00F53CFA" w:rsidRPr="001E240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Cartórios Extrajudiciais</w:t>
      </w:r>
      <w:r w:rsidR="00F53CFA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– Tomo II)</w:t>
      </w:r>
      <w:r w:rsidR="001F27DF" w:rsidRPr="000F25BC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1"/>
      </w:r>
      <w:r w:rsidR="002436B0" w:rsidRPr="002436B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, </w:t>
      </w:r>
      <w:r w:rsidR="00250E01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que expressamente </w:t>
      </w:r>
      <w:r w:rsidR="002436B0" w:rsidRPr="002436B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veda a transformação de associação ou</w:t>
      </w:r>
      <w:r w:rsidR="001F27D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="002436B0" w:rsidRPr="002436B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fundação em sociedade</w:t>
      </w:r>
      <w:r w:rsidR="00EF1838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. Em dúvida registral</w:t>
      </w:r>
      <w:r w:rsidR="00C16AB6" w:rsidRPr="000F25BC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2"/>
      </w:r>
      <w:r w:rsidR="00EF1838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sobre a possibilidade em sentido inverso, isto é, de </w:t>
      </w:r>
      <w:r w:rsidR="002436B0" w:rsidRPr="002436B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transformação de sociedade em associação ou fundação</w:t>
      </w:r>
      <w:r w:rsidR="00EF1838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, o órgão correcional concluiu </w:t>
      </w:r>
      <w:r w:rsidR="00FB399D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tampouco ser possível. </w:t>
      </w:r>
    </w:p>
    <w:p w14:paraId="645530A9" w14:textId="756D0C74" w:rsidR="000D5CEB" w:rsidRDefault="00E32546" w:rsidP="005F20B7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Contrapõe-se </w:t>
      </w:r>
      <w:r w:rsidR="00B06FB7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tal disposição às demais constantes dos artigos 64</w:t>
      </w:r>
      <w:r w:rsidR="009363F2" w:rsidRPr="000F25BC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3"/>
      </w:r>
      <w:r w:rsidR="00B06FB7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e 20</w:t>
      </w:r>
      <w:r w:rsidR="00FA028B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33</w:t>
      </w:r>
      <w:r w:rsidR="009363F2" w:rsidRPr="000F25BC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4"/>
      </w:r>
      <w:r w:rsidR="00B06FB7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, ambos do mesmo diploma: o primeiro, prevê </w:t>
      </w:r>
      <w:r w:rsidR="00FA1B18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seja c</w:t>
      </w:r>
      <w:r w:rsidR="00B06FB7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onstituída a fundação por negócio jurídico entre vivos</w:t>
      </w:r>
      <w:r w:rsidR="00FA1B18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; o segundo, dispõe amplamente sobre </w:t>
      </w:r>
      <w:r w:rsidR="003A221C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as modificações dos atos constitutivos das pessoas jurídicas referidas no art. 44</w:t>
      </w:r>
      <w:r w:rsidR="00E84B32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5"/>
      </w:r>
      <w:r w:rsidR="003A221C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="000F25BC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(ali, pois, incluídas as fundações de direito privado)</w:t>
      </w:r>
      <w:r w:rsidR="003A221C"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.</w:t>
      </w:r>
      <w:r w:rsidR="00336705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="00AB0ED1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Sustenta-se que, em interpretação sistêmica, fundações poderiam sir ser criadas por negócio jurídico </w:t>
      </w:r>
      <w:r w:rsidR="005110AE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outro que não</w:t>
      </w:r>
      <w:r w:rsidR="00DF3042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os d</w:t>
      </w:r>
      <w:r w:rsidR="005110AE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aquelas vias estreitas do artigo 62 – o que justificaria mesmo a previsão legal </w:t>
      </w:r>
      <w:r w:rsidR="00DF3042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contida no artigo 2033</w:t>
      </w:r>
      <w:r w:rsidR="00E04222" w:rsidRPr="00780151">
        <w:rPr>
          <w:rStyle w:val="Refdenotadefim"/>
          <w:rFonts w:ascii="Arial Narrow" w:eastAsia="Calibri" w:hAnsi="Arial Narrow" w:cs="Times New Roman"/>
          <w:sz w:val="24"/>
          <w:szCs w:val="24"/>
        </w:rPr>
        <w:endnoteReference w:id="26"/>
      </w:r>
      <w:r w:rsidR="00D63DC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.</w:t>
      </w:r>
    </w:p>
    <w:p w14:paraId="0F8BBD67" w14:textId="6E1630A6" w:rsidR="000E2B6E" w:rsidRDefault="005B0A8F" w:rsidP="005F20B7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Neste sentido, </w:t>
      </w:r>
      <w:r w:rsidR="00953F64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a </w:t>
      </w:r>
      <w:r w:rsidR="00953F64" w:rsidRPr="00953F64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Corregedor</w:t>
      </w:r>
      <w:r w:rsidR="00953F64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ia</w:t>
      </w:r>
      <w:r w:rsidR="00953F64" w:rsidRPr="00953F64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-Geral da Justiça</w:t>
      </w:r>
      <w:r w:rsidR="00953F64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do Estado de Alagoas, </w:t>
      </w:r>
      <w:r w:rsidR="00F12D4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pelo </w:t>
      </w:r>
      <w:r w:rsidR="00F12D4F" w:rsidRPr="00F12D4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Des. Fernando Tourinho de </w:t>
      </w:r>
      <w:proofErr w:type="spellStart"/>
      <w:r w:rsidR="00F12D4F" w:rsidRPr="00F12D4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Omena</w:t>
      </w:r>
      <w:proofErr w:type="spellEnd"/>
      <w:r w:rsidR="00F12D4F" w:rsidRPr="00F12D4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Souza</w:t>
      </w:r>
      <w:r w:rsidR="00F12D4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, no âmbito dos a</w:t>
      </w:r>
      <w:r w:rsidRPr="005B0A8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utos n° 0000542-64.2020.8.02.0073</w:t>
      </w:r>
      <w:r w:rsidR="00F12D4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, </w:t>
      </w:r>
      <w:r w:rsid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no exercício de sua c</w:t>
      </w:r>
      <w:r w:rsidR="00D72079" w:rsidRP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ompetência para decidir </w:t>
      </w:r>
      <w:r w:rsid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s</w:t>
      </w:r>
      <w:r w:rsidR="00D72079" w:rsidRP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uscitações de </w:t>
      </w:r>
      <w:r w:rsid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d</w:t>
      </w:r>
      <w:r w:rsidR="00D72079" w:rsidRP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úvidas</w:t>
      </w:r>
      <w:r w:rsid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registrais, declarou a</w:t>
      </w:r>
      <w:r w:rsidR="00D72079" w:rsidRP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legalidade do</w:t>
      </w:r>
      <w:r w:rsid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="00D72079" w:rsidRPr="00D7207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procedimento de transformação da Sociedade Empresária em Fundação Privada</w:t>
      </w:r>
      <w:r w:rsidR="008C6D81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7"/>
      </w:r>
      <w:r w:rsidR="0009440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, entrevendo, apenas, que (1) </w:t>
      </w:r>
      <w:r w:rsidR="00287106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haja </w:t>
      </w:r>
      <w:r w:rsidR="00287106" w:rsidRPr="00287106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consentimento de todos os sócios, conforme prevê o art. 1.114</w:t>
      </w:r>
      <w:r w:rsidR="00825F5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do Código Civil</w:t>
      </w:r>
      <w:r w:rsidR="00287106" w:rsidRPr="00287106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="00287106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(2) </w:t>
      </w:r>
      <w:r w:rsidR="00825F5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não modifique ou prejudique </w:t>
      </w:r>
      <w:r w:rsidR="00287106" w:rsidRPr="00287106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direitos dos credores, conforme o art. 1.115, </w:t>
      </w:r>
      <w:r w:rsidR="00825F5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do mesmo diploma e (3) </w:t>
      </w:r>
      <w:r w:rsidR="0072218A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possua como finalidade uma das listadas no </w:t>
      </w:r>
      <w:r w:rsidR="0072218A" w:rsidRPr="0072218A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art. 61 </w:t>
      </w:r>
      <w:r w:rsidR="00287106" w:rsidRPr="00287106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do Código Civil de 2002. </w:t>
      </w:r>
    </w:p>
    <w:p w14:paraId="5548E374" w14:textId="0D05093A" w:rsidR="008F1E54" w:rsidRDefault="00266767" w:rsidP="005F20B7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No Estado do Rio de Janeiro, é de se recordar que </w:t>
      </w:r>
      <w:r w:rsidR="00C06E93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>a vedação se dá em sentido inverso, isto é, o que não se permite é a conversão de fundação em pessoa jurídica diversa, na esteira do artigo 73 da Resolução GPGJ 68/1979</w:t>
      </w:r>
      <w:r w:rsidR="00630E1B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8"/>
      </w:r>
      <w:r w:rsidR="00C06E93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 </w:t>
      </w:r>
      <w:r w:rsidR="00757201">
        <w:rPr>
          <w:rFonts w:ascii="Arial Narrow" w:eastAsia="Calibri" w:hAnsi="Arial Narrow" w:cstheme="minorHAnsi"/>
          <w:sz w:val="24"/>
          <w:szCs w:val="24"/>
          <w:lang w:eastAsia="pt-BR"/>
        </w:rPr>
        <w:t>admitida</w:t>
      </w:r>
      <w:r w:rsidR="00C06E93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exce</w:t>
      </w:r>
      <w:r w:rsidR="00757201">
        <w:rPr>
          <w:rFonts w:ascii="Arial Narrow" w:eastAsia="Calibri" w:hAnsi="Arial Narrow" w:cstheme="minorHAnsi"/>
          <w:sz w:val="24"/>
          <w:szCs w:val="24"/>
          <w:lang w:eastAsia="pt-BR"/>
        </w:rPr>
        <w:t>pcionalmente a</w:t>
      </w:r>
      <w:r w:rsidR="00C06E93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das fundações de pesquisa e de doutrinação e educação política (</w:t>
      </w:r>
      <w:r w:rsidR="00757201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isto </w:t>
      </w:r>
      <w:r w:rsidR="00C06E93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por </w:t>
      </w:r>
      <w:r w:rsidR="00757201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força, como dito, de </w:t>
      </w:r>
      <w:r w:rsidR="00C06E93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>expressa e específica ressalva legal</w:t>
      </w:r>
      <w:r w:rsidR="00630E1B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29"/>
      </w:r>
      <w:r w:rsidR="00C06E93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). </w:t>
      </w:r>
      <w:r w:rsidR="003D405E">
        <w:rPr>
          <w:rFonts w:ascii="Arial Narrow" w:eastAsia="Calibri" w:hAnsi="Arial Narrow" w:cstheme="minorHAnsi"/>
          <w:sz w:val="24"/>
          <w:szCs w:val="24"/>
          <w:lang w:eastAsia="pt-BR"/>
        </w:rPr>
        <w:t>Adrede, e</w:t>
      </w:r>
      <w:r w:rsidR="008F1E54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m precedente favorável lavrado pela Provedoria de Fundações da Capital do Ministério Público do Estado do Rio de Janeiro, </w:t>
      </w:r>
      <w:r w:rsidR="003341A6">
        <w:rPr>
          <w:rFonts w:ascii="Arial Narrow" w:eastAsia="Calibri" w:hAnsi="Arial Narrow" w:cstheme="minorHAnsi"/>
          <w:i/>
          <w:iCs/>
          <w:sz w:val="24"/>
          <w:szCs w:val="24"/>
          <w:lang w:eastAsia="pt-BR"/>
        </w:rPr>
        <w:t xml:space="preserve">ut </w:t>
      </w:r>
      <w:r w:rsidR="003341A6" w:rsidRPr="003341A6">
        <w:rPr>
          <w:rFonts w:ascii="Arial Narrow" w:eastAsia="Calibri" w:hAnsi="Arial Narrow" w:cstheme="minorHAnsi"/>
          <w:sz w:val="24"/>
          <w:szCs w:val="24"/>
          <w:lang w:eastAsia="pt-BR"/>
        </w:rPr>
        <w:t>procedimento administrativo N.º 2023.00111235</w:t>
      </w:r>
      <w:r w:rsidR="003341A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admitiu-se a </w:t>
      </w:r>
      <w:r w:rsidR="003D405E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conversão do </w:t>
      </w:r>
      <w:r w:rsidR="003D405E" w:rsidRPr="003341A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Instituto </w:t>
      </w:r>
      <w:r w:rsidR="003D405E">
        <w:rPr>
          <w:rFonts w:ascii="Arial Narrow" w:eastAsia="Calibri" w:hAnsi="Arial Narrow" w:cstheme="minorHAnsi"/>
          <w:sz w:val="24"/>
          <w:szCs w:val="24"/>
          <w:lang w:eastAsia="pt-BR"/>
        </w:rPr>
        <w:t>d</w:t>
      </w:r>
      <w:r w:rsidR="003D405E" w:rsidRPr="003341A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e Pesquisa </w:t>
      </w:r>
      <w:r w:rsidR="003D405E">
        <w:rPr>
          <w:rFonts w:ascii="Arial Narrow" w:eastAsia="Calibri" w:hAnsi="Arial Narrow" w:cstheme="minorHAnsi"/>
          <w:sz w:val="24"/>
          <w:szCs w:val="24"/>
          <w:lang w:eastAsia="pt-BR"/>
        </w:rPr>
        <w:t>e</w:t>
      </w:r>
      <w:r w:rsidR="003D405E" w:rsidRPr="003341A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m Educação </w:t>
      </w:r>
      <w:r w:rsidR="003D405E">
        <w:rPr>
          <w:rFonts w:ascii="Arial Narrow" w:eastAsia="Calibri" w:hAnsi="Arial Narrow" w:cstheme="minorHAnsi"/>
          <w:sz w:val="24"/>
          <w:szCs w:val="24"/>
          <w:lang w:eastAsia="pt-BR"/>
        </w:rPr>
        <w:t>e</w:t>
      </w:r>
      <w:r w:rsidR="003D405E" w:rsidRPr="003341A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Desenvolvimento Social</w:t>
      </w:r>
      <w:r w:rsidR="003D405E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em </w:t>
      </w:r>
      <w:r w:rsidR="001D68A3">
        <w:rPr>
          <w:rFonts w:ascii="Arial Narrow" w:eastAsia="Calibri" w:hAnsi="Arial Narrow" w:cstheme="minorHAnsi"/>
          <w:sz w:val="24"/>
          <w:szCs w:val="24"/>
          <w:lang w:eastAsia="pt-BR"/>
        </w:rPr>
        <w:t>f</w:t>
      </w:r>
      <w:r w:rsidR="003D405E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undação.  </w:t>
      </w:r>
    </w:p>
    <w:p w14:paraId="6C1E5FAE" w14:textId="6AC4E207" w:rsidR="00461166" w:rsidRDefault="00C4585F" w:rsidP="00461166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  <w:r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Recorde-se, também, do </w:t>
      </w:r>
      <w:proofErr w:type="spellStart"/>
      <w:r>
        <w:rPr>
          <w:rFonts w:ascii="Arial Narrow" w:eastAsia="Calibri" w:hAnsi="Arial Narrow" w:cstheme="minorHAnsi"/>
          <w:i/>
          <w:iCs/>
          <w:sz w:val="24"/>
          <w:szCs w:val="24"/>
          <w:lang w:eastAsia="pt-BR"/>
        </w:rPr>
        <w:t>leading</w:t>
      </w:r>
      <w:proofErr w:type="spellEnd"/>
      <w:r>
        <w:rPr>
          <w:rFonts w:ascii="Arial Narrow" w:eastAsia="Calibri" w:hAnsi="Arial Narrow" w:cstheme="minorHAnsi"/>
          <w:i/>
          <w:iCs/>
          <w:sz w:val="24"/>
          <w:szCs w:val="24"/>
          <w:lang w:eastAsia="pt-BR"/>
        </w:rPr>
        <w:t xml:space="preserve"> case </w:t>
      </w:r>
      <w:r w:rsidR="005147F7">
        <w:rPr>
          <w:rFonts w:ascii="Arial Narrow" w:eastAsia="Calibri" w:hAnsi="Arial Narrow" w:cstheme="minorHAnsi"/>
          <w:sz w:val="24"/>
          <w:szCs w:val="24"/>
          <w:lang w:eastAsia="pt-BR"/>
        </w:rPr>
        <w:t>referente à incorporação</w:t>
      </w:r>
      <w:r w:rsidR="00F04475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(ou fusão)</w:t>
      </w:r>
      <w:r w:rsidR="005147F7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da ONG</w:t>
      </w:r>
      <w:r w:rsidR="001C6919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proofErr w:type="spellStart"/>
      <w:r w:rsidR="001C6919" w:rsidRPr="00F04475">
        <w:rPr>
          <w:rFonts w:ascii="Arial Narrow" w:eastAsia="Calibri" w:hAnsi="Arial Narrow" w:cstheme="minorHAnsi"/>
          <w:i/>
          <w:iCs/>
          <w:sz w:val="24"/>
          <w:szCs w:val="24"/>
          <w:lang w:eastAsia="pt-BR"/>
        </w:rPr>
        <w:t>Save</w:t>
      </w:r>
      <w:proofErr w:type="spellEnd"/>
      <w:r w:rsidR="001C6919" w:rsidRPr="00F04475">
        <w:rPr>
          <w:rFonts w:ascii="Arial Narrow" w:eastAsia="Calibri" w:hAnsi="Arial Narrow" w:cstheme="minorHAnsi"/>
          <w:i/>
          <w:iCs/>
          <w:sz w:val="24"/>
          <w:szCs w:val="24"/>
          <w:lang w:eastAsia="pt-BR"/>
        </w:rPr>
        <w:t xml:space="preserve"> </w:t>
      </w:r>
      <w:proofErr w:type="spellStart"/>
      <w:r w:rsidR="001C6919" w:rsidRPr="00F04475">
        <w:rPr>
          <w:rFonts w:ascii="Arial Narrow" w:eastAsia="Calibri" w:hAnsi="Arial Narrow" w:cstheme="minorHAnsi"/>
          <w:i/>
          <w:iCs/>
          <w:sz w:val="24"/>
          <w:szCs w:val="24"/>
          <w:lang w:eastAsia="pt-BR"/>
        </w:rPr>
        <w:t>the</w:t>
      </w:r>
      <w:proofErr w:type="spellEnd"/>
      <w:r w:rsidR="001C6919" w:rsidRPr="00F04475">
        <w:rPr>
          <w:rFonts w:ascii="Arial Narrow" w:eastAsia="Calibri" w:hAnsi="Arial Narrow" w:cstheme="minorHAnsi"/>
          <w:i/>
          <w:iCs/>
          <w:sz w:val="24"/>
          <w:szCs w:val="24"/>
          <w:lang w:eastAsia="pt-BR"/>
        </w:rPr>
        <w:t xml:space="preserve"> </w:t>
      </w:r>
      <w:proofErr w:type="spellStart"/>
      <w:r w:rsidR="001C6919" w:rsidRPr="00F04475">
        <w:rPr>
          <w:rFonts w:ascii="Arial Narrow" w:eastAsia="Calibri" w:hAnsi="Arial Narrow" w:cstheme="minorHAnsi"/>
          <w:i/>
          <w:iCs/>
          <w:sz w:val="24"/>
          <w:szCs w:val="24"/>
          <w:lang w:eastAsia="pt-BR"/>
        </w:rPr>
        <w:t>Children</w:t>
      </w:r>
      <w:proofErr w:type="spellEnd"/>
      <w:r w:rsidR="001C6919" w:rsidRPr="00F04475">
        <w:rPr>
          <w:rFonts w:ascii="Arial Narrow" w:eastAsia="Calibri" w:hAnsi="Arial Narrow" w:cstheme="minorHAnsi"/>
          <w:i/>
          <w:iCs/>
          <w:sz w:val="24"/>
          <w:szCs w:val="24"/>
          <w:lang w:eastAsia="pt-BR"/>
        </w:rPr>
        <w:t xml:space="preserve"> </w:t>
      </w:r>
      <w:r w:rsidR="001C6919">
        <w:rPr>
          <w:rFonts w:ascii="Arial Narrow" w:eastAsia="Calibri" w:hAnsi="Arial Narrow" w:cstheme="minorHAnsi"/>
          <w:sz w:val="24"/>
          <w:szCs w:val="24"/>
          <w:lang w:eastAsia="pt-BR"/>
        </w:rPr>
        <w:t>pela</w:t>
      </w:r>
      <w:r w:rsidR="005147F7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1C6919" w:rsidRPr="001C6919">
        <w:rPr>
          <w:rFonts w:ascii="Arial Narrow" w:eastAsia="Calibri" w:hAnsi="Arial Narrow" w:cstheme="minorHAnsi"/>
          <w:sz w:val="24"/>
          <w:szCs w:val="24"/>
          <w:lang w:eastAsia="pt-BR"/>
        </w:rPr>
        <w:t>Fundação Abrinq pelos Direitos das Crianças e Adolescente</w:t>
      </w:r>
      <w:r w:rsidR="001C6919">
        <w:rPr>
          <w:rFonts w:ascii="Arial Narrow" w:eastAsia="Calibri" w:hAnsi="Arial Narrow" w:cstheme="minorHAnsi"/>
          <w:sz w:val="24"/>
          <w:szCs w:val="24"/>
          <w:lang w:eastAsia="pt-BR"/>
        </w:rPr>
        <w:t>s</w:t>
      </w:r>
      <w:r w:rsidR="00C83911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tida como </w:t>
      </w:r>
      <w:r w:rsidR="00C83911" w:rsidRPr="008E3D20">
        <w:rPr>
          <w:rFonts w:ascii="Arial Narrow" w:eastAsia="Calibri" w:hAnsi="Arial Narrow" w:cstheme="minorHAnsi"/>
          <w:sz w:val="24"/>
          <w:szCs w:val="24"/>
          <w:lang w:eastAsia="pt-BR"/>
        </w:rPr>
        <w:t>um avanço no relacionamento com organizações internacionais</w:t>
      </w:r>
      <w:r w:rsidR="00585F2C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0"/>
      </w:r>
      <w:r w:rsidR="00C83911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conquanto </w:t>
      </w:r>
      <w:r w:rsidR="00A5672E">
        <w:rPr>
          <w:rFonts w:ascii="Arial Narrow" w:eastAsia="Calibri" w:hAnsi="Arial Narrow" w:cstheme="minorHAnsi"/>
          <w:sz w:val="24"/>
          <w:szCs w:val="24"/>
          <w:lang w:eastAsia="pt-BR"/>
        </w:rPr>
        <w:t>não imune a críticas</w:t>
      </w:r>
      <w:r w:rsidR="00A5672E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1"/>
      </w:r>
      <w:r w:rsidR="00677C7C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. Tal </w:t>
      </w:r>
      <w:r w:rsidR="0047710A">
        <w:rPr>
          <w:rFonts w:ascii="Arial Narrow" w:eastAsia="Calibri" w:hAnsi="Arial Narrow" w:cstheme="minorHAnsi"/>
          <w:sz w:val="24"/>
          <w:szCs w:val="24"/>
          <w:lang w:eastAsia="pt-BR"/>
        </w:rPr>
        <w:t>tendência</w:t>
      </w:r>
      <w:r w:rsidR="00461166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2"/>
      </w:r>
      <w:r w:rsidR="0047710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de toda sorte, é </w:t>
      </w:r>
      <w:r w:rsidR="0047710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>vista</w:t>
      </w:r>
      <w:r w:rsidR="00D1062A" w:rsidRPr="00D1062A">
        <w:rPr>
          <w:rFonts w:ascii="Arial Narrow" w:hAnsi="Arial Narrow"/>
        </w:rPr>
        <w:t xml:space="preserve"> como um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aprofundamento das relações sociais capitalistas e o incentivo dos países</w:t>
      </w:r>
      <w:r w:rsidR="00D1062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centrais </w:t>
      </w:r>
      <w:r w:rsidR="00196344">
        <w:rPr>
          <w:rFonts w:ascii="Arial Narrow" w:eastAsia="Calibri" w:hAnsi="Arial Narrow" w:cstheme="minorHAnsi"/>
          <w:sz w:val="24"/>
          <w:szCs w:val="24"/>
          <w:lang w:eastAsia="pt-BR"/>
        </w:rPr>
        <w:t>à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aproximação com o setor privado</w:t>
      </w:r>
      <w:r w:rsidR="00196344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</w:t>
      </w:r>
      <w:proofErr w:type="gramStart"/>
      <w:r w:rsidR="00196344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criando 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>uma nova</w:t>
      </w:r>
      <w:proofErr w:type="gramEnd"/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característica ao</w:t>
      </w:r>
      <w:r w:rsidR="00D1062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terceiro setor, </w:t>
      </w:r>
      <w:r w:rsidR="00196344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com 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fusões </w:t>
      </w:r>
      <w:r w:rsidR="00196344">
        <w:rPr>
          <w:rFonts w:ascii="Arial Narrow" w:eastAsia="Calibri" w:hAnsi="Arial Narrow" w:cstheme="minorHAnsi"/>
          <w:sz w:val="24"/>
          <w:szCs w:val="24"/>
          <w:lang w:eastAsia="pt-BR"/>
        </w:rPr>
        <w:t>para p</w:t>
      </w:r>
      <w:r w:rsidR="00461166">
        <w:rPr>
          <w:rFonts w:ascii="Arial Narrow" w:eastAsia="Calibri" w:hAnsi="Arial Narrow" w:cstheme="minorHAnsi"/>
          <w:sz w:val="24"/>
          <w:szCs w:val="24"/>
          <w:lang w:eastAsia="pt-BR"/>
        </w:rPr>
        <w:t>r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opiciar a entrada facilitada de 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lastRenderedPageBreak/>
        <w:t xml:space="preserve">organizações </w:t>
      </w:r>
      <w:r w:rsidR="0046116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internacionais 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>no país, não mais para executar</w:t>
      </w:r>
      <w:r w:rsidR="0046116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>projetos pontuais, agora entram para disputar o fundo público por dentro das políticas</w:t>
      </w:r>
      <w:r w:rsidR="0046116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D1062A" w:rsidRPr="00D1062A">
        <w:rPr>
          <w:rFonts w:ascii="Arial Narrow" w:eastAsia="Calibri" w:hAnsi="Arial Narrow" w:cstheme="minorHAnsi"/>
          <w:sz w:val="24"/>
          <w:szCs w:val="24"/>
          <w:lang w:eastAsia="pt-BR"/>
        </w:rPr>
        <w:t>sociais brasileiras</w:t>
      </w:r>
      <w:r w:rsidR="00461166">
        <w:rPr>
          <w:rFonts w:ascii="Arial Narrow" w:eastAsia="Calibri" w:hAnsi="Arial Narrow" w:cstheme="minorHAnsi"/>
          <w:sz w:val="24"/>
          <w:szCs w:val="24"/>
          <w:lang w:eastAsia="pt-BR"/>
        </w:rPr>
        <w:t>.</w:t>
      </w:r>
    </w:p>
    <w:p w14:paraId="2B98F5A1" w14:textId="1199812A" w:rsidR="00ED3113" w:rsidRDefault="00ED3113" w:rsidP="00461166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  <w:r w:rsidRPr="00F94E5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Reconheça-se, de todo modo, que a transformação de uma entidade não fundacional em fundacional </w:t>
      </w:r>
      <w:r w:rsidR="00EF3B49" w:rsidRPr="00F94E5B">
        <w:rPr>
          <w:rFonts w:ascii="Arial Narrow" w:eastAsia="Calibri" w:hAnsi="Arial Narrow" w:cstheme="minorHAnsi"/>
          <w:sz w:val="24"/>
          <w:szCs w:val="24"/>
          <w:lang w:eastAsia="pt-BR"/>
        </w:rPr>
        <w:t>tende a publicizar o patrimônio envolvido</w:t>
      </w:r>
      <w:r w:rsidR="00817FD6" w:rsidRPr="00F94E5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preservando, em última análise, os fins sociais a que se pretende dedicar </w:t>
      </w:r>
      <w:r w:rsidR="00F94E5B" w:rsidRPr="00F94E5B">
        <w:rPr>
          <w:rFonts w:ascii="Arial Narrow" w:eastAsia="Calibri" w:hAnsi="Arial Narrow" w:cstheme="minorHAnsi"/>
          <w:sz w:val="24"/>
          <w:szCs w:val="24"/>
          <w:lang w:eastAsia="pt-BR"/>
        </w:rPr>
        <w:t>seu patrimônio</w:t>
      </w:r>
      <w:r w:rsidR="00AA460B">
        <w:rPr>
          <w:rFonts w:ascii="Arial Narrow" w:eastAsia="Calibri" w:hAnsi="Arial Narrow" w:cstheme="minorHAnsi"/>
          <w:sz w:val="24"/>
          <w:szCs w:val="24"/>
          <w:lang w:eastAsia="pt-BR"/>
        </w:rPr>
        <w:t>.</w:t>
      </w:r>
      <w:r w:rsidR="000760DD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Não há, assim, privatização de bens dedicados ao coletivo, mas o inverso – o que sensibiliza </w:t>
      </w:r>
      <w:r w:rsidR="00A8667B">
        <w:rPr>
          <w:rFonts w:ascii="Arial Narrow" w:eastAsia="Calibri" w:hAnsi="Arial Narrow" w:cstheme="minorHAnsi"/>
          <w:sz w:val="24"/>
          <w:szCs w:val="24"/>
          <w:lang w:eastAsia="pt-BR"/>
        </w:rPr>
        <w:t>a seu favor tal metamorfose</w:t>
      </w:r>
      <w:r w:rsidR="00A52475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3"/>
      </w:r>
      <w:r w:rsidR="00A8667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. </w:t>
      </w:r>
    </w:p>
    <w:p w14:paraId="074BB434" w14:textId="77777777" w:rsidR="00ED3113" w:rsidRPr="00D1062A" w:rsidRDefault="00ED3113" w:rsidP="00461166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</w:p>
    <w:p w14:paraId="644B59BC" w14:textId="4B8FCD35" w:rsidR="00C851A3" w:rsidRPr="004272C0" w:rsidRDefault="00A43F68" w:rsidP="0077390E">
      <w:pPr>
        <w:shd w:val="clear" w:color="auto" w:fill="FFFFFF"/>
        <w:spacing w:after="120" w:line="288" w:lineRule="auto"/>
        <w:jc w:val="both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</w:pPr>
      <w:r w:rsidRPr="004272C0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4</w:t>
      </w:r>
      <w:r w:rsidR="00980F25" w:rsidRPr="004272C0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. </w:t>
      </w:r>
      <w:r w:rsidR="00FC63C9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Da transformação de</w:t>
      </w:r>
      <w:r w:rsidR="00FC63C9" w:rsidRPr="00FC63C9">
        <w:t xml:space="preserve"> </w:t>
      </w:r>
      <w:r w:rsidR="00FC63C9" w:rsidRPr="00FC63C9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fundações de direito privado</w:t>
      </w:r>
      <w:r w:rsidR="00FC63C9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 em pessoas jurídicas de outra natureza </w:t>
      </w:r>
    </w:p>
    <w:p w14:paraId="1CAD6320" w14:textId="08896949" w:rsidR="00D46464" w:rsidRDefault="006B2A72" w:rsidP="005A1484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  <w:r w:rsidRPr="00131573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Ainda mais funda a</w:t>
      </w:r>
      <w:r w:rsidR="00D46464" w:rsidRPr="0013157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polêmica </w:t>
      </w:r>
      <w:r w:rsidRPr="0013157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acerca d</w:t>
      </w:r>
      <w:r w:rsidR="00D46464" w:rsidRPr="0013157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a possibilidade de </w:t>
      </w:r>
      <w:r w:rsidR="00D46464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conversão de </w:t>
      </w:r>
      <w:r w:rsidR="00B75567" w:rsidRPr="00131573">
        <w:rPr>
          <w:rFonts w:ascii="Arial Narrow" w:eastAsia="Calibri" w:hAnsi="Arial Narrow" w:cstheme="minorHAnsi"/>
          <w:sz w:val="24"/>
          <w:szCs w:val="24"/>
          <w:lang w:eastAsia="pt-BR"/>
        </w:rPr>
        <w:t>fundação de direito privado em pessoas jurídicas de outra natureza</w:t>
      </w:r>
      <w:r w:rsidR="00D646DE" w:rsidRPr="00131573">
        <w:rPr>
          <w:rFonts w:ascii="Arial Narrow" w:eastAsia="Calibri" w:hAnsi="Arial Narrow" w:cstheme="minorHAnsi"/>
          <w:sz w:val="24"/>
          <w:szCs w:val="24"/>
          <w:lang w:eastAsia="pt-BR"/>
        </w:rPr>
        <w:t>, à</w:t>
      </w:r>
      <w:r w:rsidR="00D646DE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exceção</w:t>
      </w:r>
      <w:r w:rsidR="00D646DE">
        <w:rPr>
          <w:rFonts w:ascii="Arial Narrow" w:eastAsia="Calibri" w:hAnsi="Arial Narrow" w:cstheme="minorHAnsi"/>
          <w:sz w:val="24"/>
          <w:szCs w:val="24"/>
          <w:lang w:eastAsia="pt-BR"/>
        </w:rPr>
        <w:t>, repita-se</w:t>
      </w:r>
      <w:r w:rsidR="00A8667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uma vez mais</w:t>
      </w:r>
      <w:r w:rsidR="00D646DE">
        <w:rPr>
          <w:rFonts w:ascii="Arial Narrow" w:eastAsia="Calibri" w:hAnsi="Arial Narrow" w:cstheme="minorHAnsi"/>
          <w:sz w:val="24"/>
          <w:szCs w:val="24"/>
          <w:lang w:eastAsia="pt-BR"/>
        </w:rPr>
        <w:t>,</w:t>
      </w:r>
      <w:r w:rsidR="00D646DE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das fundações de pesquisa e de doutrinação e educação política (por expressa e específica ressalva legal</w:t>
      </w:r>
      <w:r w:rsidR="00D646DE"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4"/>
      </w:r>
      <w:r w:rsidR="00D646DE" w:rsidRPr="00ED6DB3">
        <w:rPr>
          <w:rFonts w:ascii="Arial Narrow" w:eastAsia="Calibri" w:hAnsi="Arial Narrow" w:cstheme="minorHAnsi"/>
          <w:sz w:val="24"/>
          <w:szCs w:val="24"/>
          <w:lang w:eastAsia="pt-BR"/>
        </w:rPr>
        <w:t>)</w:t>
      </w:r>
      <w:r w:rsidR="00805F3E">
        <w:rPr>
          <w:rFonts w:ascii="Arial Narrow" w:eastAsia="Calibri" w:hAnsi="Arial Narrow" w:cstheme="minorHAnsi"/>
          <w:sz w:val="24"/>
          <w:szCs w:val="24"/>
          <w:lang w:eastAsia="pt-BR"/>
        </w:rPr>
        <w:t>.</w:t>
      </w:r>
    </w:p>
    <w:p w14:paraId="356313A1" w14:textId="514EC193" w:rsidR="00805F3E" w:rsidRDefault="00805F3E" w:rsidP="005A1484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  <w:r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De fato, há quem, em leitura isolada do artigo </w:t>
      </w:r>
      <w:r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2033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do Código Civil</w:t>
      </w:r>
      <w:r w:rsidRPr="000F25BC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5"/>
      </w:r>
      <w:r w:rsidR="00C20BB9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-</w:t>
      </w:r>
      <w:r w:rsidR="00C20BB9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6"/>
      </w:r>
      <w:r w:rsidRPr="000F25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, 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conclua, precipitadamente, que </w:t>
      </w:r>
      <w:r w:rsidR="007C27D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a clareza do diploma seria cristalina em permitir que fundações, enquanto </w:t>
      </w:r>
      <w:r w:rsidR="006F582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elencadas no artigo 44 do </w:t>
      </w:r>
      <w:r w:rsidR="006F5823" w:rsidRPr="0047761B">
        <w:rPr>
          <w:rFonts w:ascii="Arial Narrow" w:eastAsia="Times New Roman" w:hAnsi="Arial Narrow" w:cs="Calibri"/>
          <w:i/>
          <w:iCs/>
          <w:color w:val="000000"/>
          <w:sz w:val="24"/>
          <w:szCs w:val="24"/>
          <w:lang w:eastAsia="pt-BR"/>
        </w:rPr>
        <w:t>Codex</w:t>
      </w:r>
      <w:r w:rsidR="006F582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, poderia sofrer tais mutações, </w:t>
      </w:r>
      <w:r w:rsidR="00796038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livremente transformando-se, fundindo-se, cindindo-se ou </w:t>
      </w:r>
      <w:r w:rsidR="0047761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se incorporando em pessoas jurídicas de outra natureza. Est</w:t>
      </w:r>
      <w:r w:rsidR="00D6117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a</w:t>
      </w:r>
      <w:r w:rsidR="0047761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, aliás,</w:t>
      </w:r>
      <w:r w:rsidR="00D6117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parece ser a conclusão </w:t>
      </w:r>
      <w:r w:rsidR="005423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implícita </w:t>
      </w:r>
      <w:r w:rsidR="00D6117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d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a </w:t>
      </w:r>
      <w:r w:rsidRPr="00953F64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Corregedor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ia</w:t>
      </w:r>
      <w:r w:rsidRPr="00953F64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-Geral da Justiça</w:t>
      </w: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do Estado de Alagoas, no âmbito dos a</w:t>
      </w:r>
      <w:r w:rsidRPr="005B0A8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utos n° 0000542-64.2020.8.02.0073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7"/>
      </w:r>
      <w:r w:rsidRPr="00287106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.</w:t>
      </w:r>
      <w:r w:rsidR="005423B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</w:p>
    <w:p w14:paraId="42C07786" w14:textId="3E659F27" w:rsidR="00D46464" w:rsidRDefault="00D46464" w:rsidP="005A1484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5423BC">
        <w:rPr>
          <w:rFonts w:ascii="Arial Narrow" w:eastAsia="Calibri" w:hAnsi="Arial Narrow" w:cstheme="minorHAnsi"/>
          <w:sz w:val="24"/>
          <w:szCs w:val="24"/>
          <w:lang w:eastAsia="pt-BR"/>
        </w:rPr>
        <w:t>Entretanto, h</w:t>
      </w:r>
      <w:r w:rsidRPr="00600D5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á quem </w:t>
      </w:r>
      <w:r w:rsidR="00B1787A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vislumbre,</w:t>
      </w:r>
      <w:r w:rsidRPr="00600D5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no artigo 69 do Código Civil em sua forma combinada com o artigo 1204 do Código de Processo Civil</w:t>
      </w:r>
      <w:r w:rsidR="00B1787A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,</w:t>
      </w:r>
      <w:r w:rsidRPr="00600D5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uma única via pela qual se possa dar fim ao ente fundacional: quando sua finalidade se tornar “ilícita, impossível ou inútil”, ou se o prazo da existência dessa instituição estiver vencido, o órgão do Ministério Público promoverá a respectiva extinção. Tudo e apenas isto, em silêncio eloquente</w:t>
      </w:r>
      <w:r w:rsidR="00884346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Pr="00600D5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contrário à </w:t>
      </w:r>
      <w:r w:rsidR="00D63DC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transformação - </w:t>
      </w:r>
      <w:r w:rsidR="00D63DCF" w:rsidRPr="00D63DC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o que, </w:t>
      </w:r>
      <w:r w:rsidR="006842FE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por sua vez, </w:t>
      </w:r>
      <w:r w:rsidR="00D63DCF" w:rsidRPr="00D63DC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de algum modo, </w:t>
      </w:r>
      <w:r w:rsidR="006842FE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contraria </w:t>
      </w:r>
      <w:r w:rsidR="00D63DCF" w:rsidRPr="00D63DC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o </w:t>
      </w:r>
      <w:r w:rsidR="006842FE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disposto no </w:t>
      </w:r>
      <w:r w:rsidR="00D63DCF" w:rsidRPr="00D63DC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artigo 1.113</w:t>
      </w:r>
      <w:r w:rsidR="006842FE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(</w:t>
      </w:r>
      <w:r w:rsidR="00D63DCF" w:rsidRPr="00D63DC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ao anunciar que “o ato de transformação independe de dissolução ou liquidação da sociedade, e obedecerá aos preceitos reguladores da constituição e inscrição próprios do tipo em que vai converter-se”</w:t>
      </w:r>
      <w:r w:rsidR="006842FE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)</w:t>
      </w:r>
      <w:r w:rsidR="00D63DCF" w:rsidRPr="00D63DC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.</w:t>
      </w:r>
    </w:p>
    <w:p w14:paraId="67240CDA" w14:textId="306A568C" w:rsidR="005423BC" w:rsidRDefault="005423BC" w:rsidP="005A1484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A correta interpretação intrassistêmica</w:t>
      </w:r>
      <w:r w:rsidR="00530CA4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, sob tal prisma, é a de que se admitem transformações d</w:t>
      </w:r>
      <w:r w:rsidR="006046F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as</w:t>
      </w:r>
      <w:r w:rsidR="00530CA4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</w:t>
      </w:r>
      <w:r w:rsidR="006046F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pessoas jurídicas elencadas no artigo 44, mas não em todas as direções e em irrestrita extensão. </w:t>
      </w:r>
      <w:r w:rsidR="00EC721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U</w:t>
      </w:r>
      <w:r w:rsidR="002303BB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ma associação civil poderia, por exemplo, transformar-se em fundação, mas não o reverso. </w:t>
      </w:r>
      <w:r w:rsidR="00EC721C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Uma fundação poderia fundir-se com outra, mas não com </w:t>
      </w:r>
      <w:r w:rsidR="002D52DA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uma associação civil. </w:t>
      </w:r>
      <w:r w:rsidR="002C70D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Sob pena de contundente incongruência </w:t>
      </w:r>
      <w:proofErr w:type="spellStart"/>
      <w:r w:rsidR="002C70D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intralegal</w:t>
      </w:r>
      <w:proofErr w:type="spellEnd"/>
      <w:r w:rsidR="002C70DF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, </w:t>
      </w:r>
      <w:r w:rsidR="002D52DA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portanto, </w:t>
      </w:r>
      <w:r w:rsidR="00AA49E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a exegese do dispositivo legal não pode ferir de morte o microssistema fundacional. </w:t>
      </w:r>
    </w:p>
    <w:p w14:paraId="5E31247A" w14:textId="41E63AA8" w:rsidR="00221FC4" w:rsidRDefault="00600D50" w:rsidP="005A1484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Como dito, no Estado do Rio de Janeiro, </w:t>
      </w:r>
      <w:r w:rsidR="00D578D0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consta </w:t>
      </w: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vedação </w:t>
      </w:r>
      <w:r w:rsidR="00D578D0">
        <w:rPr>
          <w:rFonts w:ascii="Arial Narrow" w:eastAsia="Calibri" w:hAnsi="Arial Narrow" w:cstheme="minorHAnsi"/>
          <w:sz w:val="24"/>
          <w:szCs w:val="24"/>
          <w:lang w:eastAsia="pt-BR"/>
        </w:rPr>
        <w:t>expressa de</w:t>
      </w: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conversão de fundação em pessoa jurídica diversa</w:t>
      </w:r>
      <w:r w:rsidR="00D578D0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(</w:t>
      </w: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>artigo 73 da Resolução GPGJ 68/1979</w:t>
      </w:r>
      <w:r w:rsidRPr="00002477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8"/>
      </w:r>
      <w:r w:rsidR="00D578D0">
        <w:rPr>
          <w:rFonts w:ascii="Arial Narrow" w:eastAsia="Calibri" w:hAnsi="Arial Narrow" w:cstheme="minorHAnsi"/>
          <w:sz w:val="24"/>
          <w:szCs w:val="24"/>
          <w:lang w:eastAsia="pt-BR"/>
        </w:rPr>
        <w:t>)</w:t>
      </w: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>,</w:t>
      </w:r>
      <w:r w:rsidR="0049490C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jamais tendo sido </w:t>
      </w:r>
      <w:r w:rsidRPr="00ED6DB3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 </w:t>
      </w:r>
      <w:r w:rsidR="0049490C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tal </w:t>
      </w:r>
      <w:r w:rsidR="0049490C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dispositivo sequer desafiado judicialmente, a despeito de sua longevidade. </w:t>
      </w:r>
      <w:r w:rsidR="007178A4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>Seu fundamento lógico-sistemático está</w:t>
      </w:r>
      <w:r w:rsidR="009D2302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na contraposição entre ontologias e regimes jurídicos incompatíveis entre si: </w:t>
      </w:r>
      <w:r w:rsidR="00EF3B49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>se, na fundação, o patrimônio é posto em ação</w:t>
      </w:r>
      <w:r w:rsidR="005A0D53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>, sem que doravante pertença a ninguém, as associações e afins possuem sim seus titulares, com direito a quinhão dos bens</w:t>
      </w:r>
      <w:r w:rsidR="00906BB8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associativos.</w:t>
      </w:r>
      <w:r w:rsidR="00535FF6" w:rsidRPr="00A1561B">
        <w:t xml:space="preserve"> </w:t>
      </w:r>
      <w:r w:rsidR="00535FF6" w:rsidRPr="00A1561B">
        <w:rPr>
          <w:rFonts w:ascii="Arial Narrow" w:hAnsi="Arial Narrow"/>
          <w:sz w:val="24"/>
          <w:szCs w:val="24"/>
        </w:rPr>
        <w:t xml:space="preserve">Noutras palavras, </w:t>
      </w:r>
      <w:r w:rsidR="00535FF6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>se o patrimônio foi estimulado pelo Estado, por benefícios</w:t>
      </w:r>
      <w:r w:rsidR="000F25B1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legais diversos</w:t>
      </w:r>
      <w:r w:rsidR="00535FF6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para </w:t>
      </w:r>
      <w:r w:rsidR="00535FF6" w:rsidRPr="00A1561B">
        <w:rPr>
          <w:rFonts w:ascii="Arial Narrow" w:eastAsia="Calibri" w:hAnsi="Arial Narrow" w:cstheme="minorHAnsi"/>
          <w:sz w:val="24"/>
          <w:szCs w:val="24"/>
          <w:lang w:eastAsia="pt-BR"/>
        </w:rPr>
        <w:lastRenderedPageBreak/>
        <w:t>atingir determinada finalidade</w:t>
      </w:r>
      <w:r w:rsidR="000F25B1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de interesse social</w:t>
      </w:r>
      <w:r w:rsidR="00535FF6" w:rsidRPr="00A1561B">
        <w:rPr>
          <w:rFonts w:ascii="Arial Narrow" w:eastAsia="Calibri" w:hAnsi="Arial Narrow" w:cstheme="minorHAnsi"/>
          <w:sz w:val="24"/>
          <w:szCs w:val="24"/>
          <w:lang w:eastAsia="pt-BR"/>
        </w:rPr>
        <w:t>, deve</w:t>
      </w:r>
      <w:r w:rsidR="00B91809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tal</w:t>
      </w:r>
      <w:r w:rsidR="00535FF6" w:rsidRPr="00535FF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patrimônio ser mantid</w:t>
      </w:r>
      <w:r w:rsidR="00B91809">
        <w:rPr>
          <w:rFonts w:ascii="Arial Narrow" w:eastAsia="Calibri" w:hAnsi="Arial Narrow" w:cstheme="minorHAnsi"/>
          <w:sz w:val="24"/>
          <w:szCs w:val="24"/>
          <w:lang w:eastAsia="pt-BR"/>
        </w:rPr>
        <w:t>o</w:t>
      </w:r>
      <w:r w:rsidR="00535FF6" w:rsidRPr="00535FF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637D81">
        <w:rPr>
          <w:rFonts w:ascii="Arial Narrow" w:eastAsia="Calibri" w:hAnsi="Arial Narrow" w:cstheme="minorHAnsi"/>
          <w:sz w:val="24"/>
          <w:szCs w:val="24"/>
          <w:lang w:eastAsia="pt-BR"/>
        </w:rPr>
        <w:t>com tal característica essencial</w:t>
      </w:r>
      <w:r w:rsidR="00535FF6" w:rsidRPr="00535FF6">
        <w:rPr>
          <w:rFonts w:ascii="Arial Narrow" w:eastAsia="Calibri" w:hAnsi="Arial Narrow" w:cstheme="minorHAnsi"/>
          <w:sz w:val="24"/>
          <w:szCs w:val="24"/>
          <w:lang w:eastAsia="pt-BR"/>
        </w:rPr>
        <w:t>.</w:t>
      </w:r>
      <w:r w:rsidR="00824EBB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</w:p>
    <w:p w14:paraId="0C8CAE14" w14:textId="60CDFB88" w:rsidR="00600D50" w:rsidRDefault="001020C9" w:rsidP="005A1484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  <w:r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Nesta direção, </w:t>
      </w:r>
      <w:r w:rsidR="00520DBE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confrontando regimes incompatíveis para eventual transformação, tenha-se </w:t>
      </w:r>
      <w:r w:rsidR="007E618E">
        <w:rPr>
          <w:rFonts w:ascii="Arial Narrow" w:eastAsia="Calibri" w:hAnsi="Arial Narrow" w:cstheme="minorHAnsi"/>
          <w:sz w:val="24"/>
          <w:szCs w:val="24"/>
          <w:lang w:eastAsia="pt-BR"/>
        </w:rPr>
        <w:t>o artigo “</w:t>
      </w:r>
      <w:r w:rsidR="007E618E" w:rsidRPr="00EF2C9D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A Operação </w:t>
      </w:r>
      <w:r w:rsidR="007E618E">
        <w:rPr>
          <w:rFonts w:ascii="Arial Narrow" w:eastAsia="Calibri" w:hAnsi="Arial Narrow" w:cstheme="minorHAnsi"/>
          <w:sz w:val="24"/>
          <w:szCs w:val="24"/>
          <w:lang w:eastAsia="pt-BR"/>
        </w:rPr>
        <w:t>d</w:t>
      </w:r>
      <w:r w:rsidR="007E618E" w:rsidRPr="00EF2C9D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e Transformação Societária </w:t>
      </w:r>
      <w:r w:rsidR="007E618E">
        <w:rPr>
          <w:rFonts w:ascii="Arial Narrow" w:eastAsia="Calibri" w:hAnsi="Arial Narrow" w:cstheme="minorHAnsi"/>
          <w:sz w:val="24"/>
          <w:szCs w:val="24"/>
          <w:lang w:eastAsia="pt-BR"/>
        </w:rPr>
        <w:t>d</w:t>
      </w:r>
      <w:r w:rsidR="007E618E" w:rsidRPr="00EF2C9D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e Associações </w:t>
      </w:r>
      <w:r w:rsidR="007E618E">
        <w:rPr>
          <w:rFonts w:ascii="Arial Narrow" w:eastAsia="Calibri" w:hAnsi="Arial Narrow" w:cstheme="minorHAnsi"/>
          <w:sz w:val="24"/>
          <w:szCs w:val="24"/>
          <w:lang w:eastAsia="pt-BR"/>
        </w:rPr>
        <w:t>e</w:t>
      </w:r>
      <w:r w:rsidR="007E618E" w:rsidRPr="00EF2C9D">
        <w:rPr>
          <w:rFonts w:ascii="Arial Narrow" w:eastAsia="Calibri" w:hAnsi="Arial Narrow" w:cstheme="minorHAnsi"/>
          <w:sz w:val="24"/>
          <w:szCs w:val="24"/>
          <w:lang w:eastAsia="pt-BR"/>
        </w:rPr>
        <w:t>m Sociedade Anônima: Uma Crítica Possível</w:t>
      </w:r>
      <w:r w:rsidR="007E618E">
        <w:rPr>
          <w:rFonts w:ascii="Arial Narrow" w:eastAsia="Calibri" w:hAnsi="Arial Narrow" w:cstheme="minorHAnsi"/>
          <w:sz w:val="24"/>
          <w:szCs w:val="24"/>
          <w:lang w:eastAsia="pt-BR"/>
        </w:rPr>
        <w:t>”</w:t>
      </w:r>
      <w:r w:rsidR="00E54540" w:rsidRPr="00E54540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E54540" w:rsidRPr="00485CA0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39"/>
      </w:r>
      <w:r w:rsidR="007E618E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EF2C9D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por </w:t>
      </w:r>
      <w:r w:rsidR="00EF2C9D" w:rsidRPr="00EF2C9D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Fernando Ferreira </w:t>
      </w:r>
      <w:proofErr w:type="spellStart"/>
      <w:r w:rsidR="00EF2C9D" w:rsidRPr="00EF2C9D">
        <w:rPr>
          <w:rFonts w:ascii="Arial Narrow" w:eastAsia="Calibri" w:hAnsi="Arial Narrow" w:cstheme="minorHAnsi"/>
          <w:sz w:val="24"/>
          <w:szCs w:val="24"/>
          <w:lang w:eastAsia="pt-BR"/>
        </w:rPr>
        <w:t>Castellani</w:t>
      </w:r>
      <w:proofErr w:type="spellEnd"/>
      <w:r w:rsidR="00EF2C9D" w:rsidRPr="00EF2C9D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 </w:t>
      </w:r>
      <w:r w:rsidR="00EF2C9D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e </w:t>
      </w:r>
      <w:r w:rsidR="00EF2C9D" w:rsidRPr="00EF2C9D">
        <w:rPr>
          <w:rFonts w:ascii="Arial Narrow" w:eastAsia="Calibri" w:hAnsi="Arial Narrow" w:cstheme="minorHAnsi"/>
          <w:sz w:val="24"/>
          <w:szCs w:val="24"/>
          <w:lang w:eastAsia="pt-BR"/>
        </w:rPr>
        <w:t>Sávio Rui Brabo de Araújo</w:t>
      </w:r>
      <w:r w:rsidR="00EF2C9D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, que assim concluem: </w:t>
      </w:r>
    </w:p>
    <w:p w14:paraId="5193D9EA" w14:textId="77777777" w:rsidR="007E618E" w:rsidRPr="007E618E" w:rsidRDefault="007E618E" w:rsidP="007E618E">
      <w:pPr>
        <w:tabs>
          <w:tab w:val="left" w:pos="142"/>
          <w:tab w:val="left" w:pos="851"/>
        </w:tabs>
        <w:spacing w:after="120" w:line="288" w:lineRule="auto"/>
        <w:ind w:left="2268"/>
        <w:jc w:val="both"/>
        <w:outlineLvl w:val="0"/>
        <w:rPr>
          <w:rFonts w:ascii="Arial Narrow" w:eastAsia="Calibri" w:hAnsi="Arial Narrow" w:cstheme="minorHAnsi"/>
          <w:lang w:eastAsia="pt-BR"/>
        </w:rPr>
      </w:pPr>
      <w:r w:rsidRPr="007E618E">
        <w:rPr>
          <w:rFonts w:ascii="Arial Narrow" w:eastAsia="Calibri" w:hAnsi="Arial Narrow" w:cstheme="minorHAnsi"/>
          <w:lang w:eastAsia="pt-BR"/>
        </w:rPr>
        <w:t xml:space="preserve">Essa condição faz com que o Estado ofereça tratamento diferenciado e privilegiado à tais associações, variando para maior ou menor expressão, a depender de seu caráter beneficente de interesse social, classista ou egoística. Em todas elas, contudo, o Estado promove seu desenvolvimento, sendo suportado tal benefício e incentivo por toda a sociedade. </w:t>
      </w:r>
    </w:p>
    <w:p w14:paraId="301BCFA8" w14:textId="77777777" w:rsidR="007E618E" w:rsidRPr="007E618E" w:rsidRDefault="007E618E" w:rsidP="007E618E">
      <w:pPr>
        <w:tabs>
          <w:tab w:val="left" w:pos="142"/>
          <w:tab w:val="left" w:pos="851"/>
        </w:tabs>
        <w:spacing w:after="120" w:line="288" w:lineRule="auto"/>
        <w:ind w:left="2268"/>
        <w:jc w:val="both"/>
        <w:outlineLvl w:val="0"/>
        <w:rPr>
          <w:rFonts w:ascii="Arial Narrow" w:eastAsia="Calibri" w:hAnsi="Arial Narrow" w:cstheme="minorHAnsi"/>
          <w:lang w:eastAsia="pt-BR"/>
        </w:rPr>
      </w:pPr>
      <w:r w:rsidRPr="007E618E">
        <w:rPr>
          <w:rFonts w:ascii="Arial Narrow" w:eastAsia="Calibri" w:hAnsi="Arial Narrow" w:cstheme="minorHAnsi"/>
          <w:lang w:eastAsia="pt-BR"/>
        </w:rPr>
        <w:t xml:space="preserve">O reconhecimento disso, inclusive, é corroborado pela destinação legal do patrimônio em caso de extinção. </w:t>
      </w:r>
    </w:p>
    <w:p w14:paraId="35FA3E38" w14:textId="77777777" w:rsidR="007E618E" w:rsidRPr="007E618E" w:rsidRDefault="007E618E" w:rsidP="007E618E">
      <w:pPr>
        <w:tabs>
          <w:tab w:val="left" w:pos="142"/>
          <w:tab w:val="left" w:pos="851"/>
        </w:tabs>
        <w:spacing w:after="120" w:line="288" w:lineRule="auto"/>
        <w:ind w:left="2268"/>
        <w:jc w:val="both"/>
        <w:outlineLvl w:val="0"/>
        <w:rPr>
          <w:rFonts w:ascii="Arial Narrow" w:eastAsia="Calibri" w:hAnsi="Arial Narrow" w:cstheme="minorHAnsi"/>
          <w:lang w:eastAsia="pt-BR"/>
        </w:rPr>
      </w:pPr>
      <w:r w:rsidRPr="007E618E">
        <w:rPr>
          <w:rFonts w:ascii="Arial Narrow" w:eastAsia="Calibri" w:hAnsi="Arial Narrow" w:cstheme="minorHAnsi"/>
          <w:lang w:eastAsia="pt-BR"/>
        </w:rPr>
        <w:t xml:space="preserve">Dessa forma, mostra-se incoerente, ilegal e ilógica a operação de transformação de tais associações. A constatação prática do caráter empresarial de algumas associações é a comprovação do desvirtuamento de suas finalidades, o que não pode ser motivação e justificação para permitir a apropriação desse patrimônio por pessoas privadas. </w:t>
      </w:r>
    </w:p>
    <w:p w14:paraId="52BC4676" w14:textId="5C31AA2E" w:rsidR="007E618E" w:rsidRPr="007E618E" w:rsidRDefault="007E618E" w:rsidP="007E618E">
      <w:pPr>
        <w:tabs>
          <w:tab w:val="left" w:pos="142"/>
          <w:tab w:val="left" w:pos="851"/>
        </w:tabs>
        <w:spacing w:after="120" w:line="288" w:lineRule="auto"/>
        <w:ind w:left="2268"/>
        <w:jc w:val="both"/>
        <w:outlineLvl w:val="0"/>
        <w:rPr>
          <w:rFonts w:ascii="Arial Narrow" w:eastAsia="Calibri" w:hAnsi="Arial Narrow" w:cstheme="minorHAnsi"/>
          <w:lang w:eastAsia="pt-BR"/>
        </w:rPr>
      </w:pPr>
      <w:r w:rsidRPr="007E618E">
        <w:rPr>
          <w:rFonts w:ascii="Arial Narrow" w:eastAsia="Calibri" w:hAnsi="Arial Narrow" w:cstheme="minorHAnsi"/>
          <w:lang w:eastAsia="pt-BR"/>
        </w:rPr>
        <w:t xml:space="preserve">O desvio anterior não justifica o equívoco posterior. As associações identificadas pelas características empresárias devem ser extintas, com a correta destinação de seu patrimônio </w:t>
      </w:r>
      <w:proofErr w:type="gramStart"/>
      <w:r w:rsidRPr="007E618E">
        <w:rPr>
          <w:rFonts w:ascii="Arial Narrow" w:eastAsia="Calibri" w:hAnsi="Arial Narrow" w:cstheme="minorHAnsi"/>
          <w:lang w:eastAsia="pt-BR"/>
        </w:rPr>
        <w:t>à</w:t>
      </w:r>
      <w:proofErr w:type="gramEnd"/>
      <w:r w:rsidRPr="007E618E">
        <w:rPr>
          <w:rFonts w:ascii="Arial Narrow" w:eastAsia="Calibri" w:hAnsi="Arial Narrow" w:cstheme="minorHAnsi"/>
          <w:lang w:eastAsia="pt-BR"/>
        </w:rPr>
        <w:t xml:space="preserve"> associações similares, sem finalidade lucrativa. Seus antigos associados, caso queiram, devem constituir sociedade, com finalidade lucrativa, iniciando a atividade economia, sem apropriação indevido do patrimônio associativo.</w:t>
      </w:r>
    </w:p>
    <w:p w14:paraId="2C0A59C6" w14:textId="77777777" w:rsidR="007E618E" w:rsidRDefault="007E618E" w:rsidP="00EF2C9D">
      <w:pPr>
        <w:tabs>
          <w:tab w:val="left" w:pos="142"/>
          <w:tab w:val="left" w:pos="851"/>
        </w:tabs>
        <w:spacing w:after="120" w:line="288" w:lineRule="auto"/>
        <w:ind w:firstLine="709"/>
        <w:jc w:val="both"/>
        <w:outlineLvl w:val="0"/>
        <w:rPr>
          <w:rFonts w:ascii="Arial Narrow" w:eastAsia="Calibri" w:hAnsi="Arial Narrow" w:cstheme="minorHAnsi"/>
          <w:sz w:val="24"/>
          <w:szCs w:val="24"/>
          <w:lang w:eastAsia="pt-BR"/>
        </w:rPr>
      </w:pPr>
    </w:p>
    <w:p w14:paraId="6762CFF9" w14:textId="57509BB5" w:rsidR="008A4FF5" w:rsidRDefault="008A4FF5" w:rsidP="005A1484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141CB6">
        <w:rPr>
          <w:rFonts w:ascii="Arial Narrow" w:eastAsia="Calibri" w:hAnsi="Arial Narrow" w:cstheme="minorHAnsi"/>
          <w:sz w:val="24"/>
          <w:szCs w:val="24"/>
          <w:lang w:eastAsia="pt-BR"/>
        </w:rPr>
        <w:t xml:space="preserve">É </w:t>
      </w:r>
      <w:proofErr w:type="spellStart"/>
      <w:r w:rsidRPr="00141CB6">
        <w:rPr>
          <w:rFonts w:ascii="Arial Narrow" w:eastAsia="Calibri" w:hAnsi="Arial Narrow" w:cstheme="minorHAnsi"/>
          <w:sz w:val="24"/>
          <w:szCs w:val="24"/>
          <w:lang w:eastAsia="pt-BR"/>
        </w:rPr>
        <w:t>s</w:t>
      </w:r>
      <w:r w:rsidR="00461B7D"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ofismática</w:t>
      </w:r>
      <w:proofErr w:type="spellEnd"/>
      <w:r w:rsidR="004E4DF6"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– mas não incomum</w:t>
      </w:r>
      <w:r w:rsidR="00996A52"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</w:t>
      </w:r>
      <w:r w:rsidR="004E4DF6"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- </w:t>
      </w:r>
      <w:r w:rsidR="00461B7D"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a asse</w:t>
      </w:r>
      <w:r w:rsidR="004E4DF6"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r</w:t>
      </w:r>
      <w:r w:rsidR="00461B7D"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tiva de que </w:t>
      </w:r>
      <w:r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a ausência de patrimônio ou o desequilíbrio de contas seria suficiente para se permitir </w:t>
      </w:r>
      <w:r w:rsidR="00E15A50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t</w:t>
      </w:r>
      <w:r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a</w:t>
      </w:r>
      <w:r w:rsidR="00E15A50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l</w:t>
      </w:r>
      <w:r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conversão – com o que não se </w:t>
      </w:r>
      <w:r w:rsidR="00221FC4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pode puerilmente concordar</w:t>
      </w:r>
      <w:r w:rsidRPr="00141CB6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. </w:t>
      </w:r>
      <w:r w:rsidR="00AB712D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Caso haja, de fato, algum ativo fundacional que interesse à outra pessoa jurídica (de igual ou de natureza diversa), nada impede seja o mesmo alienado</w:t>
      </w:r>
      <w:r w:rsidR="00E15A50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>, em valor de mercado e solvidos, na medida de sua força, os débitos existentes.</w:t>
      </w:r>
      <w:r w:rsidR="00AB712D"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 xml:space="preserve">  </w:t>
      </w:r>
      <w:r w:rsidR="00C554B9" w:rsidRPr="00485CA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Tenha-se, neste diapasão, o entendimento firmado pelo Tribunal de Contas da União, </w:t>
      </w:r>
      <w:r w:rsidR="00EA37ED" w:rsidRPr="00485CA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por seu </w:t>
      </w:r>
      <w:r w:rsidR="00C554B9" w:rsidRPr="00485CA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relator, </w:t>
      </w:r>
      <w:r w:rsidR="00EA37ED" w:rsidRPr="00485CA0">
        <w:rPr>
          <w:rFonts w:ascii="Arial Narrow" w:eastAsia="Times New Roman" w:hAnsi="Arial Narrow" w:cs="Arial"/>
          <w:sz w:val="24"/>
          <w:szCs w:val="24"/>
          <w:lang w:eastAsia="pt-BR"/>
        </w:rPr>
        <w:t>M</w:t>
      </w:r>
      <w:r w:rsidR="00C554B9" w:rsidRPr="00485CA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inistro Valmir Campelo, no </w:t>
      </w:r>
      <w:r w:rsidR="00041DA0" w:rsidRPr="00485CA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âmbito do </w:t>
      </w:r>
      <w:r w:rsidR="00C554B9" w:rsidRPr="00485CA0">
        <w:rPr>
          <w:rFonts w:ascii="Arial Narrow" w:eastAsia="Times New Roman" w:hAnsi="Arial Narrow" w:cs="Arial"/>
          <w:sz w:val="24"/>
          <w:szCs w:val="24"/>
          <w:lang w:eastAsia="pt-BR"/>
        </w:rPr>
        <w:t>Acórdão de nº 2444/2012, consider</w:t>
      </w:r>
      <w:r w:rsidR="00041DA0" w:rsidRPr="00485CA0">
        <w:rPr>
          <w:rFonts w:ascii="Arial Narrow" w:eastAsia="Times New Roman" w:hAnsi="Arial Narrow" w:cs="Arial"/>
          <w:sz w:val="24"/>
          <w:szCs w:val="24"/>
          <w:lang w:eastAsia="pt-BR"/>
        </w:rPr>
        <w:t>ando</w:t>
      </w:r>
      <w:r w:rsidR="00C554B9" w:rsidRPr="00485CA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que a “transferência de capacidade técnica operacional entre pessoas jurídicas, objeto de reestruturação empresarial, já está devidamente consagrada na doutrina e na jurisprudência brasileiras”</w:t>
      </w:r>
      <w:r w:rsidR="0067136E" w:rsidRPr="00485CA0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67136E" w:rsidRPr="00485CA0">
        <w:rPr>
          <w:rStyle w:val="Refdenotadefim"/>
          <w:rFonts w:ascii="Arial Narrow" w:eastAsia="Calibri" w:hAnsi="Arial Narrow" w:cs="Calibri"/>
          <w:sz w:val="24"/>
          <w:szCs w:val="24"/>
          <w:lang w:eastAsia="pt-BR"/>
        </w:rPr>
        <w:endnoteReference w:id="40"/>
      </w:r>
      <w:r w:rsidR="00C554B9" w:rsidRPr="00485CA0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  <w:r w:rsidR="00485CA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EE7F9E">
        <w:rPr>
          <w:rFonts w:ascii="Arial Narrow" w:eastAsia="Times New Roman" w:hAnsi="Arial Narrow" w:cs="Arial"/>
          <w:sz w:val="24"/>
          <w:szCs w:val="24"/>
          <w:lang w:eastAsia="pt-BR"/>
        </w:rPr>
        <w:t xml:space="preserve">Nada além disto. </w:t>
      </w:r>
    </w:p>
    <w:p w14:paraId="4C575C5C" w14:textId="6F81FEAA" w:rsidR="00902786" w:rsidRDefault="00902786" w:rsidP="005A1484">
      <w:pPr>
        <w:tabs>
          <w:tab w:val="left" w:pos="142"/>
          <w:tab w:val="left" w:pos="851"/>
        </w:tabs>
        <w:spacing w:after="120" w:line="288" w:lineRule="auto"/>
        <w:ind w:firstLine="1134"/>
        <w:jc w:val="both"/>
        <w:outlineLvl w:val="0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Deve-se</w:t>
      </w:r>
      <w:r w:rsidR="00221FC4">
        <w:rPr>
          <w:rFonts w:ascii="Arial Narrow" w:eastAsia="Times New Roman" w:hAnsi="Arial Narrow" w:cs="Arial"/>
          <w:sz w:val="24"/>
          <w:szCs w:val="24"/>
          <w:lang w:eastAsia="pt-BR"/>
        </w:rPr>
        <w:t>, portanto,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desafiar a oferta aparentemente altruísta de uma fundação deficitária ser absorvida por uma associação civil</w:t>
      </w:r>
      <w:r w:rsidR="002F3C64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ou outra entidade não-fundacional qualquer, investigando-se o ativo almejado pela interessada</w:t>
      </w:r>
      <w:r w:rsidR="003429C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– que pode ser a própria exploração da reputação da fundação, de seu patrimônio</w:t>
      </w:r>
      <w:r w:rsidR="007C54BB">
        <w:rPr>
          <w:rFonts w:ascii="Arial Narrow" w:eastAsia="Times New Roman" w:hAnsi="Arial Narrow" w:cs="Arial"/>
          <w:sz w:val="24"/>
          <w:szCs w:val="24"/>
          <w:lang w:eastAsia="pt-BR"/>
        </w:rPr>
        <w:t>, material ou imaterial</w:t>
      </w:r>
      <w:r w:rsidR="003429C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(ainda que comprometido por dívidas ou má gestão)</w:t>
      </w:r>
      <w:r w:rsidR="007C54BB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ou mesmo de sua carteira de assistidos. </w:t>
      </w:r>
      <w:r w:rsidR="002E4254">
        <w:rPr>
          <w:rFonts w:ascii="Arial Narrow" w:eastAsia="Times New Roman" w:hAnsi="Arial Narrow" w:cs="Arial"/>
          <w:sz w:val="24"/>
          <w:szCs w:val="24"/>
          <w:lang w:eastAsia="pt-BR"/>
        </w:rPr>
        <w:t>Todos, aliás, podem vir a ser cedidos como ativos, mediante justa retribuição</w:t>
      </w:r>
      <w:r w:rsidR="0068389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preservando-se, no que for possível, o restante </w:t>
      </w:r>
      <w:r w:rsidR="00824EBB">
        <w:rPr>
          <w:rFonts w:ascii="Arial Narrow" w:eastAsia="Times New Roman" w:hAnsi="Arial Narrow" w:cs="Arial"/>
          <w:sz w:val="24"/>
          <w:szCs w:val="24"/>
          <w:lang w:eastAsia="pt-BR"/>
        </w:rPr>
        <w:t>de seus bens e, em cenário ideal, sua própria existência reestruturada.</w:t>
      </w:r>
    </w:p>
    <w:p w14:paraId="33063127" w14:textId="09436095" w:rsidR="00605156" w:rsidRPr="00920047" w:rsidRDefault="00605156" w:rsidP="00605156">
      <w:pPr>
        <w:spacing w:after="0" w:line="288" w:lineRule="auto"/>
        <w:ind w:firstLine="1134"/>
        <w:jc w:val="both"/>
        <w:rPr>
          <w:rFonts w:ascii="Arial Narrow" w:eastAsia="Calibri" w:hAnsi="Arial Narrow" w:cs="Times New Roman"/>
          <w:sz w:val="24"/>
          <w:szCs w:val="24"/>
        </w:rPr>
      </w:pPr>
      <w:r w:rsidRPr="00780151">
        <w:rPr>
          <w:rFonts w:ascii="Arial Narrow" w:eastAsia="Calibri" w:hAnsi="Arial Narrow" w:cs="Times New Roman"/>
          <w:sz w:val="24"/>
          <w:szCs w:val="24"/>
        </w:rPr>
        <w:lastRenderedPageBreak/>
        <w:t>Importante mencionar um princípio basilar em direito societário que poderia ser transposto, com os devidos ajustes, para o tema em estudo: o princípio da preservação da empresa</w:t>
      </w:r>
      <w:r w:rsidRPr="00780151">
        <w:rPr>
          <w:rStyle w:val="Refdenotadefim"/>
          <w:rFonts w:ascii="Arial Narrow" w:eastAsia="Calibri" w:hAnsi="Arial Narrow" w:cs="Times New Roman"/>
          <w:sz w:val="24"/>
          <w:szCs w:val="24"/>
        </w:rPr>
        <w:endnoteReference w:id="41"/>
      </w:r>
      <w:r w:rsidRPr="00780151">
        <w:rPr>
          <w:rFonts w:ascii="Arial Narrow" w:eastAsia="Calibri" w:hAnsi="Arial Narrow" w:cs="Times New Roman"/>
          <w:sz w:val="24"/>
          <w:szCs w:val="24"/>
        </w:rPr>
        <w:t>-</w:t>
      </w:r>
      <w:r w:rsidRPr="00780151">
        <w:rPr>
          <w:rStyle w:val="Refdenotadefim"/>
          <w:rFonts w:ascii="Arial Narrow" w:eastAsia="Calibri" w:hAnsi="Arial Narrow" w:cs="Times New Roman"/>
          <w:sz w:val="24"/>
          <w:szCs w:val="24"/>
        </w:rPr>
        <w:endnoteReference w:id="42"/>
      </w:r>
      <w:r w:rsidRPr="00780151">
        <w:rPr>
          <w:rFonts w:ascii="Arial Narrow" w:eastAsia="Calibri" w:hAnsi="Arial Narrow" w:cs="Times New Roman"/>
          <w:sz w:val="24"/>
          <w:szCs w:val="24"/>
        </w:rPr>
        <w:t>, a intuitivamente inspirar o “princípio da preservação das fundações”. Nestes termos, admitir a existência de fundações de fato, ainda que em caráter excepcional, privilegia a preservação das atividades fundacionais e a consecução de seus objetivos, em reconhecimento de sua relevância intrínseca para a sociedade.</w:t>
      </w:r>
      <w:r>
        <w:rPr>
          <w:rFonts w:ascii="Arial Narrow" w:eastAsia="Calibri" w:hAnsi="Arial Narrow" w:cs="Times New Roman"/>
          <w:sz w:val="24"/>
          <w:szCs w:val="24"/>
        </w:rPr>
        <w:t xml:space="preserve">  </w:t>
      </w:r>
      <w:r w:rsidR="00E363AF">
        <w:rPr>
          <w:rFonts w:ascii="Arial Narrow" w:eastAsia="Calibri" w:hAnsi="Arial Narrow" w:cs="Times New Roman"/>
          <w:sz w:val="24"/>
          <w:szCs w:val="24"/>
        </w:rPr>
        <w:t xml:space="preserve">Neste sentido, a cessão de ativo – e não a transformação da fundação – seria </w:t>
      </w:r>
      <w:r w:rsidR="00334CC1">
        <w:rPr>
          <w:rFonts w:ascii="Arial Narrow" w:eastAsia="Calibri" w:hAnsi="Arial Narrow" w:cs="Times New Roman"/>
          <w:sz w:val="24"/>
          <w:szCs w:val="24"/>
        </w:rPr>
        <w:t xml:space="preserve">solução mais desejável do ponto de vista sistemático. </w:t>
      </w:r>
    </w:p>
    <w:p w14:paraId="018BAA7B" w14:textId="166E562E" w:rsidR="00E81128" w:rsidRDefault="00AF476A" w:rsidP="0077390E">
      <w:pPr>
        <w:shd w:val="clear" w:color="auto" w:fill="FFFFFF"/>
        <w:spacing w:after="120" w:line="288" w:lineRule="auto"/>
        <w:jc w:val="both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color w:val="222222"/>
          <w:sz w:val="24"/>
          <w:szCs w:val="24"/>
          <w:lang w:eastAsia="pt-BR"/>
        </w:rPr>
        <w:tab/>
      </w:r>
      <w:r w:rsidR="003A6D4B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ab/>
      </w:r>
    </w:p>
    <w:p w14:paraId="386807D0" w14:textId="188E141E" w:rsidR="00980F25" w:rsidRPr="00C321CF" w:rsidRDefault="00C851A3" w:rsidP="0077390E">
      <w:pPr>
        <w:shd w:val="clear" w:color="auto" w:fill="FFFFFF"/>
        <w:spacing w:after="120" w:line="288" w:lineRule="auto"/>
        <w:jc w:val="both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</w:pPr>
      <w:r w:rsidRPr="00C321C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 xml:space="preserve">5. </w:t>
      </w:r>
      <w:r w:rsidR="00980F25" w:rsidRPr="00C321C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Conclus</w:t>
      </w:r>
      <w:r w:rsidR="00C321CF" w:rsidRPr="00C321CF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pt-BR"/>
        </w:rPr>
        <w:t>ão</w:t>
      </w:r>
    </w:p>
    <w:p w14:paraId="7051CE82" w14:textId="77777777" w:rsidR="00824EBB" w:rsidRDefault="00887BC4" w:rsidP="00824EBB">
      <w:pPr>
        <w:spacing w:after="0" w:line="288" w:lineRule="auto"/>
        <w:ind w:firstLine="1134"/>
        <w:jc w:val="both"/>
        <w:rPr>
          <w:rFonts w:ascii="Arial Narrow" w:hAnsi="Arial Narrow"/>
          <w:sz w:val="24"/>
          <w:szCs w:val="24"/>
        </w:rPr>
      </w:pPr>
      <w:r w:rsidRPr="00374A86">
        <w:rPr>
          <w:rFonts w:ascii="Arial Narrow" w:hAnsi="Arial Narrow"/>
          <w:sz w:val="24"/>
          <w:szCs w:val="24"/>
        </w:rPr>
        <w:t>Em apertada síntese, c</w:t>
      </w:r>
      <w:r w:rsidR="00751E68" w:rsidRPr="00374A86">
        <w:rPr>
          <w:rFonts w:ascii="Arial Narrow" w:hAnsi="Arial Narrow"/>
          <w:sz w:val="24"/>
          <w:szCs w:val="24"/>
        </w:rPr>
        <w:t>onclu</w:t>
      </w:r>
      <w:r w:rsidRPr="00374A86">
        <w:rPr>
          <w:rFonts w:ascii="Arial Narrow" w:hAnsi="Arial Narrow"/>
          <w:sz w:val="24"/>
          <w:szCs w:val="24"/>
        </w:rPr>
        <w:t>i</w:t>
      </w:r>
      <w:r w:rsidR="00751E68" w:rsidRPr="00374A86">
        <w:rPr>
          <w:rFonts w:ascii="Arial Narrow" w:hAnsi="Arial Narrow"/>
          <w:sz w:val="24"/>
          <w:szCs w:val="24"/>
        </w:rPr>
        <w:t>-se, portanto, que</w:t>
      </w:r>
      <w:r w:rsidR="00C321CF" w:rsidRPr="00374A86">
        <w:t xml:space="preserve"> </w:t>
      </w:r>
      <w:r w:rsidR="00C321CF" w:rsidRPr="00374A86">
        <w:rPr>
          <w:rFonts w:ascii="Arial Narrow" w:hAnsi="Arial Narrow"/>
          <w:sz w:val="24"/>
          <w:szCs w:val="24"/>
        </w:rPr>
        <w:t xml:space="preserve">a lógica sistemática impõe seja </w:t>
      </w:r>
      <w:r w:rsidR="00BD4DE7" w:rsidRPr="00374A86">
        <w:rPr>
          <w:rFonts w:ascii="Arial Narrow" w:hAnsi="Arial Narrow"/>
          <w:sz w:val="24"/>
          <w:szCs w:val="24"/>
        </w:rPr>
        <w:t>admitida a transformação de</w:t>
      </w:r>
      <w:r w:rsidR="00374A86" w:rsidRPr="00374A86">
        <w:rPr>
          <w:rFonts w:ascii="Arial Narrow" w:hAnsi="Arial Narrow"/>
          <w:sz w:val="24"/>
          <w:szCs w:val="24"/>
        </w:rPr>
        <w:t xml:space="preserve"> pessoas jurídicas de outra natureza em</w:t>
      </w:r>
      <w:r w:rsidR="00BD4DE7" w:rsidRPr="00374A86">
        <w:rPr>
          <w:rFonts w:ascii="Arial Narrow" w:hAnsi="Arial Narrow"/>
          <w:sz w:val="24"/>
          <w:szCs w:val="24"/>
        </w:rPr>
        <w:t xml:space="preserve"> fundações de direito privado</w:t>
      </w:r>
      <w:r w:rsidR="00374A86" w:rsidRPr="00374A86">
        <w:rPr>
          <w:rFonts w:ascii="Arial Narrow" w:hAnsi="Arial Narrow"/>
          <w:sz w:val="24"/>
          <w:szCs w:val="24"/>
        </w:rPr>
        <w:t>, mas não o inverso.</w:t>
      </w:r>
      <w:r w:rsidR="00824EB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</w:t>
      </w:r>
    </w:p>
    <w:p w14:paraId="06749F10" w14:textId="4314F137" w:rsidR="00980F25" w:rsidRPr="00F41778" w:rsidRDefault="00C20FBE" w:rsidP="00824EBB">
      <w:pPr>
        <w:spacing w:after="0" w:line="288" w:lineRule="auto"/>
        <w:ind w:firstLine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</w:t>
      </w:r>
      <w:r w:rsidR="00F41778" w:rsidRPr="00F41778">
        <w:rPr>
          <w:rFonts w:ascii="Arial Narrow" w:hAnsi="Arial Narrow"/>
          <w:sz w:val="24"/>
          <w:szCs w:val="24"/>
        </w:rPr>
        <w:t xml:space="preserve">Em </w:t>
      </w:r>
      <w:r w:rsidR="009D77CB">
        <w:rPr>
          <w:rFonts w:ascii="Arial Narrow" w:hAnsi="Arial Narrow"/>
          <w:sz w:val="24"/>
          <w:szCs w:val="24"/>
        </w:rPr>
        <w:t>março</w:t>
      </w:r>
      <w:r w:rsidR="00D74160">
        <w:rPr>
          <w:rFonts w:ascii="Arial Narrow" w:hAnsi="Arial Narrow"/>
          <w:sz w:val="24"/>
          <w:szCs w:val="24"/>
        </w:rPr>
        <w:t xml:space="preserve"> 202</w:t>
      </w:r>
      <w:r w:rsidR="00342746">
        <w:rPr>
          <w:rFonts w:ascii="Arial Narrow" w:hAnsi="Arial Narrow"/>
          <w:sz w:val="24"/>
          <w:szCs w:val="24"/>
        </w:rPr>
        <w:t>3</w:t>
      </w:r>
    </w:p>
    <w:sectPr w:rsidR="00980F25" w:rsidRPr="00F41778" w:rsidSect="009B1102">
      <w:endnotePr>
        <w:numFmt w:val="decimal"/>
      </w:end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FC7C" w14:textId="77777777" w:rsidR="00D85B71" w:rsidRDefault="00D85B71" w:rsidP="00214156">
      <w:pPr>
        <w:spacing w:after="0" w:line="240" w:lineRule="auto"/>
      </w:pPr>
      <w:r>
        <w:separator/>
      </w:r>
    </w:p>
  </w:endnote>
  <w:endnote w:type="continuationSeparator" w:id="0">
    <w:p w14:paraId="22F4E261" w14:textId="77777777" w:rsidR="00D85B71" w:rsidRDefault="00D85B71" w:rsidP="00214156">
      <w:pPr>
        <w:spacing w:after="0" w:line="240" w:lineRule="auto"/>
      </w:pPr>
      <w:r>
        <w:continuationSeparator/>
      </w:r>
    </w:p>
  </w:endnote>
  <w:endnote w:id="1">
    <w:p w14:paraId="41F8F716" w14:textId="125A814F" w:rsidR="00912C18" w:rsidRPr="00F41778" w:rsidRDefault="00912C18" w:rsidP="00212463">
      <w:pPr>
        <w:spacing w:after="0" w:line="240" w:lineRule="auto"/>
        <w:jc w:val="both"/>
        <w:rPr>
          <w:rFonts w:ascii="Arial Narrow" w:hAnsi="Arial Narrow" w:cs="Times New Roman"/>
          <w:b/>
          <w:bCs/>
          <w:sz w:val="20"/>
          <w:szCs w:val="20"/>
          <w:lang w:eastAsia="pt-BR"/>
        </w:rPr>
      </w:pPr>
      <w:r>
        <w:rPr>
          <w:rStyle w:val="Refdenotadefim"/>
          <w:sz w:val="20"/>
          <w:szCs w:val="20"/>
        </w:rPr>
        <w:endnoteRef/>
      </w:r>
      <w:r w:rsidRPr="001F53ED">
        <w:rPr>
          <w:rFonts w:ascii="Arial Narrow" w:hAnsi="Arial Narrow"/>
          <w:sz w:val="20"/>
          <w:szCs w:val="20"/>
        </w:rPr>
        <w:sym w:font="Wingdings" w:char="F02A"/>
      </w:r>
      <w:r w:rsidRPr="001F53ED">
        <w:rPr>
          <w:rFonts w:ascii="Arial Narrow" w:hAnsi="Arial Narrow"/>
          <w:sz w:val="20"/>
          <w:szCs w:val="20"/>
        </w:rPr>
        <w:t xml:space="preserve">  </w:t>
      </w:r>
      <w:hyperlink r:id="rId1" w:history="1">
        <w:r w:rsidRPr="00F41778">
          <w:rPr>
            <w:rFonts w:ascii="Arial Narrow" w:hAnsi="Arial Narrow" w:cs="Times New Roman"/>
            <w:b/>
            <w:bCs/>
            <w:sz w:val="20"/>
            <w:szCs w:val="20"/>
          </w:rPr>
          <w:t>jmarinho@mprj.mp.br</w:t>
        </w:r>
      </w:hyperlink>
      <w:r w:rsidR="00212463">
        <w:rPr>
          <w:rFonts w:ascii="Arial Narrow" w:hAnsi="Arial Narrow" w:cs="Times New Roman"/>
          <w:b/>
          <w:bCs/>
          <w:sz w:val="20"/>
          <w:szCs w:val="20"/>
        </w:rPr>
        <w:t xml:space="preserve">. </w:t>
      </w:r>
      <w:r w:rsidRPr="00F41778">
        <w:rPr>
          <w:rFonts w:ascii="Arial Narrow" w:hAnsi="Arial Narrow" w:cs="Times New Roman"/>
          <w:b/>
          <w:bCs/>
          <w:sz w:val="20"/>
          <w:szCs w:val="20"/>
        </w:rPr>
        <w:t xml:space="preserve">                       </w:t>
      </w:r>
    </w:p>
    <w:p w14:paraId="694C2B2E" w14:textId="5CB8EE38" w:rsidR="00912C18" w:rsidRPr="00F41778" w:rsidRDefault="00912C18" w:rsidP="00DA3A20">
      <w:pPr>
        <w:spacing w:after="120" w:line="240" w:lineRule="auto"/>
        <w:jc w:val="both"/>
      </w:pPr>
      <w:r w:rsidRPr="00F41778">
        <w:rPr>
          <w:rFonts w:ascii="Arial Narrow" w:hAnsi="Arial Narrow" w:cs="Times New Roman"/>
          <w:sz w:val="20"/>
          <w:szCs w:val="20"/>
        </w:rPr>
        <w:t xml:space="preserve">* Promotor de Justiça Titular da 1ª Provedoria de Fundações da Capital/RJ. </w:t>
      </w:r>
      <w:proofErr w:type="spellStart"/>
      <w:r w:rsidR="001E07F3">
        <w:rPr>
          <w:rFonts w:ascii="Arial Narrow" w:hAnsi="Arial Narrow" w:cs="Times New Roman"/>
          <w:sz w:val="20"/>
          <w:szCs w:val="20"/>
        </w:rPr>
        <w:t>Pós-Doutorando</w:t>
      </w:r>
      <w:proofErr w:type="spellEnd"/>
      <w:r w:rsidR="001E07F3">
        <w:rPr>
          <w:rFonts w:ascii="Arial Narrow" w:hAnsi="Arial Narrow" w:cs="Times New Roman"/>
          <w:sz w:val="20"/>
          <w:szCs w:val="20"/>
        </w:rPr>
        <w:t xml:space="preserve"> (IVIG</w:t>
      </w:r>
      <w:r w:rsidR="004B6F6C">
        <w:rPr>
          <w:rFonts w:ascii="Arial Narrow" w:hAnsi="Arial Narrow" w:cs="Times New Roman"/>
          <w:sz w:val="20"/>
          <w:szCs w:val="20"/>
        </w:rPr>
        <w:t xml:space="preserve">-COPPE/UFRJ). </w:t>
      </w:r>
      <w:r w:rsidRPr="00F41778">
        <w:rPr>
          <w:rFonts w:ascii="Arial Narrow" w:hAnsi="Arial Narrow" w:cs="Times New Roman"/>
          <w:sz w:val="20"/>
          <w:szCs w:val="20"/>
        </w:rPr>
        <w:t xml:space="preserve">Doutor em Direito (UNESA). Mestre em Direito Processual (UERJ). Especialista em Mediação e Negociação pelo Justice </w:t>
      </w:r>
      <w:proofErr w:type="spellStart"/>
      <w:r w:rsidRPr="00F41778">
        <w:rPr>
          <w:rFonts w:ascii="Arial Narrow" w:hAnsi="Arial Narrow" w:cs="Times New Roman"/>
          <w:sz w:val="20"/>
          <w:szCs w:val="20"/>
        </w:rPr>
        <w:t>Institute</w:t>
      </w:r>
      <w:proofErr w:type="spellEnd"/>
      <w:r w:rsidRPr="00F41778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F41778">
        <w:rPr>
          <w:rFonts w:ascii="Arial Narrow" w:hAnsi="Arial Narrow" w:cs="Times New Roman"/>
          <w:sz w:val="20"/>
          <w:szCs w:val="20"/>
        </w:rPr>
        <w:t>of</w:t>
      </w:r>
      <w:proofErr w:type="spellEnd"/>
      <w:r w:rsidRPr="00F41778">
        <w:rPr>
          <w:rFonts w:ascii="Arial Narrow" w:hAnsi="Arial Narrow" w:cs="Times New Roman"/>
          <w:sz w:val="20"/>
          <w:szCs w:val="20"/>
        </w:rPr>
        <w:t xml:space="preserve"> British Columbia (Canadá). </w:t>
      </w:r>
    </w:p>
  </w:endnote>
  <w:endnote w:id="2">
    <w:p w14:paraId="3DB84F8E" w14:textId="795ECE59" w:rsidR="009B1102" w:rsidRPr="00920047" w:rsidRDefault="009B1102" w:rsidP="00DA3A20">
      <w:pPr>
        <w:pStyle w:val="Textodenotadefim"/>
        <w:spacing w:after="120"/>
        <w:jc w:val="both"/>
      </w:pPr>
      <w:r w:rsidRPr="00920047">
        <w:rPr>
          <w:rStyle w:val="Refdenotadefim"/>
          <w:rFonts w:ascii="Arial Narrow" w:hAnsi="Arial Narrow"/>
        </w:rPr>
        <w:endnoteRef/>
      </w:r>
      <w:r w:rsidRPr="00920047">
        <w:rPr>
          <w:rFonts w:ascii="Arial Narrow" w:hAnsi="Arial Narrow"/>
        </w:rPr>
        <w:t xml:space="preserve"> Art. 62. Para criar uma fundação, o seu instituidor fará, por escritura pública ou testamento, dotação especial de bens livres, especificando o fim a que se destina, e declarando, se quiser, a maneira de administrá-la. Parágrafo único. A fundação somente poderá constituir-se para fins de: I – assistência social;  II – cultura, defesa e conservação do patrimônio histórico e artístico; III – educação; IV – saúde; V – segurança alimentar e nutricional; VI – defesa, preservação e conservação do meio ambiente e promoção do desenvolvimento sustentável; VII – pesquisa científica, desenvolvimento de tecnologias alternativas, modernização de sistemas de gestão, produção e divulgação de informações e conhecimentos técnicos e científicos; VIII – promoção da ética, da cidadania, da democracia e dos direitos humanos; IX – atividades religiosas; e X – (VETADO). Art. 63. Quando insuficientes para constituir a fundação, os bens a ela destinados serão, se de outro modo não dispuser o instituidor, incorporados em outra fundação que se proponha a fim igual ou semelhante.</w:t>
      </w:r>
      <w:r>
        <w:rPr>
          <w:rFonts w:ascii="Arial Narrow" w:hAnsi="Arial Narrow"/>
        </w:rPr>
        <w:t xml:space="preserve"> </w:t>
      </w:r>
      <w:r w:rsidRPr="00920047">
        <w:rPr>
          <w:rFonts w:ascii="Arial Narrow" w:hAnsi="Arial Narrow"/>
        </w:rPr>
        <w:t>Art. 64. Constituída a fundação por negócio jurídico entre vivos, o instituidor é obrigado a transferir-lhe a propriedade, ou outro direito real, sobre os bens dotados, e, se não o fizer, serão registrados, em nome dela, por mandado judicial.</w:t>
      </w:r>
      <w:r>
        <w:rPr>
          <w:rFonts w:ascii="Arial Narrow" w:hAnsi="Arial Narrow"/>
        </w:rPr>
        <w:t xml:space="preserve"> </w:t>
      </w:r>
      <w:r w:rsidRPr="00920047">
        <w:rPr>
          <w:rFonts w:ascii="Arial Narrow" w:hAnsi="Arial Narrow"/>
        </w:rPr>
        <w:t>Art. 65. Aqueles a quem o instituidor cometer a aplicação do patrimônio, em tendo ciência do encargo, formularão logo, de acordo com as suas bases (art. 62), o estatuto da fundação projetada, submetendo-o, em seguida, à aprovação da autoridade competente, com recurso ao juiz. Parágrafo único. Se o estatuto não for elaborado no prazo assinado pelo instituidor, ou, não havendo prazo, em cento e oitenta dias, a incumbência caberá ao Ministério Público.</w:t>
      </w:r>
      <w:r>
        <w:rPr>
          <w:rFonts w:ascii="Arial Narrow" w:hAnsi="Arial Narrow"/>
        </w:rPr>
        <w:t xml:space="preserve"> </w:t>
      </w:r>
      <w:r w:rsidRPr="00920047">
        <w:rPr>
          <w:rFonts w:ascii="Arial Narrow" w:hAnsi="Arial Narrow"/>
        </w:rPr>
        <w:t>Art. 66. Velará pelas fundações o Ministério Público do Estado onde situadas. § 1 º Se funcionarem no Distrito Federal ou em Território, caberá o encargo ao Ministério Público do Distrito Federal e Territórios. § 2º Se estenderem a atividade por mais de um Estado, caberá o encargo, em cada um deles, ao respectivo Ministério Público.</w:t>
      </w:r>
      <w:r>
        <w:rPr>
          <w:rFonts w:ascii="Arial Narrow" w:hAnsi="Arial Narrow"/>
        </w:rPr>
        <w:t xml:space="preserve"> </w:t>
      </w:r>
      <w:r w:rsidRPr="00920047">
        <w:rPr>
          <w:rFonts w:ascii="Arial Narrow" w:hAnsi="Arial Narrow"/>
        </w:rPr>
        <w:t>Art. 67. Para que se possa alterar o estatuto da fundação é mister que a reforma: I - seja deliberada por dois terços dos competentes para gerir e representar a fundação; II - não contrarie ou desvirtue o fim desta; III – seja aprovada pelo órgão do Ministério Público no prazo máximo de 45 (quarenta e cinco) dias, findo o qual ou no caso de o Ministério Público a denegar, poderá o juiz supri-la, a requerimento do interessado.</w:t>
      </w:r>
      <w:r>
        <w:rPr>
          <w:rFonts w:ascii="Arial Narrow" w:hAnsi="Arial Narrow"/>
        </w:rPr>
        <w:t xml:space="preserve"> </w:t>
      </w:r>
      <w:r w:rsidRPr="00920047">
        <w:rPr>
          <w:rFonts w:ascii="Arial Narrow" w:hAnsi="Arial Narrow"/>
        </w:rPr>
        <w:t>Art. 68. Quando a alteração não houver sido aprovada por votação unânime, os administradores da fundação, ao submeterem o estatuto ao órgão do Ministério Público, requererão que se dê ciência à minoria vencida para impugná-la, se quiser, em dez dias.</w:t>
      </w:r>
      <w:r>
        <w:rPr>
          <w:rFonts w:ascii="Arial Narrow" w:hAnsi="Arial Narrow"/>
        </w:rPr>
        <w:t xml:space="preserve"> </w:t>
      </w:r>
      <w:r w:rsidRPr="00920047">
        <w:rPr>
          <w:rFonts w:ascii="Arial Narrow" w:hAnsi="Arial Narrow"/>
        </w:rPr>
        <w:t>Art. 69. Tornando-se ilícita, impossível ou inútil a finalidade a que visa a fundação, ou vencido o prazo de sua existência, o órgão do Ministério Público, ou qualquer interessado, lhe promoverá a extinção, incorporando-se o seu patrimônio, salvo disposição em contrário no ato constitutivo, ou no estatuto, em outra fundação, designada pelo juiz, que se proponha a fim igual ou semelhante.</w:t>
      </w:r>
    </w:p>
  </w:endnote>
  <w:endnote w:id="3">
    <w:p w14:paraId="2487CBB9" w14:textId="77777777" w:rsidR="009B1102" w:rsidRPr="00B22023" w:rsidRDefault="009B1102" w:rsidP="00422634">
      <w:pPr>
        <w:pStyle w:val="Textodenotadefim"/>
        <w:spacing w:after="120"/>
        <w:jc w:val="both"/>
        <w:rPr>
          <w:rFonts w:ascii="Arial Narrow" w:hAnsi="Arial Narrow"/>
          <w:i/>
          <w:iCs/>
        </w:rPr>
      </w:pPr>
      <w:r w:rsidRPr="00B22023">
        <w:rPr>
          <w:rStyle w:val="Refdenotadefim"/>
          <w:rFonts w:ascii="Arial Narrow" w:hAnsi="Arial Narrow"/>
        </w:rPr>
        <w:endnoteRef/>
      </w:r>
      <w:r w:rsidRPr="00B22023">
        <w:rPr>
          <w:rFonts w:ascii="Arial Narrow" w:hAnsi="Arial Narrow"/>
        </w:rPr>
        <w:t xml:space="preserve"> Disto não se extrai que não haja uma vasta e errática normatização do direito fundacional privado, Vide por todos </w:t>
      </w:r>
      <w:proofErr w:type="spellStart"/>
      <w:r w:rsidRPr="00B22023">
        <w:rPr>
          <w:rFonts w:ascii="Arial Narrow" w:hAnsi="Arial Narrow"/>
          <w:b/>
          <w:bCs/>
        </w:rPr>
        <w:t>Vade</w:t>
      </w:r>
      <w:proofErr w:type="spellEnd"/>
      <w:r w:rsidRPr="00B22023">
        <w:rPr>
          <w:rFonts w:ascii="Arial Narrow" w:hAnsi="Arial Narrow"/>
          <w:b/>
          <w:bCs/>
        </w:rPr>
        <w:t xml:space="preserve"> </w:t>
      </w:r>
      <w:proofErr w:type="spellStart"/>
      <w:r w:rsidRPr="00B22023">
        <w:rPr>
          <w:rFonts w:ascii="Arial Narrow" w:hAnsi="Arial Narrow"/>
          <w:b/>
          <w:bCs/>
        </w:rPr>
        <w:t>Mecum</w:t>
      </w:r>
      <w:proofErr w:type="spellEnd"/>
      <w:r w:rsidRPr="00B22023">
        <w:rPr>
          <w:rFonts w:ascii="Arial Narrow" w:hAnsi="Arial Narrow"/>
          <w:b/>
          <w:bCs/>
        </w:rPr>
        <w:t xml:space="preserve"> de Direito Fundacional Privado</w:t>
      </w:r>
      <w:r w:rsidRPr="00B22023">
        <w:rPr>
          <w:rFonts w:ascii="Arial Narrow" w:hAnsi="Arial Narrow"/>
        </w:rPr>
        <w:t xml:space="preserve"> das Provedorias de Fundações da Capital do Ministério Público do Estado do Rio de Janeiro (PAULO JUNIOR, José Marinho et al (</w:t>
      </w:r>
      <w:proofErr w:type="spellStart"/>
      <w:r w:rsidRPr="00B22023">
        <w:rPr>
          <w:rFonts w:ascii="Arial Narrow" w:hAnsi="Arial Narrow"/>
        </w:rPr>
        <w:t>org</w:t>
      </w:r>
      <w:proofErr w:type="spellEnd"/>
      <w:r w:rsidRPr="00B22023">
        <w:rPr>
          <w:rFonts w:ascii="Arial Narrow" w:hAnsi="Arial Narrow"/>
        </w:rPr>
        <w:t xml:space="preserve">), 1ª edição, Rio de Janeiro: Câmara Brasileira do Livro, 2021, p. 1617, ISBN 978-65-00-28547-5, disponível em plataforma Kindle). </w:t>
      </w:r>
    </w:p>
  </w:endnote>
  <w:endnote w:id="4">
    <w:p w14:paraId="6CB12647" w14:textId="36826DE5" w:rsidR="009B1102" w:rsidRPr="00920047" w:rsidRDefault="009B1102" w:rsidP="00422634">
      <w:pPr>
        <w:pStyle w:val="Textodenotadefim"/>
        <w:spacing w:after="120"/>
        <w:jc w:val="both"/>
        <w:rPr>
          <w:rFonts w:ascii="Arial Narrow" w:hAnsi="Arial Narrow"/>
        </w:rPr>
      </w:pPr>
      <w:r w:rsidRPr="00920047">
        <w:rPr>
          <w:rStyle w:val="Refdenotadefim"/>
          <w:rFonts w:ascii="Arial Narrow" w:hAnsi="Arial Narrow"/>
        </w:rPr>
        <w:endnoteRef/>
      </w:r>
      <w:r w:rsidRPr="00920047">
        <w:rPr>
          <w:rFonts w:ascii="Arial Narrow" w:hAnsi="Arial Narrow"/>
        </w:rPr>
        <w:t xml:space="preserve"> MASAGÃO, Mário (1945). Fundações criadas por testamento. </w:t>
      </w:r>
      <w:r w:rsidRPr="00920047">
        <w:rPr>
          <w:rFonts w:ascii="Arial Narrow" w:hAnsi="Arial Narrow"/>
          <w:b/>
          <w:bCs/>
        </w:rPr>
        <w:t>Revista da Faculdade de Direito, Universidade de São Paulo</w:t>
      </w:r>
      <w:r w:rsidRPr="00920047">
        <w:rPr>
          <w:rFonts w:ascii="Arial Narrow" w:hAnsi="Arial Narrow"/>
        </w:rPr>
        <w:t xml:space="preserve">, 40, 70-76. Recuperado de </w:t>
      </w:r>
      <w:hyperlink r:id="rId2" w:history="1">
        <w:r w:rsidRPr="00920047">
          <w:rPr>
            <w:rStyle w:val="Hyperlink"/>
            <w:rFonts w:ascii="Arial Narrow" w:hAnsi="Arial Narrow"/>
            <w:color w:val="auto"/>
          </w:rPr>
          <w:t>https://www.revistas.usp.br/rfdusp /</w:t>
        </w:r>
        <w:proofErr w:type="spellStart"/>
        <w:r w:rsidRPr="00920047">
          <w:rPr>
            <w:rStyle w:val="Hyperlink"/>
            <w:rFonts w:ascii="Arial Narrow" w:hAnsi="Arial Narrow"/>
            <w:color w:val="auto"/>
          </w:rPr>
          <w:t>article</w:t>
        </w:r>
        <w:proofErr w:type="spellEnd"/>
        <w:r w:rsidRPr="00920047">
          <w:rPr>
            <w:rStyle w:val="Hyperlink"/>
            <w:rFonts w:ascii="Arial Narrow" w:hAnsi="Arial Narrow"/>
            <w:color w:val="auto"/>
          </w:rPr>
          <w:t>/</w:t>
        </w:r>
        <w:proofErr w:type="spellStart"/>
        <w:r w:rsidRPr="00920047">
          <w:rPr>
            <w:rStyle w:val="Hyperlink"/>
            <w:rFonts w:ascii="Arial Narrow" w:hAnsi="Arial Narrow"/>
            <w:color w:val="auto"/>
          </w:rPr>
          <w:t>view</w:t>
        </w:r>
        <w:proofErr w:type="spellEnd"/>
        <w:r w:rsidRPr="00920047">
          <w:rPr>
            <w:rStyle w:val="Hyperlink"/>
            <w:rFonts w:ascii="Arial Narrow" w:hAnsi="Arial Narrow"/>
            <w:color w:val="auto"/>
          </w:rPr>
          <w:t>/66040</w:t>
        </w:r>
      </w:hyperlink>
      <w:r w:rsidRPr="00920047">
        <w:rPr>
          <w:rFonts w:ascii="Arial Narrow" w:hAnsi="Arial Narrow"/>
        </w:rPr>
        <w:t xml:space="preserve">. Consulta em 17 </w:t>
      </w:r>
      <w:proofErr w:type="spellStart"/>
      <w:r w:rsidRPr="00920047">
        <w:rPr>
          <w:rFonts w:ascii="Arial Narrow" w:hAnsi="Arial Narrow"/>
        </w:rPr>
        <w:t>ag</w:t>
      </w:r>
      <w:proofErr w:type="spellEnd"/>
      <w:r w:rsidRPr="00920047">
        <w:rPr>
          <w:rFonts w:ascii="Arial Narrow" w:hAnsi="Arial Narrow"/>
        </w:rPr>
        <w:t xml:space="preserve"> 2021. </w:t>
      </w:r>
    </w:p>
  </w:endnote>
  <w:endnote w:id="5">
    <w:p w14:paraId="0DA1D4C9" w14:textId="5373A6B1" w:rsidR="009B1102" w:rsidRPr="00920047" w:rsidRDefault="009B1102" w:rsidP="00422634">
      <w:pPr>
        <w:pStyle w:val="Textodenotadefim"/>
        <w:spacing w:after="120"/>
        <w:jc w:val="both"/>
        <w:rPr>
          <w:rFonts w:ascii="Arial Narrow" w:hAnsi="Arial Narrow"/>
        </w:rPr>
      </w:pPr>
      <w:r w:rsidRPr="00920047">
        <w:rPr>
          <w:rStyle w:val="Refdenotadefim"/>
          <w:rFonts w:ascii="Arial Narrow" w:hAnsi="Arial Narrow"/>
        </w:rPr>
        <w:endnoteRef/>
      </w:r>
      <w:r w:rsidRPr="00920047">
        <w:rPr>
          <w:rFonts w:ascii="Arial Narrow" w:hAnsi="Arial Narrow"/>
        </w:rPr>
        <w:t xml:space="preserve"> DALLARI, Dalmo de Abreu Dallari. Fundações Públicas e Suas Limitações. </w:t>
      </w:r>
      <w:r w:rsidRPr="00920047">
        <w:rPr>
          <w:rFonts w:ascii="Arial Narrow" w:hAnsi="Arial Narrow"/>
          <w:b/>
          <w:bCs/>
        </w:rPr>
        <w:t xml:space="preserve">Revista </w:t>
      </w:r>
      <w:proofErr w:type="spellStart"/>
      <w:r w:rsidRPr="00920047">
        <w:rPr>
          <w:rFonts w:ascii="Arial Narrow" w:hAnsi="Arial Narrow"/>
          <w:b/>
          <w:bCs/>
        </w:rPr>
        <w:t>Adusp</w:t>
      </w:r>
      <w:proofErr w:type="spellEnd"/>
      <w:r w:rsidRPr="00920047">
        <w:rPr>
          <w:rFonts w:ascii="Arial Narrow" w:hAnsi="Arial Narrow"/>
        </w:rPr>
        <w:t xml:space="preserve">. São Paulo: </w:t>
      </w:r>
      <w:proofErr w:type="spellStart"/>
      <w:r w:rsidRPr="00920047">
        <w:rPr>
          <w:rFonts w:ascii="Arial Narrow" w:hAnsi="Arial Narrow"/>
        </w:rPr>
        <w:t>jul</w:t>
      </w:r>
      <w:proofErr w:type="spellEnd"/>
      <w:r w:rsidRPr="00920047">
        <w:rPr>
          <w:rFonts w:ascii="Arial Narrow" w:hAnsi="Arial Narrow"/>
        </w:rPr>
        <w:t xml:space="preserve"> 1995, p. 16.</w:t>
      </w:r>
    </w:p>
  </w:endnote>
  <w:endnote w:id="6">
    <w:p w14:paraId="3A3D0EF5" w14:textId="16CEBE67" w:rsidR="009B1102" w:rsidRPr="00422634" w:rsidRDefault="009B1102" w:rsidP="00422634">
      <w:pPr>
        <w:pStyle w:val="Textodenotadefim"/>
        <w:spacing w:after="120"/>
        <w:rPr>
          <w:rFonts w:ascii="Arial Narrow" w:hAnsi="Arial Narrow" w:cs="Arial"/>
        </w:rPr>
      </w:pPr>
      <w:r w:rsidRPr="00422634">
        <w:rPr>
          <w:rStyle w:val="Refdenotadefim"/>
          <w:rFonts w:ascii="Arial Narrow" w:hAnsi="Arial Narrow" w:cs="Arial"/>
        </w:rPr>
        <w:endnoteRef/>
      </w:r>
      <w:r w:rsidRPr="00422634">
        <w:rPr>
          <w:rFonts w:ascii="Arial Narrow" w:hAnsi="Arial Narrow" w:cs="Arial"/>
        </w:rPr>
        <w:t xml:space="preserve"> GUASQUE, Luiz Fabião. </w:t>
      </w:r>
      <w:r w:rsidRPr="00780151">
        <w:rPr>
          <w:rFonts w:ascii="Arial Narrow" w:hAnsi="Arial Narrow" w:cs="Arial"/>
          <w:b/>
          <w:bCs/>
        </w:rPr>
        <w:t>Manual das ONGs e das Fundações</w:t>
      </w:r>
      <w:r w:rsidRPr="00422634">
        <w:rPr>
          <w:rFonts w:ascii="Arial Narrow" w:hAnsi="Arial Narrow" w:cs="Arial"/>
        </w:rPr>
        <w:t xml:space="preserve">. Rio de Janeiro: </w:t>
      </w:r>
      <w:proofErr w:type="spellStart"/>
      <w:r w:rsidRPr="00422634">
        <w:rPr>
          <w:rFonts w:ascii="Arial Narrow" w:hAnsi="Arial Narrow" w:cs="Arial"/>
        </w:rPr>
        <w:t>Freiytas</w:t>
      </w:r>
      <w:proofErr w:type="spellEnd"/>
      <w:r w:rsidRPr="00422634">
        <w:rPr>
          <w:rFonts w:ascii="Arial Narrow" w:hAnsi="Arial Narrow" w:cs="Arial"/>
        </w:rPr>
        <w:t xml:space="preserve"> bastos, 2008, p. 141. </w:t>
      </w:r>
    </w:p>
  </w:endnote>
  <w:endnote w:id="7">
    <w:p w14:paraId="14D03B48" w14:textId="21291900" w:rsidR="00EB0F03" w:rsidRPr="00EB0F03" w:rsidRDefault="00EB0F03" w:rsidP="00EB0F03">
      <w:pPr>
        <w:pStyle w:val="Textodenotadefim"/>
        <w:jc w:val="both"/>
        <w:rPr>
          <w:rFonts w:ascii="Arial Narrow" w:hAnsi="Arial Narrow"/>
        </w:rPr>
      </w:pPr>
      <w:r>
        <w:rPr>
          <w:rStyle w:val="Refdenotadefim"/>
        </w:rPr>
        <w:endnoteRef/>
      </w:r>
      <w:r>
        <w:t xml:space="preserve"> </w:t>
      </w:r>
      <w:r w:rsidRPr="00EB0F03">
        <w:rPr>
          <w:rFonts w:ascii="Arial Narrow" w:hAnsi="Arial Narrow"/>
        </w:rPr>
        <w:t xml:space="preserve">Art. 69. </w:t>
      </w:r>
      <w:r w:rsidRPr="00EB0F03">
        <w:rPr>
          <w:rFonts w:ascii="Arial Narrow" w:hAnsi="Arial Narrow"/>
          <w:color w:val="000000"/>
          <w:shd w:val="clear" w:color="auto" w:fill="FFFFFF"/>
        </w:rPr>
        <w:t>Tornando-se ilícita, impossível ou inútil a finalidade a que visa a fundação, ou vencido o prazo de sua existência, o órgão do Ministério Público, ou qualquer interessado, lhe promoverá a extinção, incorporando-se o seu patrimônio, salvo disposição em contrário no ato constitutivo, ou no estatuto, em outra fundação, designada pelo juiz, que se proponha a fim igual ou semelhante.</w:t>
      </w:r>
    </w:p>
  </w:endnote>
  <w:endnote w:id="8">
    <w:p w14:paraId="3D6C8724" w14:textId="146B30B0" w:rsidR="009B1102" w:rsidRPr="00175B49" w:rsidRDefault="009B1102" w:rsidP="00422634">
      <w:pPr>
        <w:pStyle w:val="Textodenotadefim"/>
        <w:spacing w:after="120"/>
        <w:jc w:val="both"/>
        <w:rPr>
          <w:rFonts w:ascii="Arial Narrow" w:hAnsi="Arial Narrow"/>
        </w:rPr>
      </w:pPr>
      <w:r w:rsidRPr="00175B49">
        <w:rPr>
          <w:rStyle w:val="Refdenotadefim"/>
          <w:rFonts w:ascii="Arial Narrow" w:hAnsi="Arial Narrow"/>
        </w:rPr>
        <w:endnoteRef/>
      </w:r>
      <w:r w:rsidRPr="00175B4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Já acima transcrito.</w:t>
      </w:r>
    </w:p>
  </w:endnote>
  <w:endnote w:id="9">
    <w:p w14:paraId="1AA3A85A" w14:textId="549E9E04" w:rsidR="009B1102" w:rsidRPr="00920047" w:rsidRDefault="009B1102" w:rsidP="00422634">
      <w:pPr>
        <w:pStyle w:val="Textodenotadefim"/>
        <w:spacing w:after="120"/>
        <w:jc w:val="both"/>
        <w:rPr>
          <w:rFonts w:ascii="Arial Narrow" w:hAnsi="Arial Narrow"/>
        </w:rPr>
      </w:pPr>
      <w:r w:rsidRPr="00920047">
        <w:rPr>
          <w:rStyle w:val="Refdenotadefim"/>
          <w:rFonts w:ascii="Arial Narrow" w:hAnsi="Arial Narrow"/>
        </w:rPr>
        <w:endnoteRef/>
      </w:r>
      <w:r w:rsidRPr="00920047">
        <w:rPr>
          <w:rFonts w:ascii="Arial Narrow" w:hAnsi="Arial Narrow"/>
        </w:rPr>
        <w:t xml:space="preserve"> AZEVEDO, Antônio Junqueira de. </w:t>
      </w:r>
      <w:r w:rsidRPr="00920047">
        <w:rPr>
          <w:rFonts w:ascii="Arial Narrow" w:hAnsi="Arial Narrow"/>
          <w:b/>
          <w:bCs/>
        </w:rPr>
        <w:t>Negócio Jurídico</w:t>
      </w:r>
      <w:r w:rsidRPr="00920047">
        <w:rPr>
          <w:rFonts w:ascii="Arial Narrow" w:hAnsi="Arial Narrow"/>
        </w:rPr>
        <w:t xml:space="preserve">: existência, validade e eficácia. 4 ed. São Paulo: saraiva, 2002. </w:t>
      </w:r>
    </w:p>
  </w:endnote>
  <w:endnote w:id="10">
    <w:p w14:paraId="3C69E962" w14:textId="6420E581" w:rsidR="009B1102" w:rsidRDefault="009B1102" w:rsidP="00422634">
      <w:pPr>
        <w:pStyle w:val="Textodenotadefim"/>
        <w:spacing w:after="120"/>
        <w:jc w:val="both"/>
      </w:pPr>
      <w:r w:rsidRPr="00CD01F5">
        <w:rPr>
          <w:rStyle w:val="Refdenotadefim"/>
          <w:rFonts w:ascii="Arial Narrow" w:hAnsi="Arial Narrow"/>
        </w:rPr>
        <w:endnoteRef/>
      </w:r>
      <w:r w:rsidRPr="00CD01F5">
        <w:rPr>
          <w:rFonts w:ascii="Arial Narrow" w:hAnsi="Arial Narrow"/>
        </w:rPr>
        <w:t xml:space="preserve"> Art. 1.923. Desde a abertura da sucessão, pertence ao legatário a coisa certa, existente no acervo, salvo se o legado estiver sob condição suspensiva. § 1</w:t>
      </w:r>
      <w:r>
        <w:rPr>
          <w:rFonts w:ascii="Arial Narrow" w:hAnsi="Arial Narrow"/>
        </w:rPr>
        <w:t>º</w:t>
      </w:r>
      <w:r w:rsidRPr="00CD01F5">
        <w:rPr>
          <w:rFonts w:ascii="Arial Narrow" w:hAnsi="Arial Narrow"/>
        </w:rPr>
        <w:t xml:space="preserve"> Não se defere de imediato a posse da coisa, nem nela pode o legatário entrar por autoridade própria. § 2</w:t>
      </w:r>
      <w:r>
        <w:rPr>
          <w:rFonts w:ascii="Arial Narrow" w:hAnsi="Arial Narrow"/>
        </w:rPr>
        <w:t>º</w:t>
      </w:r>
      <w:r w:rsidRPr="00CD01F5">
        <w:rPr>
          <w:rFonts w:ascii="Arial Narrow" w:hAnsi="Arial Narrow"/>
        </w:rPr>
        <w:t xml:space="preserve"> O legado de coisa certa existente na herança transfere também ao legatário os frutos que produzir, desde a morte do testador, exceto se dependente de condição suspensiva, ou de termo inicial.</w:t>
      </w:r>
    </w:p>
  </w:endnote>
  <w:endnote w:id="11">
    <w:p w14:paraId="2DFC5E53" w14:textId="5D116ED6" w:rsidR="009B1102" w:rsidRDefault="009B1102" w:rsidP="00422634">
      <w:pPr>
        <w:pStyle w:val="Textodenotadefim"/>
        <w:spacing w:after="120"/>
        <w:jc w:val="both"/>
      </w:pPr>
      <w:r w:rsidRPr="000A58DA">
        <w:rPr>
          <w:rStyle w:val="Refdenotadefim"/>
          <w:rFonts w:ascii="Arial Narrow" w:hAnsi="Arial Narrow" w:cs="Arial"/>
        </w:rPr>
        <w:endnoteRef/>
      </w:r>
      <w:r w:rsidRPr="000A58DA">
        <w:rPr>
          <w:rFonts w:ascii="Arial Narrow" w:hAnsi="Arial Narrow" w:cs="Arial"/>
        </w:rPr>
        <w:t xml:space="preserve"> Rodrigues (2003) expõe: “[...] faz-se preciso recorrer à distinção entre posse direta e indireta. O legatário, no momento da morte do testador, adquire o domínio da coisa certa legada, bem como a posse indireta dela (CC, art. 1.923). A posse direta, entretanto, só será por ele adquirida </w:t>
      </w:r>
      <w:proofErr w:type="gramStart"/>
      <w:r w:rsidRPr="000A58DA">
        <w:rPr>
          <w:rFonts w:ascii="Arial Narrow" w:hAnsi="Arial Narrow" w:cs="Arial"/>
        </w:rPr>
        <w:t>no momento em que</w:t>
      </w:r>
      <w:proofErr w:type="gramEnd"/>
      <w:r w:rsidRPr="000A58DA">
        <w:rPr>
          <w:rFonts w:ascii="Arial Narrow" w:hAnsi="Arial Narrow" w:cs="Arial"/>
        </w:rPr>
        <w:t xml:space="preserve"> o herdeiro lhe entregar o objeto do legado (CC, art. 1.923, § 1º). Até esse momento, cabe-lhe o direito de reclamar a entrega daquilo que se tornou seu por força do testamento, e cuja propriedade resultou da morte do testador (RODRIGUES, Silvio. </w:t>
      </w:r>
      <w:r w:rsidRPr="000A58DA">
        <w:rPr>
          <w:rFonts w:ascii="Arial Narrow" w:hAnsi="Arial Narrow" w:cs="Arial"/>
          <w:b/>
          <w:bCs/>
        </w:rPr>
        <w:t>Direito Civil</w:t>
      </w:r>
      <w:r w:rsidRPr="000A58DA">
        <w:rPr>
          <w:rFonts w:ascii="Arial Narrow" w:hAnsi="Arial Narrow" w:cs="Arial"/>
        </w:rPr>
        <w:t xml:space="preserve"> v.7: Direito das Sucessões. 26ª Ed. São Paulo: Saraiva, 2003.RODRIGUES, 2003).</w:t>
      </w:r>
    </w:p>
  </w:endnote>
  <w:endnote w:id="12">
    <w:p w14:paraId="71EBC267" w14:textId="4886AD3F" w:rsidR="009B1102" w:rsidRPr="001036FD" w:rsidRDefault="009B1102" w:rsidP="00DA3A20">
      <w:pPr>
        <w:pStyle w:val="Textodenotadefim"/>
        <w:spacing w:after="120"/>
        <w:jc w:val="both"/>
        <w:rPr>
          <w:rFonts w:ascii="Arial Narrow" w:hAnsi="Arial Narrow"/>
        </w:rPr>
      </w:pPr>
      <w:r w:rsidRPr="001036FD">
        <w:rPr>
          <w:rStyle w:val="Refdenotadefim"/>
          <w:rFonts w:ascii="Arial Narrow" w:hAnsi="Arial Narrow"/>
        </w:rPr>
        <w:endnoteRef/>
      </w:r>
      <w:r w:rsidRPr="001036FD">
        <w:rPr>
          <w:rFonts w:ascii="Arial Narrow" w:hAnsi="Arial Narrow"/>
        </w:rPr>
        <w:t xml:space="preserve"> Neste mesmo sentido, Sergio De Andréa Ferreira </w:t>
      </w:r>
      <w:r w:rsidRPr="001036FD">
        <w:rPr>
          <w:rFonts w:ascii="Arial Narrow" w:hAnsi="Arial Narrow"/>
          <w:i/>
          <w:iCs/>
        </w:rPr>
        <w:t>in</w:t>
      </w:r>
      <w:r w:rsidRPr="001036FD">
        <w:rPr>
          <w:rFonts w:ascii="Arial Narrow" w:hAnsi="Arial Narrow"/>
        </w:rPr>
        <w:t xml:space="preserve"> </w:t>
      </w:r>
      <w:r w:rsidRPr="001036FD">
        <w:rPr>
          <w:rFonts w:ascii="Arial Narrow" w:hAnsi="Arial Narrow"/>
          <w:b/>
          <w:bCs/>
        </w:rPr>
        <w:t xml:space="preserve">As Fundações De Direito Privado Instituídas Pelo Poder Público No Brasil </w:t>
      </w:r>
      <w:r w:rsidRPr="001036FD">
        <w:rPr>
          <w:rFonts w:ascii="Arial Narrow" w:hAnsi="Arial Narrow"/>
        </w:rPr>
        <w:t xml:space="preserve">(Tese apresentada no concurso para a livre-docência de Direito Administrativo, na Faculdade de Direito da Universidade do Estado da Guanabara (disponível em </w:t>
      </w:r>
      <w:hyperlink r:id="rId3" w:history="1">
        <w:r w:rsidRPr="0051124D">
          <w:rPr>
            <w:rStyle w:val="Hyperlink"/>
            <w:rFonts w:ascii="Arial Narrow" w:hAnsi="Arial Narrow"/>
          </w:rPr>
          <w:t>http://www.mprj.mp.br/documents/20184 /1758650/Sergio_De_Andrea_Ferreira.pdf</w:t>
        </w:r>
      </w:hyperlink>
      <w:r w:rsidRPr="001036FD">
        <w:rPr>
          <w:rFonts w:ascii="Arial Narrow" w:hAnsi="Arial Narrow"/>
          <w:u w:val="single"/>
        </w:rPr>
        <w:t xml:space="preserve">. </w:t>
      </w:r>
      <w:r w:rsidRPr="001036FD">
        <w:rPr>
          <w:rFonts w:ascii="Arial Narrow" w:hAnsi="Arial Narrow"/>
        </w:rPr>
        <w:t>Consultado em 05 out</w:t>
      </w:r>
      <w:r>
        <w:rPr>
          <w:rFonts w:ascii="Arial Narrow" w:hAnsi="Arial Narrow"/>
        </w:rPr>
        <w:t>.</w:t>
      </w:r>
      <w:r w:rsidRPr="001036FD">
        <w:rPr>
          <w:rFonts w:ascii="Arial Narrow" w:hAnsi="Arial Narrow"/>
        </w:rPr>
        <w:t xml:space="preserve"> 2021</w:t>
      </w:r>
      <w:r>
        <w:rPr>
          <w:rFonts w:ascii="Arial Narrow" w:hAnsi="Arial Narrow"/>
        </w:rPr>
        <w:t>), para quem “[é]</w:t>
      </w:r>
      <w:r w:rsidRPr="00A5571E">
        <w:rPr>
          <w:rFonts w:ascii="Arial Narrow" w:hAnsi="Arial Narrow"/>
        </w:rPr>
        <w:t xml:space="preserve"> uma liberalidade, mas constitui categoria jurídica específica, diversa</w:t>
      </w:r>
      <w:r>
        <w:rPr>
          <w:rFonts w:ascii="Arial Narrow" w:hAnsi="Arial Narrow"/>
        </w:rPr>
        <w:t xml:space="preserve"> </w:t>
      </w:r>
      <w:r w:rsidRPr="00A5571E">
        <w:rPr>
          <w:rFonts w:ascii="Arial Narrow" w:hAnsi="Arial Narrow"/>
        </w:rPr>
        <w:t>que é da doação, a cujo regime e restrições não está sujeita. Fala-se, aliás,</w:t>
      </w:r>
      <w:r>
        <w:rPr>
          <w:rFonts w:ascii="Arial Narrow" w:hAnsi="Arial Narrow"/>
        </w:rPr>
        <w:t xml:space="preserve"> </w:t>
      </w:r>
      <w:r w:rsidRPr="00A5571E">
        <w:rPr>
          <w:rFonts w:ascii="Arial Narrow" w:hAnsi="Arial Narrow"/>
        </w:rPr>
        <w:t>no particular, em dotação ou atribuição de bens e não, em doação (217).</w:t>
      </w:r>
      <w:r>
        <w:rPr>
          <w:rFonts w:ascii="Arial Narrow" w:hAnsi="Arial Narrow"/>
        </w:rPr>
        <w:t xml:space="preserve"> </w:t>
      </w:r>
      <w:r w:rsidRPr="00A5571E">
        <w:rPr>
          <w:rFonts w:ascii="Arial Narrow" w:hAnsi="Arial Narrow"/>
        </w:rPr>
        <w:t xml:space="preserve">O ato de instituição é formal, podendo ser </w:t>
      </w:r>
      <w:proofErr w:type="spellStart"/>
      <w:proofErr w:type="gramStart"/>
      <w:r w:rsidRPr="00912C18">
        <w:rPr>
          <w:rFonts w:ascii="Arial Narrow" w:hAnsi="Arial Narrow"/>
          <w:i/>
          <w:iCs/>
        </w:rPr>
        <w:t>inter</w:t>
      </w:r>
      <w:proofErr w:type="spellEnd"/>
      <w:r w:rsidRPr="00912C18">
        <w:rPr>
          <w:rFonts w:ascii="Arial Narrow" w:hAnsi="Arial Narrow"/>
          <w:i/>
          <w:iCs/>
        </w:rPr>
        <w:t xml:space="preserve"> vivos</w:t>
      </w:r>
      <w:proofErr w:type="gramEnd"/>
      <w:r w:rsidRPr="00A5571E">
        <w:rPr>
          <w:rFonts w:ascii="Arial Narrow" w:hAnsi="Arial Narrow"/>
        </w:rPr>
        <w:t xml:space="preserve"> ou </w:t>
      </w:r>
      <w:r>
        <w:rPr>
          <w:rFonts w:ascii="Arial Narrow" w:hAnsi="Arial Narrow"/>
        </w:rPr>
        <w:t>m</w:t>
      </w:r>
      <w:r w:rsidRPr="00A5571E">
        <w:rPr>
          <w:rFonts w:ascii="Arial Narrow" w:hAnsi="Arial Narrow"/>
        </w:rPr>
        <w:t>ortis causa.</w:t>
      </w:r>
      <w:r>
        <w:rPr>
          <w:rFonts w:ascii="Arial Narrow" w:hAnsi="Arial Narrow"/>
        </w:rPr>
        <w:t xml:space="preserve"> </w:t>
      </w:r>
      <w:r w:rsidRPr="00A5571E">
        <w:rPr>
          <w:rFonts w:ascii="Arial Narrow" w:hAnsi="Arial Narrow"/>
        </w:rPr>
        <w:t xml:space="preserve">Exige o art. 24 do Código Civil que </w:t>
      </w:r>
      <w:proofErr w:type="spellStart"/>
      <w:r w:rsidRPr="00A5571E">
        <w:rPr>
          <w:rFonts w:ascii="Arial Narrow" w:hAnsi="Arial Narrow"/>
        </w:rPr>
        <w:t>êle</w:t>
      </w:r>
      <w:proofErr w:type="spellEnd"/>
      <w:r w:rsidRPr="00A5571E">
        <w:rPr>
          <w:rFonts w:ascii="Arial Narrow" w:hAnsi="Arial Narrow"/>
        </w:rPr>
        <w:t xml:space="preserve"> se exteriorize por escritura pública</w:t>
      </w:r>
      <w:r>
        <w:rPr>
          <w:rFonts w:ascii="Arial Narrow" w:hAnsi="Arial Narrow"/>
        </w:rPr>
        <w:t xml:space="preserve"> </w:t>
      </w:r>
      <w:r w:rsidRPr="00A5571E">
        <w:rPr>
          <w:rFonts w:ascii="Arial Narrow" w:hAnsi="Arial Narrow"/>
        </w:rPr>
        <w:t>ou testamento. Pelo mesmo ato deve ser feita dotação especial de bens livres,</w:t>
      </w:r>
      <w:r>
        <w:rPr>
          <w:rFonts w:ascii="Arial Narrow" w:hAnsi="Arial Narrow"/>
        </w:rPr>
        <w:t xml:space="preserve"> </w:t>
      </w:r>
      <w:r w:rsidRPr="00A5571E">
        <w:rPr>
          <w:rFonts w:ascii="Arial Narrow" w:hAnsi="Arial Narrow"/>
        </w:rPr>
        <w:t>especificando-se, obrigat</w:t>
      </w:r>
      <w:r w:rsidR="00707F79">
        <w:rPr>
          <w:rFonts w:ascii="Arial Narrow" w:hAnsi="Arial Narrow"/>
        </w:rPr>
        <w:t>o</w:t>
      </w:r>
      <w:r w:rsidRPr="00A5571E">
        <w:rPr>
          <w:rFonts w:ascii="Arial Narrow" w:hAnsi="Arial Narrow"/>
        </w:rPr>
        <w:t>ria</w:t>
      </w:r>
      <w:r>
        <w:rPr>
          <w:rFonts w:ascii="Arial Narrow" w:hAnsi="Arial Narrow"/>
        </w:rPr>
        <w:t>mente</w:t>
      </w:r>
      <w:r w:rsidRPr="00A5571E">
        <w:rPr>
          <w:rFonts w:ascii="Arial Narrow" w:hAnsi="Arial Narrow"/>
        </w:rPr>
        <w:t>, o fim a que se destina a fundação e, facultativamente, a maneira de administrá-la.</w:t>
      </w:r>
      <w:r>
        <w:rPr>
          <w:rFonts w:ascii="Arial Narrow" w:hAnsi="Arial Narrow"/>
        </w:rPr>
        <w:t xml:space="preserve"> </w:t>
      </w:r>
      <w:r w:rsidRPr="00A73993">
        <w:rPr>
          <w:rFonts w:ascii="Arial Narrow" w:hAnsi="Arial Narrow"/>
        </w:rPr>
        <w:t xml:space="preserve">Neste primeiro momento, temos o que SADY CARDOSO </w:t>
      </w:r>
      <w:r>
        <w:rPr>
          <w:rFonts w:ascii="Arial Narrow" w:hAnsi="Arial Narrow"/>
        </w:rPr>
        <w:t>D</w:t>
      </w:r>
      <w:r w:rsidRPr="00A73993">
        <w:rPr>
          <w:rFonts w:ascii="Arial Narrow" w:hAnsi="Arial Narrow"/>
        </w:rPr>
        <w:t xml:space="preserve">E </w:t>
      </w:r>
      <w:r>
        <w:rPr>
          <w:rFonts w:ascii="Arial Narrow" w:hAnsi="Arial Narrow"/>
        </w:rPr>
        <w:t>GUS</w:t>
      </w:r>
      <w:r w:rsidRPr="00A73993">
        <w:rPr>
          <w:rFonts w:ascii="Arial Narrow" w:hAnsi="Arial Narrow"/>
        </w:rPr>
        <w:t>MÃO (218)</w:t>
      </w:r>
      <w:r>
        <w:rPr>
          <w:rFonts w:ascii="Arial Narrow" w:hAnsi="Arial Narrow"/>
        </w:rPr>
        <w:t xml:space="preserve"> </w:t>
      </w:r>
      <w:r w:rsidRPr="00A73993">
        <w:rPr>
          <w:rFonts w:ascii="Arial Narrow" w:hAnsi="Arial Narrow"/>
        </w:rPr>
        <w:t>chama de f</w:t>
      </w:r>
      <w:r>
        <w:rPr>
          <w:rFonts w:ascii="Arial Narrow" w:hAnsi="Arial Narrow"/>
        </w:rPr>
        <w:t>u</w:t>
      </w:r>
      <w:r w:rsidRPr="00A73993">
        <w:rPr>
          <w:rFonts w:ascii="Arial Narrow" w:hAnsi="Arial Narrow"/>
        </w:rPr>
        <w:t>ndação instituída ou imperfeita.</w:t>
      </w:r>
      <w:r>
        <w:rPr>
          <w:rFonts w:ascii="Arial Narrow" w:hAnsi="Arial Narrow"/>
        </w:rPr>
        <w:t>” (p. 112).</w:t>
      </w:r>
    </w:p>
  </w:endnote>
  <w:endnote w:id="13">
    <w:p w14:paraId="61F551FD" w14:textId="7D6542EC" w:rsidR="009B1102" w:rsidRPr="00CC559E" w:rsidRDefault="009B1102" w:rsidP="00DA3A20">
      <w:pPr>
        <w:pStyle w:val="Textodenotadefim"/>
        <w:spacing w:after="120"/>
        <w:jc w:val="both"/>
      </w:pPr>
      <w:r w:rsidRPr="00920047">
        <w:rPr>
          <w:rStyle w:val="Refdenotadefim"/>
          <w:rFonts w:ascii="Arial Narrow" w:hAnsi="Arial Narrow"/>
        </w:rPr>
        <w:endnoteRef/>
      </w:r>
      <w:r w:rsidRPr="00920047">
        <w:rPr>
          <w:rFonts w:ascii="Arial Narrow" w:hAnsi="Arial Narrow"/>
        </w:rPr>
        <w:t xml:space="preserve"> Assim dispõe o Código Civil: “</w:t>
      </w:r>
      <w:r w:rsidRPr="00C61A32">
        <w:rPr>
          <w:rFonts w:ascii="Arial Narrow" w:hAnsi="Arial Narrow"/>
        </w:rPr>
        <w:t xml:space="preserve">Art. 1.967. As disposições que excederem a parte disponível reduzir-se-ão aos limites dela, de conformidade com o disposto nos parágrafos seguintes.§ 1 o Em se verificando excederem as disposições testamentárias a porção disponível, serão proporcionalmente reduzidas as quotas do herdeiro ou herdeiros instituídos, até onde baste, e, não bastando, também os legados, na proporção do seu valor.§ 2 o Se o testador, prevenindo o caso, dispuser que se inteirem, de preferência, certos herdeiros e legatários, a redução far-se-á nos outros quinhões ou legados, observando-se a seu respeito a ordem estabelecida no parágrafo </w:t>
      </w:r>
      <w:r>
        <w:rPr>
          <w:rFonts w:ascii="Arial Narrow" w:hAnsi="Arial Narrow"/>
        </w:rPr>
        <w:t>a</w:t>
      </w:r>
      <w:r w:rsidRPr="00C61A32">
        <w:rPr>
          <w:rFonts w:ascii="Arial Narrow" w:hAnsi="Arial Narrow"/>
        </w:rPr>
        <w:t>ntecedente.</w:t>
      </w:r>
      <w:r>
        <w:rPr>
          <w:rFonts w:ascii="Arial Narrow" w:hAnsi="Arial Narrow"/>
        </w:rPr>
        <w:t xml:space="preserve"> [...] </w:t>
      </w:r>
      <w:r w:rsidRPr="00920047">
        <w:rPr>
          <w:rFonts w:ascii="Arial Narrow" w:hAnsi="Arial Narrow"/>
        </w:rPr>
        <w:t xml:space="preserve">Art. 2.018. É válida a partilha feita por ascendente, por ato entre vivos ou de última vontade, contanto que não prejudique a legítima dos </w:t>
      </w:r>
      <w:r w:rsidRPr="00CC559E">
        <w:rPr>
          <w:rFonts w:ascii="Arial Narrow" w:hAnsi="Arial Narrow"/>
        </w:rPr>
        <w:t>herdeiros necessários.”</w:t>
      </w:r>
    </w:p>
  </w:endnote>
  <w:endnote w:id="14">
    <w:p w14:paraId="729681A6" w14:textId="5A270E3C" w:rsidR="0077390E" w:rsidRPr="00CC559E" w:rsidRDefault="0077390E" w:rsidP="0077390E">
      <w:pPr>
        <w:pStyle w:val="Textodenotadefim"/>
        <w:spacing w:after="120"/>
        <w:jc w:val="both"/>
      </w:pPr>
      <w:r w:rsidRPr="00920047">
        <w:rPr>
          <w:rStyle w:val="Refdenotadefim"/>
          <w:rFonts w:ascii="Arial Narrow" w:hAnsi="Arial Narrow"/>
        </w:rPr>
        <w:endnoteRef/>
      </w:r>
      <w:r w:rsidRPr="00920047">
        <w:rPr>
          <w:rFonts w:ascii="Arial Narrow" w:hAnsi="Arial Narrow"/>
        </w:rPr>
        <w:t xml:space="preserve"> </w:t>
      </w:r>
      <w:r w:rsidRPr="0077390E">
        <w:rPr>
          <w:rFonts w:ascii="Arial Narrow" w:hAnsi="Arial Narrow"/>
        </w:rPr>
        <w:t xml:space="preserve">Sobre tal, aliás, </w:t>
      </w:r>
      <w:r>
        <w:rPr>
          <w:rFonts w:ascii="Arial Narrow" w:hAnsi="Arial Narrow"/>
        </w:rPr>
        <w:t>vide</w:t>
      </w:r>
      <w:r w:rsidRPr="0077390E">
        <w:rPr>
          <w:rFonts w:ascii="Arial Narrow" w:hAnsi="Arial Narrow"/>
        </w:rPr>
        <w:t xml:space="preserve"> Fundações Testamentárias de Direito e em Comum: a partilha como marco temporal fundamental de possibilidade de constituição” (coautoria com Waleska Nogueira Reis Schettini Pinto – </w:t>
      </w:r>
      <w:r w:rsidRPr="0077390E">
        <w:rPr>
          <w:rFonts w:ascii="Arial Narrow" w:hAnsi="Arial Narrow"/>
          <w:b/>
          <w:bCs/>
        </w:rPr>
        <w:t>Revista do Ministério Público do Estado do Rio de Janeiro</w:t>
      </w:r>
      <w:r w:rsidRPr="0077390E">
        <w:rPr>
          <w:rFonts w:ascii="Arial Narrow" w:hAnsi="Arial Narrow"/>
        </w:rPr>
        <w:t>, n.º 82 – out/</w:t>
      </w:r>
      <w:proofErr w:type="spellStart"/>
      <w:r w:rsidRPr="0077390E">
        <w:rPr>
          <w:rFonts w:ascii="Arial Narrow" w:hAnsi="Arial Narrow"/>
        </w:rPr>
        <w:t>nov</w:t>
      </w:r>
      <w:proofErr w:type="spellEnd"/>
      <w:r w:rsidRPr="0077390E">
        <w:rPr>
          <w:rFonts w:ascii="Arial Narrow" w:hAnsi="Arial Narrow"/>
        </w:rPr>
        <w:t xml:space="preserve"> 2021</w:t>
      </w:r>
      <w:r>
        <w:rPr>
          <w:rFonts w:ascii="Arial Narrow" w:hAnsi="Arial Narrow"/>
        </w:rPr>
        <w:t>.</w:t>
      </w:r>
    </w:p>
  </w:endnote>
  <w:endnote w:id="15">
    <w:p w14:paraId="39CC2396" w14:textId="42A3423B" w:rsidR="009B1102" w:rsidRPr="00456F20" w:rsidRDefault="009B1102" w:rsidP="00422634">
      <w:pPr>
        <w:pStyle w:val="Textodenotadefim"/>
        <w:spacing w:after="120"/>
        <w:jc w:val="both"/>
        <w:rPr>
          <w:rFonts w:ascii="Arial Narrow" w:hAnsi="Arial Narrow"/>
        </w:rPr>
      </w:pPr>
      <w:r w:rsidRPr="00CC559E">
        <w:rPr>
          <w:rStyle w:val="Refdenotadefim"/>
          <w:rFonts w:ascii="Arial Narrow" w:hAnsi="Arial Narrow"/>
        </w:rPr>
        <w:endnoteRef/>
      </w:r>
      <w:r w:rsidRPr="00CC559E">
        <w:rPr>
          <w:rFonts w:ascii="Arial Narrow" w:hAnsi="Arial Narrow"/>
        </w:rPr>
        <w:t xml:space="preserve"> Art</w:t>
      </w:r>
      <w:r w:rsidR="00707F79">
        <w:rPr>
          <w:rFonts w:ascii="Arial Narrow" w:hAnsi="Arial Narrow"/>
        </w:rPr>
        <w:t>.</w:t>
      </w:r>
      <w:r w:rsidRPr="00CC559E">
        <w:rPr>
          <w:rFonts w:ascii="Arial Narrow" w:hAnsi="Arial Narrow"/>
        </w:rPr>
        <w:t xml:space="preserve"> 2018. É válida a partilha feita por ascendente, por ato entre vivos ou de última vontade, contanto que não prejudique a legítima dos herdeiros necessários</w:t>
      </w:r>
      <w:r w:rsidR="00707F79">
        <w:rPr>
          <w:rFonts w:ascii="Arial Narrow" w:hAnsi="Arial Narrow"/>
        </w:rPr>
        <w:t>.</w:t>
      </w:r>
    </w:p>
  </w:endnote>
  <w:endnote w:id="16">
    <w:p w14:paraId="5E58B689" w14:textId="06E65673" w:rsidR="009B1102" w:rsidRPr="00326D17" w:rsidRDefault="009B1102" w:rsidP="00422634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="0043727D" w:rsidRPr="0043727D">
        <w:rPr>
          <w:rFonts w:ascii="Arial Narrow" w:hAnsi="Arial Narrow"/>
        </w:rPr>
        <w:t>Art. 62. Para criar uma fundação, o seu instituidor fará, por escritura pública ou testamento, dotação especial de bens livres, especificando o fim a que se destina, e declarando, se quiser, a maneira de administrá-la</w:t>
      </w:r>
      <w:r w:rsidR="00707F79" w:rsidRPr="00707F79">
        <w:rPr>
          <w:rFonts w:ascii="Arial Narrow" w:hAnsi="Arial Narrow"/>
        </w:rPr>
        <w:t>.</w:t>
      </w:r>
    </w:p>
  </w:endnote>
  <w:endnote w:id="17">
    <w:p w14:paraId="2F0C1CCA" w14:textId="034A24AA" w:rsidR="00336705" w:rsidRPr="00326D17" w:rsidRDefault="00336705" w:rsidP="00336705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L</w:t>
      </w:r>
      <w:r w:rsidR="00A43665">
        <w:rPr>
          <w:rFonts w:ascii="Arial Narrow" w:hAnsi="Arial Narrow"/>
        </w:rPr>
        <w:t>ei</w:t>
      </w:r>
      <w:r w:rsidRPr="00630E1B">
        <w:rPr>
          <w:rFonts w:ascii="Arial Narrow" w:hAnsi="Arial Narrow"/>
        </w:rPr>
        <w:t xml:space="preserve"> </w:t>
      </w:r>
      <w:r w:rsidR="00A43665">
        <w:rPr>
          <w:rFonts w:ascii="Arial Narrow" w:hAnsi="Arial Narrow"/>
        </w:rPr>
        <w:t>n</w:t>
      </w:r>
      <w:r w:rsidRPr="00630E1B">
        <w:rPr>
          <w:rFonts w:ascii="Arial Narrow" w:hAnsi="Arial Narrow"/>
        </w:rPr>
        <w:t xml:space="preserve">º 9.096, </w:t>
      </w:r>
      <w:r w:rsidR="00A43665">
        <w:rPr>
          <w:rFonts w:ascii="Arial Narrow" w:hAnsi="Arial Narrow"/>
        </w:rPr>
        <w:t>de</w:t>
      </w:r>
      <w:r w:rsidRPr="00630E1B">
        <w:rPr>
          <w:rFonts w:ascii="Arial Narrow" w:hAnsi="Arial Narrow"/>
        </w:rPr>
        <w:t xml:space="preserve"> 19 </w:t>
      </w:r>
      <w:r w:rsidR="00A43665" w:rsidRPr="00630E1B">
        <w:rPr>
          <w:rFonts w:ascii="Arial Narrow" w:hAnsi="Arial Narrow"/>
        </w:rPr>
        <w:t>de setembro de</w:t>
      </w:r>
      <w:r w:rsidRPr="00630E1B">
        <w:rPr>
          <w:rFonts w:ascii="Arial Narrow" w:hAnsi="Arial Narrow"/>
        </w:rPr>
        <w:t xml:space="preserve"> 1995 - Art. 53. A fundação ou instituto de direito privado, criado por partido político, destinado ao estudo e pesquisa, à doutrinação e à educação política, rege-se pelas normas da lei civil e tem autonomia para contratar com instituições públicas e privadas, prestar serviços e manter estabelecimentos de acordo com suas finalidades, podendo, ainda, manter intercâmbio com instituições não nacionais. § 1</w:t>
      </w:r>
      <w:proofErr w:type="gramStart"/>
      <w:r w:rsidRPr="00630E1B">
        <w:rPr>
          <w:rFonts w:ascii="Arial Narrow" w:hAnsi="Arial Narrow"/>
        </w:rPr>
        <w:t>º  O</w:t>
      </w:r>
      <w:proofErr w:type="gramEnd"/>
      <w:r w:rsidRPr="00630E1B">
        <w:rPr>
          <w:rFonts w:ascii="Arial Narrow" w:hAnsi="Arial Narrow"/>
        </w:rPr>
        <w:t xml:space="preserve"> instituto poderá ser criado sob qualquer das formas admitidas pela lei civil. § 2</w:t>
      </w:r>
      <w:proofErr w:type="gramStart"/>
      <w:r w:rsidRPr="00630E1B">
        <w:rPr>
          <w:rFonts w:ascii="Arial Narrow" w:hAnsi="Arial Narrow"/>
        </w:rPr>
        <w:t>o  O</w:t>
      </w:r>
      <w:proofErr w:type="gramEnd"/>
      <w:r w:rsidRPr="00630E1B">
        <w:rPr>
          <w:rFonts w:ascii="Arial Narrow" w:hAnsi="Arial Narrow"/>
        </w:rPr>
        <w:t xml:space="preserve"> patrimônio da fundação ou do instituto de direito privado a que se referem o inciso IV do art. 44 desta Lei e o caput deste artigo será vertido ao ente que vier a sucedê-lo nos casos de: I - extinção da fundação ou do instituto, quando extinto, fundido ou incorporado o partido político, assim como nas demais hipóteses previstas na legislação; II - conversão ou transformação da fundação em instituto, assim como deste em fundação.                </w:t>
      </w:r>
    </w:p>
  </w:endnote>
  <w:endnote w:id="18">
    <w:p w14:paraId="2D118387" w14:textId="77777777" w:rsidR="0043727D" w:rsidRPr="00326D17" w:rsidRDefault="0043727D" w:rsidP="0043727D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707F79">
        <w:rPr>
          <w:rFonts w:ascii="Arial Narrow" w:hAnsi="Arial Narrow"/>
        </w:rPr>
        <w:t xml:space="preserve">Art. 1857. </w:t>
      </w:r>
      <w:r w:rsidRPr="00707F79">
        <w:rPr>
          <w:rFonts w:ascii="Arial Narrow" w:hAnsi="Arial Narrow"/>
          <w:color w:val="000000"/>
          <w:shd w:val="clear" w:color="auto" w:fill="FFFFFF"/>
        </w:rPr>
        <w:t xml:space="preserve">Toda pessoa capaz pode dispor, por testamento, da totalidade dos seus bens, ou de parte deles, para depois de sua morte. </w:t>
      </w:r>
      <w:r w:rsidRPr="00707F79">
        <w:rPr>
          <w:rFonts w:ascii="Arial Narrow" w:hAnsi="Arial Narrow"/>
        </w:rPr>
        <w:t>§1º A legítima dos herdeiros necessários não poderá ser incluída no testamento.</w:t>
      </w:r>
    </w:p>
  </w:endnote>
  <w:endnote w:id="19">
    <w:p w14:paraId="6C4943F4" w14:textId="7C3F5925" w:rsidR="00E81E63" w:rsidRPr="00326D17" w:rsidRDefault="00E81E63" w:rsidP="005A2536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="005A2536" w:rsidRPr="005A2536">
        <w:rPr>
          <w:rFonts w:ascii="Arial Narrow" w:hAnsi="Arial Narrow"/>
        </w:rPr>
        <w:t>SIQUEIRA, Graciano Pinheiro de. Transformação de associação em fundação:</w:t>
      </w:r>
      <w:r w:rsidR="005A2536">
        <w:rPr>
          <w:rFonts w:ascii="Arial Narrow" w:hAnsi="Arial Narrow"/>
        </w:rPr>
        <w:t xml:space="preserve"> </w:t>
      </w:r>
      <w:r w:rsidR="005A2536" w:rsidRPr="005A2536">
        <w:rPr>
          <w:rFonts w:ascii="Arial Narrow" w:hAnsi="Arial Narrow"/>
        </w:rPr>
        <w:t xml:space="preserve">incompatibilidade. </w:t>
      </w:r>
      <w:r w:rsidR="005A2536" w:rsidRPr="005A2536">
        <w:rPr>
          <w:rFonts w:ascii="Arial Narrow" w:hAnsi="Arial Narrow"/>
          <w:b/>
          <w:bCs/>
        </w:rPr>
        <w:t xml:space="preserve">Revista Jus </w:t>
      </w:r>
      <w:proofErr w:type="spellStart"/>
      <w:r w:rsidR="005A2536" w:rsidRPr="005A2536">
        <w:rPr>
          <w:rFonts w:ascii="Arial Narrow" w:hAnsi="Arial Narrow"/>
          <w:b/>
          <w:bCs/>
        </w:rPr>
        <w:t>Navigandi</w:t>
      </w:r>
      <w:proofErr w:type="spellEnd"/>
      <w:r w:rsidR="005A2536" w:rsidRPr="005A2536">
        <w:rPr>
          <w:rFonts w:ascii="Arial Narrow" w:hAnsi="Arial Narrow"/>
        </w:rPr>
        <w:t>, ISSN 1518-4862, Teresina, ano 11,</w:t>
      </w:r>
      <w:r w:rsidR="005A2536">
        <w:rPr>
          <w:rFonts w:ascii="Arial Narrow" w:hAnsi="Arial Narrow"/>
        </w:rPr>
        <w:t xml:space="preserve"> </w:t>
      </w:r>
      <w:r w:rsidR="005A2536" w:rsidRPr="005A2536">
        <w:rPr>
          <w:rFonts w:ascii="Arial Narrow" w:hAnsi="Arial Narrow"/>
        </w:rPr>
        <w:t>n. 1030, 27 abr. 2006. Disponível em: https://jus.com.br/artigos/8307. Acesso</w:t>
      </w:r>
      <w:r w:rsidR="005A2536">
        <w:rPr>
          <w:rFonts w:ascii="Arial Narrow" w:hAnsi="Arial Narrow"/>
        </w:rPr>
        <w:t xml:space="preserve"> </w:t>
      </w:r>
      <w:r w:rsidR="005A2536" w:rsidRPr="005A2536">
        <w:rPr>
          <w:rFonts w:ascii="Arial Narrow" w:hAnsi="Arial Narrow"/>
        </w:rPr>
        <w:t>em: 22 fev. 2023.</w:t>
      </w:r>
    </w:p>
  </w:endnote>
  <w:endnote w:id="20">
    <w:p w14:paraId="5273DDAC" w14:textId="77777777" w:rsidR="00884346" w:rsidRPr="00326D17" w:rsidRDefault="00884346" w:rsidP="00884346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 w:rsidRPr="002E145B">
        <w:rPr>
          <w:rFonts w:ascii="Arial Narrow" w:hAnsi="Arial Narrow"/>
        </w:rPr>
        <w:t xml:space="preserve">"Há silêncio nas palavras, elas produzem silêncio. O próprio ato de falar exclui o que não foi dito, pois quando se diz algo – porque se elegeu para dizer – o que não foi dito vem em forma de silêncio, mas está em determinado lugar com seu significado.” (ORLANDI, </w:t>
      </w:r>
      <w:proofErr w:type="spellStart"/>
      <w:r w:rsidRPr="002E145B">
        <w:rPr>
          <w:rFonts w:ascii="Arial Narrow" w:hAnsi="Arial Narrow"/>
        </w:rPr>
        <w:t>Eni</w:t>
      </w:r>
      <w:proofErr w:type="spellEnd"/>
      <w:r w:rsidRPr="002E145B">
        <w:rPr>
          <w:rFonts w:ascii="Arial Narrow" w:hAnsi="Arial Narrow"/>
        </w:rPr>
        <w:t xml:space="preserve"> Puccinelli. </w:t>
      </w:r>
      <w:r w:rsidRPr="002E145B">
        <w:rPr>
          <w:rFonts w:ascii="Arial Narrow" w:hAnsi="Arial Narrow"/>
          <w:b/>
          <w:bCs/>
        </w:rPr>
        <w:t>As formas do silêncio</w:t>
      </w:r>
      <w:r w:rsidRPr="002E145B">
        <w:rPr>
          <w:rFonts w:ascii="Arial Narrow" w:hAnsi="Arial Narrow"/>
        </w:rPr>
        <w:t xml:space="preserve">: no movimento dos sentidos. 5.ed. Campinas (SP): Unicamp, 2002. p.14). Ou na letra de JOSÉ SARAMAGO: “Aquilo que a literatura preguiçosa chamou durante muito tempo silêncio eloquente não existe, os silêncios eloquentes são apenas palavras que ficaram atravessadas na garganta, palavras engasgadas que não puderam escapar ao aperto </w:t>
      </w:r>
      <w:proofErr w:type="gramStart"/>
      <w:r w:rsidRPr="002E145B">
        <w:rPr>
          <w:rFonts w:ascii="Arial Narrow" w:hAnsi="Arial Narrow"/>
        </w:rPr>
        <w:t>do</w:t>
      </w:r>
      <w:r>
        <w:rPr>
          <w:rFonts w:ascii="Arial Narrow" w:hAnsi="Arial Narrow"/>
        </w:rPr>
        <w:t xml:space="preserve"> </w:t>
      </w:r>
      <w:r w:rsidRPr="002E145B">
        <w:rPr>
          <w:rFonts w:ascii="Arial Narrow" w:hAnsi="Arial Narrow"/>
        </w:rPr>
        <w:t>glote"</w:t>
      </w:r>
      <w:proofErr w:type="gramEnd"/>
      <w:r w:rsidRPr="002E145B">
        <w:rPr>
          <w:rFonts w:ascii="Arial Narrow" w:hAnsi="Arial Narrow"/>
        </w:rPr>
        <w:t xml:space="preserve"> (em </w:t>
      </w:r>
      <w:r w:rsidRPr="002E145B">
        <w:rPr>
          <w:rFonts w:ascii="Arial Narrow" w:hAnsi="Arial Narrow"/>
          <w:b/>
          <w:bCs/>
        </w:rPr>
        <w:t>O Homem Duplicado</w:t>
      </w:r>
      <w:r w:rsidRPr="002E145B">
        <w:rPr>
          <w:rFonts w:ascii="Arial Narrow" w:hAnsi="Arial Narrow"/>
        </w:rPr>
        <w:t xml:space="preserve">, por seu protagonista Tertuliano </w:t>
      </w:r>
      <w:proofErr w:type="spellStart"/>
      <w:r w:rsidRPr="002E145B">
        <w:rPr>
          <w:rFonts w:ascii="Arial Narrow" w:hAnsi="Arial Narrow"/>
        </w:rPr>
        <w:t>Maximo</w:t>
      </w:r>
      <w:proofErr w:type="spellEnd"/>
      <w:r w:rsidRPr="002E145B">
        <w:rPr>
          <w:rFonts w:ascii="Arial Narrow" w:hAnsi="Arial Narrow"/>
        </w:rPr>
        <w:t xml:space="preserve"> Afonso. São Paulo, Companhia das Letras, 2002, 7ª edição, p. 65)</w:t>
      </w:r>
      <w:r>
        <w:rPr>
          <w:rFonts w:ascii="Arial Narrow" w:hAnsi="Arial Narrow"/>
        </w:rPr>
        <w:t xml:space="preserve">. </w:t>
      </w:r>
      <w:r w:rsidRPr="00630E1B">
        <w:rPr>
          <w:rFonts w:ascii="Arial Narrow" w:hAnsi="Arial Narrow"/>
        </w:rPr>
        <w:t xml:space="preserve">       </w:t>
      </w:r>
    </w:p>
  </w:endnote>
  <w:endnote w:id="21">
    <w:p w14:paraId="7D58AFA1" w14:textId="79698761" w:rsidR="001F27DF" w:rsidRPr="00326D17" w:rsidRDefault="001F27DF" w:rsidP="002C1509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="002C1509" w:rsidRPr="002C1509">
        <w:rPr>
          <w:rFonts w:ascii="Arial Narrow" w:hAnsi="Arial Narrow"/>
        </w:rPr>
        <w:t>32. É vedada a averbação de transformação de associação ou fundação em</w:t>
      </w:r>
      <w:r w:rsidR="002C1509">
        <w:rPr>
          <w:rFonts w:ascii="Arial Narrow" w:hAnsi="Arial Narrow"/>
        </w:rPr>
        <w:t xml:space="preserve"> </w:t>
      </w:r>
      <w:r w:rsidR="002C1509" w:rsidRPr="002C1509">
        <w:rPr>
          <w:rFonts w:ascii="Arial Narrow" w:hAnsi="Arial Narrow"/>
        </w:rPr>
        <w:t>sociedade, ressalvada a hipótese de instituição de ensino superior referidas no art. 13</w:t>
      </w:r>
      <w:r w:rsidR="002C1509">
        <w:rPr>
          <w:rFonts w:ascii="Arial Narrow" w:hAnsi="Arial Narrow"/>
        </w:rPr>
        <w:t xml:space="preserve"> </w:t>
      </w:r>
      <w:r w:rsidR="002C1509" w:rsidRPr="002C1509">
        <w:rPr>
          <w:rFonts w:ascii="Arial Narrow" w:hAnsi="Arial Narrow"/>
        </w:rPr>
        <w:t>da Lei nº 11.096/2005 e as associações que tenham seu patrimônio dividido em cotas</w:t>
      </w:r>
      <w:r w:rsidR="002C1509">
        <w:rPr>
          <w:rFonts w:ascii="Arial Narrow" w:hAnsi="Arial Narrow"/>
        </w:rPr>
        <w:t xml:space="preserve"> </w:t>
      </w:r>
      <w:r w:rsidR="002C1509" w:rsidRPr="002C1509">
        <w:rPr>
          <w:rFonts w:ascii="Arial Narrow" w:hAnsi="Arial Narrow"/>
        </w:rPr>
        <w:t>ou frações ideais, nos termos do art. 56, parágrafo único, do Código Civil.</w:t>
      </w:r>
      <w:r w:rsidR="002C1509">
        <w:rPr>
          <w:rFonts w:ascii="Arial Narrow" w:hAnsi="Arial Narrow"/>
        </w:rPr>
        <w:t xml:space="preserve"> </w:t>
      </w:r>
      <w:r w:rsidR="002C1509" w:rsidRPr="002C1509">
        <w:rPr>
          <w:rFonts w:ascii="Arial Narrow" w:hAnsi="Arial Narrow"/>
        </w:rPr>
        <w:t>32.1. Aplicam-se às associações os institutos da fusão, incorporação e</w:t>
      </w:r>
      <w:r w:rsidR="002C1509">
        <w:rPr>
          <w:rFonts w:ascii="Arial Narrow" w:hAnsi="Arial Narrow"/>
        </w:rPr>
        <w:t xml:space="preserve"> </w:t>
      </w:r>
      <w:r w:rsidR="002C1509" w:rsidRPr="002C1509">
        <w:rPr>
          <w:rFonts w:ascii="Arial Narrow" w:hAnsi="Arial Narrow"/>
        </w:rPr>
        <w:t>cisão.</w:t>
      </w:r>
      <w:r w:rsidR="00A957F0">
        <w:rPr>
          <w:rFonts w:ascii="Arial Narrow" w:hAnsi="Arial Narrow"/>
        </w:rPr>
        <w:t xml:space="preserve"> Disponível em </w:t>
      </w:r>
      <w:hyperlink r:id="rId4" w:history="1">
        <w:r w:rsidR="00A957F0" w:rsidRPr="00FF1132">
          <w:rPr>
            <w:rStyle w:val="Hyperlink"/>
            <w:rFonts w:ascii="Arial Narrow" w:hAnsi="Arial Narrow"/>
          </w:rPr>
          <w:t>https://api.tjsp.jus.br/Handlers/Handler/FileFetch.ashx?codigo=138285</w:t>
        </w:r>
      </w:hyperlink>
      <w:r w:rsidR="00A957F0">
        <w:rPr>
          <w:rFonts w:ascii="Arial Narrow" w:hAnsi="Arial Narrow"/>
        </w:rPr>
        <w:t xml:space="preserve">. Consulta </w:t>
      </w:r>
      <w:proofErr w:type="gramStart"/>
      <w:r w:rsidR="00A957F0">
        <w:rPr>
          <w:rFonts w:ascii="Arial Narrow" w:hAnsi="Arial Narrow"/>
        </w:rPr>
        <w:t>em  23</w:t>
      </w:r>
      <w:proofErr w:type="gramEnd"/>
      <w:r w:rsidR="00A957F0">
        <w:rPr>
          <w:rFonts w:ascii="Arial Narrow" w:hAnsi="Arial Narrow"/>
        </w:rPr>
        <w:t xml:space="preserve"> </w:t>
      </w:r>
      <w:proofErr w:type="spellStart"/>
      <w:r w:rsidR="00A957F0">
        <w:rPr>
          <w:rFonts w:ascii="Arial Narrow" w:hAnsi="Arial Narrow"/>
        </w:rPr>
        <w:t>fev</w:t>
      </w:r>
      <w:proofErr w:type="spellEnd"/>
      <w:r w:rsidR="00A957F0">
        <w:rPr>
          <w:rFonts w:ascii="Arial Narrow" w:hAnsi="Arial Narrow"/>
        </w:rPr>
        <w:t xml:space="preserve"> 2023. </w:t>
      </w:r>
    </w:p>
  </w:endnote>
  <w:endnote w:id="22">
    <w:p w14:paraId="65BC910B" w14:textId="34054618" w:rsidR="00C16AB6" w:rsidRPr="00326D17" w:rsidRDefault="00C16AB6" w:rsidP="006678EE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="007B72E9">
        <w:rPr>
          <w:rFonts w:ascii="Arial Narrow" w:hAnsi="Arial Narrow"/>
        </w:rPr>
        <w:t xml:space="preserve"> “</w:t>
      </w:r>
      <w:r w:rsidR="007B72E9" w:rsidRPr="007B72E9">
        <w:rPr>
          <w:rFonts w:ascii="Arial Narrow" w:hAnsi="Arial Narrow"/>
        </w:rPr>
        <w:t>Como acima mencionado, a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>associação está disciplinada no artigo 53 do CC e caracteriza pessoa jurídica de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>finalidades não econômica, que se constitui pela união de pessoas, dentre as quais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>se destaca o terceiro setor, que pode assumir o aspecto de associação ou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 xml:space="preserve">fundação, </w:t>
      </w:r>
      <w:proofErr w:type="gramStart"/>
      <w:r w:rsidR="007B72E9" w:rsidRPr="007B72E9">
        <w:rPr>
          <w:rFonts w:ascii="Arial Narrow" w:hAnsi="Arial Narrow"/>
        </w:rPr>
        <w:t>enquanto que</w:t>
      </w:r>
      <w:proofErr w:type="gramEnd"/>
      <w:r w:rsidR="007B72E9" w:rsidRPr="007B72E9">
        <w:rPr>
          <w:rFonts w:ascii="Arial Narrow" w:hAnsi="Arial Narrow"/>
        </w:rPr>
        <w:t xml:space="preserve"> a sociedade simples tem por objetivo o lucro. A questão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>posta a desate já foi objeto de apreciação pela Egrégia Corregedoria Geral da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>Justiça (Processo nº 2011/80114; 2015/00155467). Transcrevo a ementa e trecho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>do parecer do Parecer do Processo CG 226/2007, da lavra do Juiz Drº Álvaro Luiz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 xml:space="preserve">Valery Mirra, aprovado pelo Corregedor Geral da Justiça Des. </w:t>
      </w:r>
      <w:proofErr w:type="spellStart"/>
      <w:r w:rsidR="007B72E9" w:rsidRPr="007B72E9">
        <w:rPr>
          <w:rFonts w:ascii="Arial Narrow" w:hAnsi="Arial Narrow"/>
        </w:rPr>
        <w:t>Gilbero</w:t>
      </w:r>
      <w:proofErr w:type="spellEnd"/>
      <w:r w:rsidR="007B72E9" w:rsidRPr="007B72E9">
        <w:rPr>
          <w:rFonts w:ascii="Arial Narrow" w:hAnsi="Arial Narrow"/>
        </w:rPr>
        <w:t xml:space="preserve"> Passos de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 xml:space="preserve">Freitas, que bem elucida o impasse: “Registro Civil de Pessoa </w:t>
      </w:r>
      <w:proofErr w:type="spellStart"/>
      <w:r w:rsidR="007B72E9" w:rsidRPr="007B72E9">
        <w:rPr>
          <w:rFonts w:ascii="Arial Narrow" w:hAnsi="Arial Narrow"/>
        </w:rPr>
        <w:t>Juridica</w:t>
      </w:r>
      <w:proofErr w:type="spellEnd"/>
      <w:r w:rsidR="007B72E9" w:rsidRPr="007B72E9">
        <w:rPr>
          <w:rFonts w:ascii="Arial Narrow" w:hAnsi="Arial Narrow"/>
        </w:rPr>
        <w:t xml:space="preserve"> – Operação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>de incorporação de sociedade limitada por associação civil – Pessoas jurídicas de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>naturezas diversas e submetidas a regimes jurídicos igualmente diversos –</w:t>
      </w:r>
      <w:r w:rsidR="007B72E9">
        <w:rPr>
          <w:rFonts w:ascii="Arial Narrow" w:hAnsi="Arial Narrow"/>
        </w:rPr>
        <w:t xml:space="preserve"> </w:t>
      </w:r>
      <w:r w:rsidR="007B72E9" w:rsidRPr="007B72E9">
        <w:rPr>
          <w:rFonts w:ascii="Arial Narrow" w:hAnsi="Arial Narrow"/>
        </w:rPr>
        <w:t>Ausência de previsão legal que autorize a incorporação – Inviabilidade da prática</w:t>
      </w:r>
      <w:r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de incorporação realizada por uma associação civil relativamente a uma sociedade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por quotas de responsabilidade limitada, com extinção desta última e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 xml:space="preserve">incorporação do patrimônio respectivo por aquela primeira. Contudo, </w:t>
      </w:r>
      <w:proofErr w:type="spellStart"/>
      <w:r w:rsidR="006678EE" w:rsidRPr="006678EE">
        <w:rPr>
          <w:rFonts w:ascii="Arial Narrow" w:hAnsi="Arial Narrow"/>
        </w:rPr>
        <w:t>tal</w:t>
      </w:r>
      <w:proofErr w:type="spellEnd"/>
      <w:r w:rsidR="006678EE" w:rsidRPr="006678EE">
        <w:rPr>
          <w:rFonts w:ascii="Arial Narrow" w:hAnsi="Arial Narrow"/>
        </w:rPr>
        <w:t xml:space="preserve"> não se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apresenta possível, pesem embora os argumentos expendidos pela recorrente.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 xml:space="preserve">Isso porque, como sabido, </w:t>
      </w:r>
      <w:proofErr w:type="gramStart"/>
      <w:r w:rsidR="006678EE" w:rsidRPr="006678EE">
        <w:rPr>
          <w:rFonts w:ascii="Arial Narrow" w:hAnsi="Arial Narrow"/>
        </w:rPr>
        <w:t>as associação</w:t>
      </w:r>
      <w:proofErr w:type="gramEnd"/>
      <w:r w:rsidR="006678EE" w:rsidRPr="006678EE">
        <w:rPr>
          <w:rFonts w:ascii="Arial Narrow" w:hAnsi="Arial Narrow"/>
        </w:rPr>
        <w:t xml:space="preserve"> civis se formam pela reunião de pessoas,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físicas ou jurídicas, com objetivos não econômicos, inexistindo, entre os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associados, obrigações recíprocas (art.53 do Código Civil). Já as sociedades –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 xml:space="preserve">sejam elas empresárias ou não – constituem-se de pessoas que </w:t>
      </w:r>
      <w:proofErr w:type="gramStart"/>
      <w:r w:rsidR="006678EE" w:rsidRPr="006678EE">
        <w:rPr>
          <w:rFonts w:ascii="Arial Narrow" w:hAnsi="Arial Narrow"/>
        </w:rPr>
        <w:t xml:space="preserve">somam </w:t>
      </w:r>
      <w:r w:rsidR="006678EE">
        <w:rPr>
          <w:rFonts w:ascii="Arial Narrow" w:hAnsi="Arial Narrow"/>
        </w:rPr>
        <w:t xml:space="preserve"> e</w:t>
      </w:r>
      <w:r w:rsidR="006678EE" w:rsidRPr="006678EE">
        <w:rPr>
          <w:rFonts w:ascii="Arial Narrow" w:hAnsi="Arial Narrow"/>
        </w:rPr>
        <w:t>sforços</w:t>
      </w:r>
      <w:proofErr w:type="gramEnd"/>
      <w:r w:rsidR="006678EE">
        <w:rPr>
          <w:rFonts w:ascii="Arial Narrow" w:hAnsi="Arial Narrow"/>
        </w:rPr>
        <w:t xml:space="preserve">  </w:t>
      </w:r>
      <w:r w:rsidR="006678EE" w:rsidRPr="006678EE">
        <w:rPr>
          <w:rFonts w:ascii="Arial Narrow" w:hAnsi="Arial Narrow"/>
        </w:rPr>
        <w:t>ou recursos para atingir objetivos de natureza econômica, partilhando entre si os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resultados (art.981 do Código Civil). Assim, enquanto nas sociedades se verificam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o desempenho de atividade econômica e a distribuição de lucros entre os sócios,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nas associações tal não ocorre, não se buscando fins lucrativos e nem havendo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entre os associados partilha e distribuição de eventual superávit. Pertinente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invocar, neste passo, a doutrina de Marcelo Fortes Barbosa Filho sobre o tema: (…)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 xml:space="preserve">tanto a sociedade não empresária quanto uma sociedade empresária </w:t>
      </w:r>
      <w:proofErr w:type="spellStart"/>
      <w:r w:rsidR="006678EE" w:rsidRPr="006678EE">
        <w:rPr>
          <w:rFonts w:ascii="Arial Narrow" w:hAnsi="Arial Narrow"/>
        </w:rPr>
        <w:t>obtem</w:t>
      </w:r>
      <w:proofErr w:type="spellEnd"/>
      <w:r w:rsidR="006678EE" w:rsidRPr="006678EE">
        <w:rPr>
          <w:rFonts w:ascii="Arial Narrow" w:hAnsi="Arial Narrow"/>
        </w:rPr>
        <w:t xml:space="preserve"> uma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remuneração pelo implemento de sua atividade fim e buscam auferir lucros, a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serem distribuídos, de conformidade com o disposto em seus atos constitutivos,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entre os sócios. A distribuição de lucros constitui o elemento distintivo entre a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sociedade e a associação, visto que, nesta última, mesmo obtida uma remuneração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pelo exercício da atividade-fim e auferido superávit, este não será compartilhado e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 xml:space="preserve">distribuído entre os associados, mas reinvestido. As associações </w:t>
      </w:r>
      <w:r w:rsidR="006678EE">
        <w:rPr>
          <w:rFonts w:ascii="Arial Narrow" w:hAnsi="Arial Narrow"/>
        </w:rPr>
        <w:t xml:space="preserve">empreendem </w:t>
      </w:r>
      <w:r w:rsidR="006678EE" w:rsidRPr="006678EE">
        <w:rPr>
          <w:rFonts w:ascii="Arial Narrow" w:hAnsi="Arial Narrow"/>
        </w:rPr>
        <w:t>atividades não destinadas a proporcionar interesse econômico aos associados,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buscando atingir finalidades de ordem moral (In: PELUSO, Cezar – Coord. Código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Civil Comentado – doutrina e jurisprudência. Barueri, SP: Manole, 2007, p.823,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 xml:space="preserve">comentário ao art.982) Como se pode perceber, está-se diante de pessoas </w:t>
      </w:r>
      <w:proofErr w:type="gramStart"/>
      <w:r w:rsidR="006678EE" w:rsidRPr="006678EE">
        <w:rPr>
          <w:rFonts w:ascii="Arial Narrow" w:hAnsi="Arial Narrow"/>
        </w:rPr>
        <w:t xml:space="preserve">jurídicas 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de</w:t>
      </w:r>
      <w:proofErr w:type="gramEnd"/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natureza completamente diversa, uma, a sociedade voltada a atividade eminentemente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econômica, com distribuição de lucros entre os sócios, e a outra, a associação, sem fins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econômicos, de ordem eminentemente moral, que não partilha ou distribui eventual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remuneração ou superávit entre os associados. A hipótese ora em discussão, portanto,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não cuida de mutações realizada em pessoas jurídicas de mesma natureza, como uma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sociedade incorporando outra sociedade, ou uma associação incorporando outra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associação, o que se admite, à luz do disposto no art.1116 do CC, relativamente às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sociedades, e nos termos do art. 2033 do CC, segundo se pode deduzir, no tocante</w:t>
      </w:r>
      <w:r w:rsidR="006678EE">
        <w:rPr>
          <w:rFonts w:ascii="Arial Narrow" w:hAnsi="Arial Narrow"/>
        </w:rPr>
        <w:t xml:space="preserve"> </w:t>
      </w:r>
      <w:r w:rsidR="006678EE" w:rsidRPr="006678EE">
        <w:rPr>
          <w:rFonts w:ascii="Arial Narrow" w:hAnsi="Arial Narrow"/>
        </w:rPr>
        <w:t>às associações</w:t>
      </w:r>
      <w:r w:rsidR="006678EE">
        <w:rPr>
          <w:rFonts w:ascii="Arial Narrow" w:hAnsi="Arial Narrow"/>
        </w:rPr>
        <w:t>” (</w:t>
      </w:r>
      <w:r>
        <w:rPr>
          <w:rFonts w:ascii="Arial Narrow" w:hAnsi="Arial Narrow"/>
        </w:rPr>
        <w:t xml:space="preserve">Disponível em </w:t>
      </w:r>
      <w:r w:rsidR="00927C18" w:rsidRPr="00927C18">
        <w:rPr>
          <w:rFonts w:ascii="Arial Narrow" w:hAnsi="Arial Narrow"/>
        </w:rPr>
        <w:t>https://www.ggv.com.br/arquivos/5497</w:t>
      </w:r>
      <w:r>
        <w:rPr>
          <w:rFonts w:ascii="Arial Narrow" w:hAnsi="Arial Narrow"/>
        </w:rPr>
        <w:t xml:space="preserve">. Consulta em 23 </w:t>
      </w:r>
      <w:proofErr w:type="spellStart"/>
      <w:r>
        <w:rPr>
          <w:rFonts w:ascii="Arial Narrow" w:hAnsi="Arial Narrow"/>
        </w:rPr>
        <w:t>fev</w:t>
      </w:r>
      <w:proofErr w:type="spellEnd"/>
      <w:r>
        <w:rPr>
          <w:rFonts w:ascii="Arial Narrow" w:hAnsi="Arial Narrow"/>
        </w:rPr>
        <w:t xml:space="preserve"> 2023</w:t>
      </w:r>
      <w:r w:rsidR="006678EE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. </w:t>
      </w:r>
    </w:p>
  </w:endnote>
  <w:endnote w:id="23">
    <w:p w14:paraId="3BC8832F" w14:textId="6CB7CEED" w:rsidR="009363F2" w:rsidRPr="00326D17" w:rsidRDefault="009363F2" w:rsidP="00630E1B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="00630E1B" w:rsidRPr="00630E1B">
        <w:rPr>
          <w:rFonts w:ascii="Arial Narrow" w:hAnsi="Arial Narrow"/>
        </w:rPr>
        <w:t>Art. 64. Constituída a fundação por negócio jurídico entre vivos, o instituidor é obrigado a transferir-lhe a propriedade, ou outro direito real, sobre os bens dotados, e, se não o fizer, serão registrados, em nome dela, por mandado judicial.</w:t>
      </w:r>
    </w:p>
  </w:endnote>
  <w:endnote w:id="24">
    <w:p w14:paraId="1B75F109" w14:textId="1CE53850" w:rsidR="009363F2" w:rsidRPr="00326D17" w:rsidRDefault="009363F2" w:rsidP="009363F2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="00630E1B" w:rsidRPr="00630E1B">
        <w:rPr>
          <w:rFonts w:ascii="Arial Narrow" w:hAnsi="Arial Narrow"/>
        </w:rPr>
        <w:t xml:space="preserve">  Art. 2.033. Salvo o disposto em lei especial, as modificações dos atos constitutivos das pessoas jurídicas referidas no art. 44, bem como a sua transformação, incorporação, cisão ou fusão, regem-se desde logo por este Código.</w:t>
      </w:r>
    </w:p>
  </w:endnote>
  <w:endnote w:id="25">
    <w:p w14:paraId="7FC09A17" w14:textId="33D172B1" w:rsidR="00E84B32" w:rsidRPr="00326D17" w:rsidRDefault="00E84B32" w:rsidP="00C75B5B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 w:rsidR="00C75B5B" w:rsidRPr="00C75B5B">
        <w:rPr>
          <w:rFonts w:ascii="Arial Narrow" w:hAnsi="Arial Narrow"/>
        </w:rPr>
        <w:t>Art. 44. São pessoas jurídicas de direito privado:</w:t>
      </w:r>
      <w:r w:rsidR="00C75B5B">
        <w:rPr>
          <w:rFonts w:ascii="Arial Narrow" w:hAnsi="Arial Narrow"/>
        </w:rPr>
        <w:t xml:space="preserve"> </w:t>
      </w:r>
      <w:r w:rsidR="00C75B5B" w:rsidRPr="00C75B5B">
        <w:rPr>
          <w:rFonts w:ascii="Arial Narrow" w:hAnsi="Arial Narrow"/>
        </w:rPr>
        <w:t>I - as associações;</w:t>
      </w:r>
      <w:r w:rsidR="00C75B5B">
        <w:rPr>
          <w:rFonts w:ascii="Arial Narrow" w:hAnsi="Arial Narrow"/>
        </w:rPr>
        <w:t xml:space="preserve"> </w:t>
      </w:r>
      <w:r w:rsidR="00C75B5B" w:rsidRPr="00C75B5B">
        <w:rPr>
          <w:rFonts w:ascii="Arial Narrow" w:hAnsi="Arial Narrow"/>
        </w:rPr>
        <w:t>II - as sociedades;</w:t>
      </w:r>
      <w:r w:rsidR="00C75B5B">
        <w:rPr>
          <w:rFonts w:ascii="Arial Narrow" w:hAnsi="Arial Narrow"/>
        </w:rPr>
        <w:t xml:space="preserve"> </w:t>
      </w:r>
      <w:r w:rsidR="00C75B5B" w:rsidRPr="00C75B5B">
        <w:rPr>
          <w:rFonts w:ascii="Arial Narrow" w:hAnsi="Arial Narrow"/>
        </w:rPr>
        <w:t>III - as fundações</w:t>
      </w:r>
      <w:r w:rsidR="00C75B5B">
        <w:rPr>
          <w:rFonts w:ascii="Arial Narrow" w:hAnsi="Arial Narrow"/>
        </w:rPr>
        <w:t xml:space="preserve">; </w:t>
      </w:r>
      <w:r w:rsidR="00C75B5B" w:rsidRPr="00C75B5B">
        <w:rPr>
          <w:rFonts w:ascii="Arial Narrow" w:hAnsi="Arial Narrow"/>
        </w:rPr>
        <w:t>IV - as organizações religiosas; V - os partidos políticos</w:t>
      </w:r>
      <w:r w:rsidR="00C75B5B">
        <w:rPr>
          <w:rFonts w:ascii="Arial Narrow" w:hAnsi="Arial Narrow"/>
        </w:rPr>
        <w:t xml:space="preserve">; </w:t>
      </w:r>
      <w:r w:rsidR="00C75B5B" w:rsidRPr="00C75B5B">
        <w:rPr>
          <w:rFonts w:ascii="Arial Narrow" w:hAnsi="Arial Narrow"/>
        </w:rPr>
        <w:t>VI - (Revogado pela Lei nº 14.382, de 2022)</w:t>
      </w:r>
      <w:r w:rsidR="00C75B5B">
        <w:rPr>
          <w:rFonts w:ascii="Arial Narrow" w:hAnsi="Arial Narrow"/>
        </w:rPr>
        <w:t xml:space="preserve">. </w:t>
      </w:r>
      <w:r w:rsidR="00C75B5B" w:rsidRPr="00C75B5B">
        <w:rPr>
          <w:rFonts w:ascii="Arial Narrow" w:hAnsi="Arial Narrow"/>
        </w:rPr>
        <w:t>§ 1º São livres a criação, a organização, a estruturação interna e o funcionamento das organizações religiosas, sendo vedado ao poder público negar-lhes reconhecimento ou registro dos atos constitutivos e necessários ao seu funcionamento. § 2º As disposições concernentes às associações aplicam-se subsidiariamente às sociedades que são objeto do Livro II da Parte Especial deste Código. § 3º Os partidos políticos serão organizados e funcionarão conforme o disposto em lei específica.</w:t>
      </w:r>
      <w:r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     </w:t>
      </w:r>
    </w:p>
  </w:endnote>
  <w:endnote w:id="26">
    <w:p w14:paraId="0887AB61" w14:textId="1B6AA693" w:rsidR="00E04222" w:rsidRPr="00F41778" w:rsidRDefault="00E04222" w:rsidP="00E04222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 Narrow" w:hAnsi="Arial Narrow"/>
          <w:sz w:val="20"/>
          <w:szCs w:val="20"/>
        </w:rPr>
      </w:pPr>
      <w:r w:rsidRPr="00F41778">
        <w:rPr>
          <w:rStyle w:val="Refdenotadefim"/>
          <w:rFonts w:ascii="Arial Narrow" w:hAnsi="Arial Narrow"/>
          <w:sz w:val="20"/>
          <w:szCs w:val="20"/>
        </w:rPr>
        <w:endnoteRef/>
      </w:r>
      <w:r w:rsidRPr="00F41778">
        <w:rPr>
          <w:rFonts w:ascii="Arial Narrow" w:hAnsi="Arial Narrow"/>
          <w:sz w:val="20"/>
          <w:szCs w:val="20"/>
        </w:rPr>
        <w:t xml:space="preserve"> Inclusive, o Enunciado 615 da VIII Jornada de Direito Civil do Conselho da Justiça Federal, ao dispor sobre a possibilidade das associações civis poderem sofrer transformação, fusão, incorporação ou cisão</w:t>
      </w:r>
      <w:r>
        <w:rPr>
          <w:rFonts w:ascii="Arial Narrow" w:hAnsi="Arial Narrow"/>
          <w:sz w:val="20"/>
          <w:szCs w:val="20"/>
        </w:rPr>
        <w:t xml:space="preserve"> </w:t>
      </w:r>
      <w:proofErr w:type="gramStart"/>
      <w:r>
        <w:rPr>
          <w:rFonts w:ascii="Arial Narrow" w:hAnsi="Arial Narrow"/>
          <w:sz w:val="20"/>
          <w:szCs w:val="20"/>
        </w:rPr>
        <w:t xml:space="preserve">implicitamente </w:t>
      </w:r>
      <w:r w:rsidRPr="00F41778">
        <w:rPr>
          <w:rFonts w:ascii="Arial Narrow" w:hAnsi="Arial Narrow"/>
          <w:sz w:val="20"/>
          <w:szCs w:val="20"/>
        </w:rPr>
        <w:t xml:space="preserve"> </w:t>
      </w:r>
      <w:r w:rsidR="00800CFD">
        <w:rPr>
          <w:rFonts w:ascii="Arial Narrow" w:hAnsi="Arial Narrow"/>
          <w:sz w:val="20"/>
          <w:szCs w:val="20"/>
        </w:rPr>
        <w:t>permitiria</w:t>
      </w:r>
      <w:proofErr w:type="gramEnd"/>
      <w:r w:rsidR="00800CFD">
        <w:rPr>
          <w:rFonts w:ascii="Arial Narrow" w:hAnsi="Arial Narrow"/>
          <w:sz w:val="20"/>
          <w:szCs w:val="20"/>
        </w:rPr>
        <w:t xml:space="preserve"> sua conversão em fundação</w:t>
      </w:r>
      <w:r w:rsidRPr="00F41778">
        <w:rPr>
          <w:rFonts w:ascii="Arial Narrow" w:hAnsi="Arial Narrow"/>
          <w:sz w:val="20"/>
          <w:szCs w:val="20"/>
        </w:rPr>
        <w:t xml:space="preserve">. </w:t>
      </w:r>
      <w:r w:rsidRPr="00F41778">
        <w:rPr>
          <w:rFonts w:ascii="Arial Narrow" w:hAnsi="Arial Narrow"/>
          <w:spacing w:val="2"/>
          <w:sz w:val="20"/>
          <w:szCs w:val="20"/>
          <w:shd w:val="clear" w:color="auto" w:fill="FFFFFF"/>
        </w:rPr>
        <w:t>(</w:t>
      </w:r>
      <w:r>
        <w:rPr>
          <w:rFonts w:ascii="Arial Narrow" w:hAnsi="Arial Narrow"/>
          <w:spacing w:val="2"/>
          <w:sz w:val="20"/>
          <w:szCs w:val="20"/>
          <w:shd w:val="clear" w:color="auto" w:fill="FFFFFF"/>
        </w:rPr>
        <w:t>d</w:t>
      </w:r>
      <w:r w:rsidRPr="00F41778">
        <w:rPr>
          <w:rFonts w:ascii="Arial Narrow" w:hAnsi="Arial Narrow"/>
          <w:spacing w:val="2"/>
          <w:sz w:val="20"/>
          <w:szCs w:val="20"/>
          <w:shd w:val="clear" w:color="auto" w:fill="FFFFFF"/>
        </w:rPr>
        <w:t>isponível</w:t>
      </w:r>
      <w:r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</w:t>
      </w:r>
      <w:r w:rsidRPr="00F41778">
        <w:rPr>
          <w:rFonts w:ascii="Arial Narrow" w:hAnsi="Arial Narrow"/>
          <w:spacing w:val="2"/>
          <w:sz w:val="20"/>
          <w:szCs w:val="20"/>
          <w:shd w:val="clear" w:color="auto" w:fill="FFFFFF"/>
        </w:rPr>
        <w:t>em: </w:t>
      </w:r>
      <w:hyperlink r:id="rId5" w:history="1">
        <w:r w:rsidRPr="00F41778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https://www.cjf.jus.br/cjf/corregedoria-da-justica-federal/centro-de-estudos-judiciarios-1/publicacoes-1/jornadas-cej/viii-enunciados-publicacao-site-com-justificativa.pdf</w:t>
        </w:r>
      </w:hyperlink>
      <w:r w:rsidRPr="00F41778">
        <w:rPr>
          <w:rFonts w:ascii="Arial Narrow" w:hAnsi="Arial Narrow"/>
          <w:sz w:val="20"/>
          <w:szCs w:val="20"/>
        </w:rPr>
        <w:t>.</w:t>
      </w:r>
      <w:r w:rsidRPr="00F41778">
        <w:rPr>
          <w:rFonts w:ascii="Arial Narrow" w:hAnsi="Arial Narrow"/>
          <w:spacing w:val="2"/>
          <w:sz w:val="20"/>
          <w:szCs w:val="20"/>
          <w:shd w:val="clear" w:color="auto" w:fill="FFFFFF"/>
        </w:rPr>
        <w:t xml:space="preserve"> Consultado em 06 Out 2021).</w:t>
      </w:r>
    </w:p>
  </w:endnote>
  <w:endnote w:id="27">
    <w:p w14:paraId="760B7E73" w14:textId="72D831D9" w:rsidR="008C6D81" w:rsidRPr="00326D17" w:rsidRDefault="008C6D81" w:rsidP="00544D9D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 w:rsidR="00544D9D">
        <w:rPr>
          <w:rFonts w:ascii="Arial Narrow" w:hAnsi="Arial Narrow"/>
        </w:rPr>
        <w:t>Leia-se o seguinte excerto: “</w:t>
      </w:r>
      <w:r w:rsidR="00544D9D" w:rsidRPr="00544D9D">
        <w:rPr>
          <w:rFonts w:ascii="Arial Narrow" w:hAnsi="Arial Narrow"/>
        </w:rPr>
        <w:t>08. Pois bem, em que pese exista controvérsia quanto à possibilidade de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alteração da natureza jurídica de uma sociedade para uma fundação, o que demonstra a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legitimidade na cautela apresentada pelo interino, tal como entendido pela Juíza Auxiliar desta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CGJ/AL, penso que seja totalmente possível a aludida transformação na natureza das pessoas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jurídicas, desde que, obviamente, não haja lesão a terceiros e sejam consideradas todas as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cautelas de estilo, conforme demonstrarei adiante.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09. No tocante ao procedimento de transformação social, sabe-se que este é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 xml:space="preserve">regido pelo Código Civil de 2002, que especificamente nos artigos 1.113 e 2.033 </w:t>
      </w:r>
      <w:proofErr w:type="spellStart"/>
      <w:r w:rsidR="00544D9D" w:rsidRPr="00544D9D">
        <w:rPr>
          <w:rFonts w:ascii="Arial Narrow" w:hAnsi="Arial Narrow"/>
        </w:rPr>
        <w:t>prevêem</w:t>
      </w:r>
      <w:proofErr w:type="spellEnd"/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que: "Art. 1.113. O ato de transformação independe de dissolução ou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liquidação da sociedade, e obedecerá aos preceitos reguladores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da constituição e inscrição próprios do tipo em que vai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converter-se."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"Art. 2.033. Salvo o disposto em lei especial, as modificações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dos atos constitutivos das pessoas jurídicas referidas no art. 44, bem como a sua transformação, incorporação, cisão ou fusão,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 xml:space="preserve">regem-se desde logo por este Código". "Art. 44. São pessoas jurídicas de direito privado: I </w:t>
      </w:r>
      <w:r w:rsidR="00544D9D">
        <w:rPr>
          <w:rFonts w:ascii="Arial Narrow" w:hAnsi="Arial Narrow"/>
        </w:rPr>
        <w:t>–</w:t>
      </w:r>
      <w:r w:rsidR="00544D9D" w:rsidRPr="00544D9D">
        <w:rPr>
          <w:rFonts w:ascii="Arial Narrow" w:hAnsi="Arial Narrow"/>
        </w:rPr>
        <w:t xml:space="preserve"> as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 xml:space="preserve">associações; II - as sociedades; III - as fundações. IV </w:t>
      </w:r>
      <w:r w:rsidR="00544D9D">
        <w:rPr>
          <w:rFonts w:ascii="Arial Narrow" w:hAnsi="Arial Narrow"/>
        </w:rPr>
        <w:t>–</w:t>
      </w:r>
      <w:r w:rsidR="00544D9D" w:rsidRPr="00544D9D">
        <w:rPr>
          <w:rFonts w:ascii="Arial Narrow" w:hAnsi="Arial Narrow"/>
        </w:rPr>
        <w:t xml:space="preserve"> </w:t>
      </w:r>
      <w:proofErr w:type="gramStart"/>
      <w:r w:rsidR="00544D9D" w:rsidRPr="00544D9D">
        <w:rPr>
          <w:rFonts w:ascii="Arial Narrow" w:hAnsi="Arial Narrow"/>
        </w:rPr>
        <w:t>as</w:t>
      </w:r>
      <w:proofErr w:type="gramEnd"/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 xml:space="preserve">organizações religiosas; V - os partidos políticos. VI </w:t>
      </w:r>
      <w:r w:rsidR="00544D9D">
        <w:rPr>
          <w:rFonts w:ascii="Arial Narrow" w:hAnsi="Arial Narrow"/>
        </w:rPr>
        <w:t>–</w:t>
      </w:r>
      <w:r w:rsidR="00544D9D" w:rsidRPr="00544D9D">
        <w:rPr>
          <w:rFonts w:ascii="Arial Narrow" w:hAnsi="Arial Narrow"/>
        </w:rPr>
        <w:t xml:space="preserve"> </w:t>
      </w:r>
      <w:proofErr w:type="gramStart"/>
      <w:r w:rsidR="00544D9D" w:rsidRPr="00544D9D">
        <w:rPr>
          <w:rFonts w:ascii="Arial Narrow" w:hAnsi="Arial Narrow"/>
        </w:rPr>
        <w:t>as</w:t>
      </w:r>
      <w:proofErr w:type="gramEnd"/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 xml:space="preserve">empresas individuais de responsabilidade limitada." 10. Constata-se, </w:t>
      </w:r>
      <w:proofErr w:type="gramStart"/>
      <w:r w:rsidR="00544D9D" w:rsidRPr="00544D9D">
        <w:rPr>
          <w:rFonts w:ascii="Arial Narrow" w:hAnsi="Arial Narrow"/>
        </w:rPr>
        <w:t xml:space="preserve">pois, 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que</w:t>
      </w:r>
      <w:proofErr w:type="gramEnd"/>
      <w:r w:rsidR="00544D9D" w:rsidRPr="00544D9D">
        <w:rPr>
          <w:rFonts w:ascii="Arial Narrow" w:hAnsi="Arial Narrow"/>
        </w:rPr>
        <w:t xml:space="preserve"> a celeuma em questão surge justamente pelo fato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de que o mencionado art. 1.113 regulamenta apenas e tão somente a transformação das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Sociedade Empresárias, nada dispondo acerca da viabilidade do procedimento em relação às</w:t>
      </w:r>
      <w:r w:rsidR="00544D9D">
        <w:rPr>
          <w:rFonts w:ascii="Arial Narrow" w:hAnsi="Arial Narrow"/>
        </w:rPr>
        <w:t xml:space="preserve"> </w:t>
      </w:r>
      <w:r w:rsidR="00544D9D" w:rsidRPr="00544D9D">
        <w:rPr>
          <w:rFonts w:ascii="Arial Narrow" w:hAnsi="Arial Narrow"/>
        </w:rPr>
        <w:t>demais pessoas jurídicas de direito privado.</w:t>
      </w:r>
      <w:r w:rsidR="00204247" w:rsidRPr="00204247">
        <w:t xml:space="preserve"> </w:t>
      </w:r>
      <w:r w:rsidR="00204247" w:rsidRPr="00204247">
        <w:rPr>
          <w:rFonts w:ascii="Arial Narrow" w:hAnsi="Arial Narrow"/>
        </w:rPr>
        <w:t>11. Ocorre que, visando atender a complexidade inerente à dinâmica de</w:t>
      </w:r>
      <w:r w:rsidR="00204247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>funcionamento social, que exige do intérprete constante atualização na forma de observar e</w:t>
      </w:r>
      <w:r w:rsidR="00204247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>aplicar o direito, a jurisprudência nacional evoluiu no sentido de estender o instituto da</w:t>
      </w:r>
      <w:r w:rsidR="00204247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>transformação também às demais modalidades de organização, conforme se vê do Enunciado</w:t>
      </w:r>
      <w:r w:rsidR="00204247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>nº 615, do Conselho da Justiça Federal, firmado quando da VIII Jornada de Direito Civil,</w:t>
      </w:r>
      <w:r w:rsidR="00204247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>"litteris" “As associações civis podem sofrer transformação, fusão, incorporação ou cisão.”</w:t>
      </w:r>
      <w:r w:rsidR="00D85B92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>12. Ora, estendido tal entendimento às associações, pessoa jurídica de</w:t>
      </w:r>
      <w:r w:rsidR="00D85B92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>direito privado de natureza diversa, nada impossibilita que o mesmo raciocínio também se</w:t>
      </w:r>
      <w:r w:rsidR="00D85B92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>aplique às demais pessoas jurídicas não empresárias, à exemplo das Fundações,</w:t>
      </w:r>
      <w:r w:rsidR="00D85B92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>demonstrando, a princípio e no plano teórico, a possibilidade da pretendida alteração objeto da</w:t>
      </w:r>
      <w:r w:rsidR="00D85B92">
        <w:rPr>
          <w:rFonts w:ascii="Arial Narrow" w:hAnsi="Arial Narrow"/>
        </w:rPr>
        <w:t xml:space="preserve"> </w:t>
      </w:r>
      <w:r w:rsidR="00204247" w:rsidRPr="00204247">
        <w:rPr>
          <w:rFonts w:ascii="Arial Narrow" w:hAnsi="Arial Narrow"/>
        </w:rPr>
        <w:t xml:space="preserve">suscitação de dúvida. </w:t>
      </w:r>
      <w:r w:rsidR="001A5950">
        <w:rPr>
          <w:rFonts w:ascii="Arial Narrow" w:hAnsi="Arial Narrow"/>
        </w:rPr>
        <w:t xml:space="preserve">[...] </w:t>
      </w:r>
      <w:r w:rsidR="001A5950" w:rsidRPr="001A5950">
        <w:rPr>
          <w:rFonts w:ascii="Arial Narrow" w:hAnsi="Arial Narrow"/>
        </w:rPr>
        <w:t xml:space="preserve">16. Da mesma forma, devem-se </w:t>
      </w:r>
      <w:proofErr w:type="gramStart"/>
      <w:r w:rsidR="001A5950" w:rsidRPr="001A5950">
        <w:rPr>
          <w:rFonts w:ascii="Arial Narrow" w:hAnsi="Arial Narrow"/>
        </w:rPr>
        <w:t>obedecer as</w:t>
      </w:r>
      <w:proofErr w:type="gramEnd"/>
      <w:r w:rsidR="001A5950" w:rsidRPr="001A5950">
        <w:rPr>
          <w:rFonts w:ascii="Arial Narrow" w:hAnsi="Arial Narrow"/>
        </w:rPr>
        <w:t xml:space="preserve"> previsões e requisitos legais e</w:t>
      </w:r>
      <w:r w:rsidR="001A5950">
        <w:rPr>
          <w:rFonts w:ascii="Arial Narrow" w:hAnsi="Arial Narrow"/>
        </w:rPr>
        <w:t xml:space="preserve"> </w:t>
      </w:r>
      <w:r w:rsidR="001A5950" w:rsidRPr="001A5950">
        <w:rPr>
          <w:rFonts w:ascii="Arial Narrow" w:hAnsi="Arial Narrow"/>
        </w:rPr>
        <w:t>normativos para adoção da nova modalidade que deseja cambiar. É que tratando-se de</w:t>
      </w:r>
      <w:r w:rsidR="001A5950">
        <w:rPr>
          <w:rFonts w:ascii="Arial Narrow" w:hAnsi="Arial Narrow"/>
        </w:rPr>
        <w:t xml:space="preserve"> </w:t>
      </w:r>
      <w:r w:rsidR="001A5950" w:rsidRPr="001A5950">
        <w:rPr>
          <w:rFonts w:ascii="Arial Narrow" w:hAnsi="Arial Narrow"/>
        </w:rPr>
        <w:t>fundação de direito privado, faz-se necessário atentar ao disposto no art. 61 e seguintes do</w:t>
      </w:r>
      <w:r w:rsidR="001A5950">
        <w:rPr>
          <w:rFonts w:ascii="Arial Narrow" w:hAnsi="Arial Narrow"/>
        </w:rPr>
        <w:t xml:space="preserve"> </w:t>
      </w:r>
      <w:r w:rsidR="001A5950" w:rsidRPr="001A5950">
        <w:rPr>
          <w:rFonts w:ascii="Arial Narrow" w:hAnsi="Arial Narrow"/>
        </w:rPr>
        <w:t>CC/2002, que regulamenta a criação, finalidades possíveis e demais disposições relativas a</w:t>
      </w:r>
      <w:r w:rsidR="001A5950">
        <w:rPr>
          <w:rFonts w:ascii="Arial Narrow" w:hAnsi="Arial Narrow"/>
        </w:rPr>
        <w:t xml:space="preserve"> </w:t>
      </w:r>
      <w:r w:rsidR="001A5950" w:rsidRPr="001A5950">
        <w:rPr>
          <w:rFonts w:ascii="Arial Narrow" w:hAnsi="Arial Narrow"/>
        </w:rPr>
        <w:t>essa espécie de pessoa jurídica.</w:t>
      </w:r>
      <w:r w:rsidR="006420E8">
        <w:rPr>
          <w:rFonts w:ascii="Arial Narrow" w:hAnsi="Arial Narrow"/>
        </w:rPr>
        <w:t xml:space="preserve">” </w:t>
      </w:r>
      <w:r w:rsidR="00D85B92">
        <w:rPr>
          <w:rFonts w:ascii="Arial Narrow" w:hAnsi="Arial Narrow"/>
        </w:rPr>
        <w:t xml:space="preserve"> </w:t>
      </w:r>
      <w:r w:rsidR="006420E8">
        <w:rPr>
          <w:rFonts w:ascii="Arial Narrow" w:hAnsi="Arial Narrow"/>
        </w:rPr>
        <w:t xml:space="preserve">Disponível em </w:t>
      </w:r>
      <w:r w:rsidR="006420E8" w:rsidRPr="006420E8">
        <w:rPr>
          <w:rFonts w:ascii="Arial Narrow" w:hAnsi="Arial Narrow"/>
        </w:rPr>
        <w:t xml:space="preserve"> </w:t>
      </w:r>
      <w:hyperlink r:id="rId6" w:history="1">
        <w:r w:rsidR="006420E8" w:rsidRPr="00FF1132">
          <w:rPr>
            <w:rStyle w:val="Hyperlink"/>
            <w:rFonts w:ascii="Arial Narrow" w:hAnsi="Arial Narrow"/>
          </w:rPr>
          <w:t>https://www2.tjal.jus.br/pastadigital/pg/abrirConferenciaDocumento.do</w:t>
        </w:r>
      </w:hyperlink>
      <w:r w:rsidR="006420E8">
        <w:rPr>
          <w:rFonts w:ascii="Arial Narrow" w:hAnsi="Arial Narrow"/>
        </w:rPr>
        <w:t xml:space="preserve"> (</w:t>
      </w:r>
      <w:r w:rsidR="006420E8" w:rsidRPr="006420E8">
        <w:rPr>
          <w:rFonts w:ascii="Arial Narrow" w:hAnsi="Arial Narrow"/>
        </w:rPr>
        <w:t>informe o processo 0000542-64.2020.8.02.0073 e código 465D03A</w:t>
      </w:r>
      <w:r w:rsidR="006420E8">
        <w:rPr>
          <w:rFonts w:ascii="Arial Narrow" w:hAnsi="Arial Narrow"/>
        </w:rPr>
        <w:t xml:space="preserve">). Consulta em 23 fev. 2023. </w:t>
      </w:r>
      <w:r w:rsidRPr="00630E1B">
        <w:rPr>
          <w:rFonts w:ascii="Arial Narrow" w:hAnsi="Arial Narrow"/>
        </w:rPr>
        <w:t xml:space="preserve">       </w:t>
      </w:r>
    </w:p>
  </w:endnote>
  <w:endnote w:id="28">
    <w:p w14:paraId="654771C4" w14:textId="0AF851C8" w:rsidR="00630E1B" w:rsidRPr="00326D17" w:rsidRDefault="00630E1B" w:rsidP="00630E1B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Art. 73 - É proibida a transformação de fundação em sociedade ou associação ou sua incorporação a entidade dessas espécies ou sua fusão com </w:t>
      </w:r>
      <w:proofErr w:type="gramStart"/>
      <w:r w:rsidRPr="00630E1B">
        <w:rPr>
          <w:rFonts w:ascii="Arial Narrow" w:hAnsi="Arial Narrow"/>
        </w:rPr>
        <w:t>as mesmas</w:t>
      </w:r>
      <w:proofErr w:type="gramEnd"/>
      <w:r w:rsidRPr="00630E1B">
        <w:rPr>
          <w:rFonts w:ascii="Arial Narrow" w:hAnsi="Arial Narrow"/>
        </w:rPr>
        <w:t>.</w:t>
      </w:r>
    </w:p>
  </w:endnote>
  <w:endnote w:id="29">
    <w:p w14:paraId="5587614F" w14:textId="6D46DA60" w:rsidR="00630E1B" w:rsidRPr="00326D17" w:rsidRDefault="00630E1B" w:rsidP="00630E1B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L</w:t>
      </w:r>
      <w:r w:rsidR="00601AE4">
        <w:rPr>
          <w:rFonts w:ascii="Arial Narrow" w:hAnsi="Arial Narrow"/>
        </w:rPr>
        <w:t>ei</w:t>
      </w:r>
      <w:r w:rsidRPr="00630E1B">
        <w:rPr>
          <w:rFonts w:ascii="Arial Narrow" w:hAnsi="Arial Narrow"/>
        </w:rPr>
        <w:t xml:space="preserve"> </w:t>
      </w:r>
      <w:r w:rsidR="00601AE4">
        <w:rPr>
          <w:rFonts w:ascii="Arial Narrow" w:hAnsi="Arial Narrow"/>
        </w:rPr>
        <w:t>n</w:t>
      </w:r>
      <w:r w:rsidRPr="00630E1B">
        <w:rPr>
          <w:rFonts w:ascii="Arial Narrow" w:hAnsi="Arial Narrow"/>
        </w:rPr>
        <w:t xml:space="preserve">º 9.096, </w:t>
      </w:r>
      <w:r w:rsidR="00601AE4" w:rsidRPr="00630E1B">
        <w:rPr>
          <w:rFonts w:ascii="Arial Narrow" w:hAnsi="Arial Narrow"/>
        </w:rPr>
        <w:t>de</w:t>
      </w:r>
      <w:r w:rsidRPr="00630E1B">
        <w:rPr>
          <w:rFonts w:ascii="Arial Narrow" w:hAnsi="Arial Narrow"/>
        </w:rPr>
        <w:t xml:space="preserve"> 19 </w:t>
      </w:r>
      <w:r w:rsidR="00601AE4" w:rsidRPr="00630E1B">
        <w:rPr>
          <w:rFonts w:ascii="Arial Narrow" w:hAnsi="Arial Narrow"/>
        </w:rPr>
        <w:t xml:space="preserve">de setembro de </w:t>
      </w:r>
      <w:r w:rsidRPr="00630E1B">
        <w:rPr>
          <w:rFonts w:ascii="Arial Narrow" w:hAnsi="Arial Narrow"/>
        </w:rPr>
        <w:t>1995 - Art. 53. A fundação ou instituto de direito privado, criado por partido político, destinado ao estudo e pesquisa, à doutrinação e à educação política, rege-se pelas normas da lei civil e tem autonomia para contratar com instituições públicas e privadas, prestar serviços e manter estabelecimentos de acordo com suas finalidades, podendo, ainda, manter intercâmbio com instituições não nacionais. § 1</w:t>
      </w:r>
      <w:proofErr w:type="gramStart"/>
      <w:r w:rsidRPr="00630E1B">
        <w:rPr>
          <w:rFonts w:ascii="Arial Narrow" w:hAnsi="Arial Narrow"/>
        </w:rPr>
        <w:t>º  O</w:t>
      </w:r>
      <w:proofErr w:type="gramEnd"/>
      <w:r w:rsidRPr="00630E1B">
        <w:rPr>
          <w:rFonts w:ascii="Arial Narrow" w:hAnsi="Arial Narrow"/>
        </w:rPr>
        <w:t xml:space="preserve"> instituto poderá ser criado sob qualquer das formas admitidas pela lei civil. § 2o  O patrimônio da fundação ou do instituto de direito privado a que se referem o inciso IV do art. 44 desta Lei e o caput deste artigo será vertido ao ente que vier a sucedê-lo nos casos de: I - extinção da fundação ou do instituto, quando extinto, fundido ou incorporado o partido político, assim como nas demais hipóteses previstas na legislação; II - conversão ou transformação da fundação em instituto, assim como deste em fundação.                </w:t>
      </w:r>
    </w:p>
  </w:endnote>
  <w:endnote w:id="30">
    <w:p w14:paraId="1BEA9149" w14:textId="0C86E97C" w:rsidR="00585F2C" w:rsidRPr="00326D17" w:rsidRDefault="00585F2C" w:rsidP="00EC603C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 w:rsidR="00EC603C" w:rsidRPr="00EC603C">
        <w:rPr>
          <w:rFonts w:ascii="Arial Narrow" w:hAnsi="Arial Narrow"/>
        </w:rPr>
        <w:t xml:space="preserve">SITAWI. </w:t>
      </w:r>
      <w:r w:rsidR="00EC603C" w:rsidRPr="00EC603C">
        <w:rPr>
          <w:rFonts w:ascii="Arial Narrow" w:hAnsi="Arial Narrow"/>
          <w:b/>
          <w:bCs/>
        </w:rPr>
        <w:t>Fusões e outras Colaborações Estruturadas de Longo Prazo no Setor</w:t>
      </w:r>
      <w:r w:rsidR="00EC603C">
        <w:rPr>
          <w:rFonts w:ascii="Arial Narrow" w:hAnsi="Arial Narrow"/>
          <w:b/>
          <w:bCs/>
        </w:rPr>
        <w:t xml:space="preserve"> </w:t>
      </w:r>
      <w:r w:rsidR="00EC603C" w:rsidRPr="00EC603C">
        <w:rPr>
          <w:rFonts w:ascii="Arial Narrow" w:hAnsi="Arial Narrow"/>
          <w:b/>
          <w:bCs/>
        </w:rPr>
        <w:t>Social</w:t>
      </w:r>
      <w:r w:rsidR="00EC603C" w:rsidRPr="00EC603C">
        <w:rPr>
          <w:rFonts w:ascii="Arial Narrow" w:hAnsi="Arial Narrow"/>
        </w:rPr>
        <w:t xml:space="preserve">. 2013. Disponível em: &lt;https://www.sitawi.net/publicacoes/fusoes-e-outrascolaboracoes-estruturadas-de-longo-prazo-no-setor-social/&gt;. Acesso: </w:t>
      </w:r>
      <w:r w:rsidR="00EC603C">
        <w:rPr>
          <w:rFonts w:ascii="Arial Narrow" w:hAnsi="Arial Narrow"/>
        </w:rPr>
        <w:t xml:space="preserve">23 </w:t>
      </w:r>
      <w:proofErr w:type="spellStart"/>
      <w:r w:rsidR="00EC603C">
        <w:rPr>
          <w:rFonts w:ascii="Arial Narrow" w:hAnsi="Arial Narrow"/>
        </w:rPr>
        <w:t>fev</w:t>
      </w:r>
      <w:proofErr w:type="spellEnd"/>
      <w:r w:rsidR="00EC603C">
        <w:rPr>
          <w:rFonts w:ascii="Arial Narrow" w:hAnsi="Arial Narrow"/>
        </w:rPr>
        <w:t xml:space="preserve"> 2023</w:t>
      </w:r>
      <w:r w:rsidR="00EC603C" w:rsidRPr="00EC603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</w:endnote>
  <w:endnote w:id="31">
    <w:p w14:paraId="6A25C37E" w14:textId="77F5D8B3" w:rsidR="00A5672E" w:rsidRPr="00326D17" w:rsidRDefault="00A5672E" w:rsidP="002F5B6C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A </w:t>
      </w:r>
      <w:r w:rsidRPr="00A5672E">
        <w:rPr>
          <w:rFonts w:ascii="Arial Narrow" w:hAnsi="Arial Narrow"/>
        </w:rPr>
        <w:t xml:space="preserve">fusão gerou desconfianças nas ONGs apoiadas pela </w:t>
      </w:r>
      <w:proofErr w:type="spellStart"/>
      <w:r w:rsidRPr="00A5672E">
        <w:rPr>
          <w:rFonts w:ascii="Arial Narrow" w:hAnsi="Arial Narrow"/>
        </w:rPr>
        <w:t>Save</w:t>
      </w:r>
      <w:proofErr w:type="spellEnd"/>
      <w:r w:rsidRPr="00A5672E">
        <w:rPr>
          <w:rFonts w:ascii="Arial Narrow" w:hAnsi="Arial Narrow"/>
        </w:rPr>
        <w:t xml:space="preserve"> </w:t>
      </w:r>
      <w:proofErr w:type="spellStart"/>
      <w:r w:rsidRPr="00A5672E">
        <w:rPr>
          <w:rFonts w:ascii="Arial Narrow" w:hAnsi="Arial Narrow"/>
        </w:rPr>
        <w:t>the</w:t>
      </w:r>
      <w:proofErr w:type="spellEnd"/>
      <w:r w:rsidRPr="00A5672E">
        <w:rPr>
          <w:rFonts w:ascii="Arial Narrow" w:hAnsi="Arial Narrow"/>
        </w:rPr>
        <w:t xml:space="preserve"> </w:t>
      </w:r>
      <w:proofErr w:type="spellStart"/>
      <w:r w:rsidRPr="00A5672E">
        <w:rPr>
          <w:rFonts w:ascii="Arial Narrow" w:hAnsi="Arial Narrow"/>
        </w:rPr>
        <w:t>Children</w:t>
      </w:r>
      <w:proofErr w:type="spellEnd"/>
      <w:r w:rsidRPr="00A5672E">
        <w:rPr>
          <w:rFonts w:ascii="Arial Narrow" w:hAnsi="Arial Narrow"/>
        </w:rPr>
        <w:t xml:space="preserve"> no </w:t>
      </w:r>
      <w:proofErr w:type="gramStart"/>
      <w:r w:rsidRPr="00A5672E">
        <w:rPr>
          <w:rFonts w:ascii="Arial Narrow" w:hAnsi="Arial Narrow"/>
        </w:rPr>
        <w:t xml:space="preserve">Brasil </w:t>
      </w:r>
      <w:r>
        <w:rPr>
          <w:rFonts w:ascii="Arial Narrow" w:hAnsi="Arial Narrow"/>
        </w:rPr>
        <w:t>;</w:t>
      </w:r>
      <w:proofErr w:type="gramEnd"/>
      <w:r>
        <w:rPr>
          <w:rFonts w:ascii="Arial Narrow" w:hAnsi="Arial Narrow"/>
        </w:rPr>
        <w:t xml:space="preserve"> </w:t>
      </w:r>
      <w:r w:rsidRPr="00A5672E">
        <w:rPr>
          <w:rFonts w:ascii="Arial Narrow" w:hAnsi="Arial Narrow"/>
        </w:rPr>
        <w:t>na Fundação Abrinq</w:t>
      </w:r>
      <w:r>
        <w:rPr>
          <w:rFonts w:ascii="Arial Narrow" w:hAnsi="Arial Narrow"/>
        </w:rPr>
        <w:t>,</w:t>
      </w:r>
      <w:r w:rsidRPr="00A5672E">
        <w:rPr>
          <w:rFonts w:ascii="Arial Narrow" w:hAnsi="Arial Narrow"/>
        </w:rPr>
        <w:t xml:space="preserve"> no mesmo período</w:t>
      </w:r>
      <w:r>
        <w:rPr>
          <w:rFonts w:ascii="Arial Narrow" w:hAnsi="Arial Narrow"/>
        </w:rPr>
        <w:t>,</w:t>
      </w:r>
      <w:r w:rsidRPr="00A5672E">
        <w:rPr>
          <w:rFonts w:ascii="Arial Narrow" w:hAnsi="Arial Narrow"/>
        </w:rPr>
        <w:t xml:space="preserve"> houve um desgaste entre membros da administração, considerando que a mesma se tornaria uma fábrica de distribuição de selos fazendo referências ao projeto empresa Amiga da criança. (</w:t>
      </w:r>
      <w:r w:rsidR="002F5B6C" w:rsidRPr="002F5B6C">
        <w:rPr>
          <w:rFonts w:ascii="Arial Narrow" w:hAnsi="Arial Narrow"/>
        </w:rPr>
        <w:t>ARAGÃO, Daniel Maurício de. O controle global da solidariedade: transnacionalização</w:t>
      </w:r>
      <w:r w:rsidR="002F5B6C">
        <w:rPr>
          <w:rFonts w:ascii="Arial Narrow" w:hAnsi="Arial Narrow"/>
        </w:rPr>
        <w:t xml:space="preserve"> </w:t>
      </w:r>
      <w:r w:rsidR="002F5B6C" w:rsidRPr="002F5B6C">
        <w:rPr>
          <w:rFonts w:ascii="Arial Narrow" w:hAnsi="Arial Narrow"/>
        </w:rPr>
        <w:t xml:space="preserve">e privatização na adaptação estratégica de ONGs britânicas no Brasil. </w:t>
      </w:r>
      <w:r w:rsidR="002F5B6C" w:rsidRPr="002F2FA1">
        <w:rPr>
          <w:rFonts w:ascii="Arial Narrow" w:hAnsi="Arial Narrow"/>
          <w:b/>
          <w:bCs/>
        </w:rPr>
        <w:t>Caderno CRH</w:t>
      </w:r>
      <w:r w:rsidR="002F5B6C" w:rsidRPr="002F5B6C">
        <w:rPr>
          <w:rFonts w:ascii="Arial Narrow" w:hAnsi="Arial Narrow"/>
        </w:rPr>
        <w:t>,</w:t>
      </w:r>
      <w:r w:rsidR="002F5B6C">
        <w:rPr>
          <w:rFonts w:ascii="Arial Narrow" w:hAnsi="Arial Narrow"/>
        </w:rPr>
        <w:t xml:space="preserve"> </w:t>
      </w:r>
      <w:r w:rsidR="002F5B6C" w:rsidRPr="002F5B6C">
        <w:rPr>
          <w:rFonts w:ascii="Arial Narrow" w:hAnsi="Arial Narrow"/>
        </w:rPr>
        <w:t xml:space="preserve">Salvador, v.25, n.65, p.269-283, </w:t>
      </w:r>
      <w:proofErr w:type="gramStart"/>
      <w:r w:rsidR="002F5B6C" w:rsidRPr="002F5B6C">
        <w:rPr>
          <w:rFonts w:ascii="Arial Narrow" w:hAnsi="Arial Narrow"/>
        </w:rPr>
        <w:t>Maio</w:t>
      </w:r>
      <w:proofErr w:type="gramEnd"/>
      <w:r w:rsidR="002F5B6C" w:rsidRPr="002F5B6C">
        <w:rPr>
          <w:rFonts w:ascii="Arial Narrow" w:hAnsi="Arial Narrow"/>
        </w:rPr>
        <w:t>/ago. 2012.</w:t>
      </w:r>
      <w:r w:rsidR="00487E02">
        <w:rPr>
          <w:rFonts w:ascii="Arial Narrow" w:hAnsi="Arial Narrow"/>
        </w:rPr>
        <w:t>)</w:t>
      </w:r>
    </w:p>
  </w:endnote>
  <w:endnote w:id="32">
    <w:p w14:paraId="366F0B67" w14:textId="65BE4B10" w:rsidR="00461166" w:rsidRPr="00326D17" w:rsidRDefault="00461166" w:rsidP="00186AE9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 w:rsidR="00186AE9" w:rsidRPr="00186AE9">
        <w:rPr>
          <w:rFonts w:ascii="Arial Narrow" w:hAnsi="Arial Narrow"/>
        </w:rPr>
        <w:t>SANTANA</w:t>
      </w:r>
      <w:r w:rsidR="00186AE9">
        <w:rPr>
          <w:rFonts w:ascii="Arial Narrow" w:hAnsi="Arial Narrow"/>
        </w:rPr>
        <w:t>,</w:t>
      </w:r>
      <w:r w:rsidR="00186AE9" w:rsidRPr="00186AE9">
        <w:rPr>
          <w:rFonts w:ascii="Arial Narrow" w:hAnsi="Arial Narrow"/>
        </w:rPr>
        <w:t xml:space="preserve"> Nathália Gregório</w:t>
      </w:r>
      <w:r w:rsidR="0092324D">
        <w:rPr>
          <w:rFonts w:ascii="Arial Narrow" w:hAnsi="Arial Narrow"/>
        </w:rPr>
        <w:t xml:space="preserve"> de</w:t>
      </w:r>
      <w:r w:rsidR="00186AE9">
        <w:rPr>
          <w:rFonts w:ascii="Arial Narrow" w:hAnsi="Arial Narrow"/>
        </w:rPr>
        <w:t>.</w:t>
      </w:r>
      <w:r w:rsidR="00186AE9" w:rsidRPr="00186AE9">
        <w:rPr>
          <w:rFonts w:ascii="Arial Narrow" w:hAnsi="Arial Narrow"/>
        </w:rPr>
        <w:t xml:space="preserve"> </w:t>
      </w:r>
      <w:r w:rsidR="00186AE9" w:rsidRPr="00186AE9">
        <w:rPr>
          <w:rFonts w:ascii="Arial Narrow" w:hAnsi="Arial Narrow"/>
          <w:b/>
          <w:bCs/>
        </w:rPr>
        <w:t>Fusão entre organizações não governamentais</w:t>
      </w:r>
      <w:r w:rsidR="00186AE9" w:rsidRPr="00186AE9">
        <w:rPr>
          <w:rFonts w:ascii="Arial Narrow" w:hAnsi="Arial Narrow"/>
        </w:rPr>
        <w:t>: tendência</w:t>
      </w:r>
      <w:r w:rsidR="00186AE9">
        <w:rPr>
          <w:rFonts w:ascii="Arial Narrow" w:hAnsi="Arial Narrow"/>
        </w:rPr>
        <w:t xml:space="preserve"> </w:t>
      </w:r>
      <w:r w:rsidR="00186AE9" w:rsidRPr="00186AE9">
        <w:rPr>
          <w:rFonts w:ascii="Arial Narrow" w:hAnsi="Arial Narrow"/>
        </w:rPr>
        <w:t>Das políticas sociais?</w:t>
      </w:r>
      <w:r w:rsidR="00186AE9">
        <w:rPr>
          <w:rFonts w:ascii="Arial Narrow" w:hAnsi="Arial Narrow"/>
        </w:rPr>
        <w:t xml:space="preserve"> </w:t>
      </w:r>
      <w:r w:rsidR="00186AE9" w:rsidRPr="008E3D20">
        <w:rPr>
          <w:rFonts w:ascii="Arial Narrow" w:hAnsi="Arial Narrow"/>
        </w:rPr>
        <w:t>Fonte:</w:t>
      </w:r>
      <w:r w:rsidR="00186AE9">
        <w:rPr>
          <w:rFonts w:ascii="Arial Narrow" w:hAnsi="Arial Narrow"/>
        </w:rPr>
        <w:t xml:space="preserve"> </w:t>
      </w:r>
      <w:r w:rsidR="00186AE9" w:rsidRPr="008E3D20">
        <w:rPr>
          <w:rFonts w:ascii="Arial Narrow" w:hAnsi="Arial Narrow"/>
        </w:rPr>
        <w:t>https://www.sitawi.net//a-sitawi/ acesso em 20/05/2018.</w:t>
      </w:r>
      <w:r w:rsidR="00186AE9">
        <w:rPr>
          <w:rFonts w:ascii="Arial Narrow" w:hAnsi="Arial Narrow"/>
        </w:rPr>
        <w:t xml:space="preserve"> </w:t>
      </w:r>
      <w:r w:rsidR="00186AE9" w:rsidRPr="008E3D20">
        <w:rPr>
          <w:rFonts w:ascii="Arial Narrow" w:hAnsi="Arial Narrow"/>
        </w:rPr>
        <w:t>Anais do 16º Encontro Nacional de Pesquisadores em Serviço Social</w:t>
      </w:r>
      <w:r w:rsidR="00186AE9">
        <w:rPr>
          <w:rFonts w:ascii="Arial Narrow" w:hAnsi="Arial Narrow"/>
        </w:rPr>
        <w:t xml:space="preserve">. Consulta em 23 </w:t>
      </w:r>
      <w:proofErr w:type="spellStart"/>
      <w:r w:rsidR="00186AE9">
        <w:rPr>
          <w:rFonts w:ascii="Arial Narrow" w:hAnsi="Arial Narrow"/>
        </w:rPr>
        <w:t>fev</w:t>
      </w:r>
      <w:proofErr w:type="spellEnd"/>
      <w:r w:rsidR="00186AE9">
        <w:rPr>
          <w:rFonts w:ascii="Arial Narrow" w:hAnsi="Arial Narrow"/>
        </w:rPr>
        <w:t xml:space="preserve"> 2023. </w:t>
      </w:r>
    </w:p>
  </w:endnote>
  <w:endnote w:id="33">
    <w:p w14:paraId="48FCEAF2" w14:textId="6CEEBE7D" w:rsidR="00A52475" w:rsidRPr="00326D17" w:rsidRDefault="00A52475" w:rsidP="00A52475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Esta, a feliz expressão de </w:t>
      </w:r>
      <w:r w:rsidR="0029378E" w:rsidRPr="0029378E">
        <w:rPr>
          <w:rFonts w:ascii="Arial Narrow" w:hAnsi="Arial Narrow"/>
        </w:rPr>
        <w:t xml:space="preserve">José </w:t>
      </w:r>
      <w:proofErr w:type="spellStart"/>
      <w:r w:rsidR="0029378E" w:rsidRPr="0029378E">
        <w:rPr>
          <w:rFonts w:ascii="Arial Narrow" w:hAnsi="Arial Narrow"/>
        </w:rPr>
        <w:t>Edwaldo</w:t>
      </w:r>
      <w:proofErr w:type="spellEnd"/>
      <w:r w:rsidR="0029378E" w:rsidRPr="0029378E">
        <w:rPr>
          <w:rFonts w:ascii="Arial Narrow" w:hAnsi="Arial Narrow"/>
        </w:rPr>
        <w:t xml:space="preserve"> Tavares BORBA</w:t>
      </w:r>
      <w:r w:rsidR="0029378E">
        <w:rPr>
          <w:rFonts w:ascii="Arial Narrow" w:hAnsi="Arial Narrow"/>
        </w:rPr>
        <w:t xml:space="preserve"> (</w:t>
      </w:r>
      <w:r w:rsidR="0029378E" w:rsidRPr="0029378E">
        <w:rPr>
          <w:rFonts w:ascii="Arial Narrow" w:hAnsi="Arial Narrow"/>
          <w:i/>
          <w:iCs/>
        </w:rPr>
        <w:t>in</w:t>
      </w:r>
      <w:r w:rsidR="0029378E" w:rsidRPr="0029378E">
        <w:rPr>
          <w:rFonts w:ascii="Arial Narrow" w:hAnsi="Arial Narrow"/>
        </w:rPr>
        <w:t xml:space="preserve"> Direito Societário.8. Ed. Rev., aum. E atual. Rio de Janeiro: Renovar, 2003</w:t>
      </w:r>
      <w:r w:rsidR="001E16A2">
        <w:rPr>
          <w:rFonts w:ascii="Arial Narrow" w:hAnsi="Arial Narrow"/>
        </w:rPr>
        <w:t>,</w:t>
      </w:r>
      <w:r w:rsidR="001E16A2" w:rsidRPr="001E16A2">
        <w:t xml:space="preserve"> </w:t>
      </w:r>
      <w:r w:rsidR="001E16A2" w:rsidRPr="001E16A2">
        <w:rPr>
          <w:rFonts w:ascii="Arial Narrow" w:hAnsi="Arial Narrow"/>
        </w:rPr>
        <w:t>p. 479</w:t>
      </w:r>
      <w:r w:rsidR="0029378E">
        <w:rPr>
          <w:rFonts w:ascii="Arial Narrow" w:hAnsi="Arial Narrow"/>
        </w:rPr>
        <w:t>)</w:t>
      </w:r>
      <w:r w:rsidR="0029378E" w:rsidRPr="0029378E">
        <w:rPr>
          <w:rFonts w:ascii="Arial Narrow" w:hAnsi="Arial Narrow"/>
        </w:rPr>
        <w:t>.</w:t>
      </w:r>
      <w:r w:rsidRPr="00630E1B">
        <w:rPr>
          <w:rFonts w:ascii="Arial Narrow" w:hAnsi="Arial Narrow"/>
        </w:rPr>
        <w:t xml:space="preserve"> </w:t>
      </w:r>
    </w:p>
  </w:endnote>
  <w:endnote w:id="34">
    <w:p w14:paraId="26AD1DDB" w14:textId="4B85378D" w:rsidR="00D646DE" w:rsidRPr="00326D17" w:rsidRDefault="00D646DE" w:rsidP="00D646DE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 w:rsidR="00A43665" w:rsidRPr="00A43665">
        <w:rPr>
          <w:rFonts w:ascii="Arial Narrow" w:hAnsi="Arial Narrow"/>
        </w:rPr>
        <w:t>Já acima transcrito</w:t>
      </w:r>
      <w:r w:rsidRPr="00630E1B">
        <w:rPr>
          <w:rFonts w:ascii="Arial Narrow" w:hAnsi="Arial Narrow"/>
        </w:rPr>
        <w:t xml:space="preserve">.                </w:t>
      </w:r>
    </w:p>
  </w:endnote>
  <w:endnote w:id="35">
    <w:p w14:paraId="13E8B155" w14:textId="3A501478" w:rsidR="00805F3E" w:rsidRPr="00326D17" w:rsidRDefault="00805F3E" w:rsidP="00805F3E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 w:rsidR="00D46A4C">
        <w:rPr>
          <w:rFonts w:ascii="Arial Narrow" w:hAnsi="Arial Narrow"/>
        </w:rPr>
        <w:t>Já acima transcrito</w:t>
      </w:r>
      <w:r w:rsidRPr="00630E1B">
        <w:rPr>
          <w:rFonts w:ascii="Arial Narrow" w:hAnsi="Arial Narrow"/>
        </w:rPr>
        <w:t>.</w:t>
      </w:r>
    </w:p>
  </w:endnote>
  <w:endnote w:id="36">
    <w:p w14:paraId="385BEBFF" w14:textId="172B3523" w:rsidR="00856DAE" w:rsidRPr="00856DAE" w:rsidRDefault="00C20BB9" w:rsidP="00856DAE">
      <w:pPr>
        <w:pStyle w:val="Textodenotadefim"/>
        <w:jc w:val="both"/>
        <w:rPr>
          <w:rFonts w:ascii="Arial Narrow" w:hAnsi="Arial Narrow"/>
        </w:rPr>
      </w:pPr>
      <w:r w:rsidRPr="001036FD">
        <w:rPr>
          <w:rStyle w:val="Refdenotadefim"/>
          <w:rFonts w:ascii="Arial Narrow" w:hAnsi="Arial Narrow"/>
        </w:rPr>
        <w:endnoteRef/>
      </w:r>
      <w:r w:rsidRPr="001036FD">
        <w:rPr>
          <w:rFonts w:ascii="Arial Narrow" w:hAnsi="Arial Narrow"/>
        </w:rPr>
        <w:t xml:space="preserve"> Neste mesmo sentido,</w:t>
      </w:r>
      <w:r>
        <w:rPr>
          <w:rFonts w:ascii="Arial Narrow" w:hAnsi="Arial Narrow"/>
        </w:rPr>
        <w:t xml:space="preserve"> ainda sob a égide do </w:t>
      </w:r>
      <w:r w:rsidR="00C66BF7">
        <w:rPr>
          <w:rFonts w:ascii="Arial Narrow" w:hAnsi="Arial Narrow"/>
        </w:rPr>
        <w:t>C</w:t>
      </w:r>
      <w:r>
        <w:rPr>
          <w:rFonts w:ascii="Arial Narrow" w:hAnsi="Arial Narrow"/>
        </w:rPr>
        <w:t>ódigo</w:t>
      </w:r>
      <w:r w:rsidR="00C66BF7">
        <w:rPr>
          <w:rFonts w:ascii="Arial Narrow" w:hAnsi="Arial Narrow"/>
        </w:rPr>
        <w:t xml:space="preserve"> C</w:t>
      </w:r>
      <w:r>
        <w:rPr>
          <w:rFonts w:ascii="Arial Narrow" w:hAnsi="Arial Narrow"/>
        </w:rPr>
        <w:t xml:space="preserve">ivil anterior, </w:t>
      </w:r>
      <w:r w:rsidRPr="001036FD">
        <w:rPr>
          <w:rFonts w:ascii="Arial Narrow" w:hAnsi="Arial Narrow"/>
        </w:rPr>
        <w:t xml:space="preserve">Sergio De Andréa Ferreira </w:t>
      </w:r>
      <w:r w:rsidRPr="001036FD">
        <w:rPr>
          <w:rFonts w:ascii="Arial Narrow" w:hAnsi="Arial Narrow"/>
          <w:i/>
          <w:iCs/>
        </w:rPr>
        <w:t>in</w:t>
      </w:r>
      <w:r w:rsidRPr="001036FD">
        <w:rPr>
          <w:rFonts w:ascii="Arial Narrow" w:hAnsi="Arial Narrow"/>
        </w:rPr>
        <w:t xml:space="preserve"> </w:t>
      </w:r>
      <w:r w:rsidRPr="001036FD">
        <w:rPr>
          <w:rFonts w:ascii="Arial Narrow" w:hAnsi="Arial Narrow"/>
          <w:b/>
          <w:bCs/>
        </w:rPr>
        <w:t xml:space="preserve">As Fundações </w:t>
      </w:r>
      <w:r w:rsidR="00856DAE">
        <w:rPr>
          <w:rFonts w:ascii="Arial Narrow" w:hAnsi="Arial Narrow"/>
          <w:b/>
          <w:bCs/>
        </w:rPr>
        <w:t>d</w:t>
      </w:r>
      <w:r w:rsidRPr="001036FD">
        <w:rPr>
          <w:rFonts w:ascii="Arial Narrow" w:hAnsi="Arial Narrow"/>
          <w:b/>
          <w:bCs/>
        </w:rPr>
        <w:t xml:space="preserve">e Direito Privado Instituídas </w:t>
      </w:r>
      <w:r w:rsidR="00856DAE">
        <w:rPr>
          <w:rFonts w:ascii="Arial Narrow" w:hAnsi="Arial Narrow"/>
          <w:b/>
          <w:bCs/>
        </w:rPr>
        <w:t>p</w:t>
      </w:r>
      <w:r w:rsidRPr="001036FD">
        <w:rPr>
          <w:rFonts w:ascii="Arial Narrow" w:hAnsi="Arial Narrow"/>
          <w:b/>
          <w:bCs/>
        </w:rPr>
        <w:t xml:space="preserve">elo Poder Público No Brasil </w:t>
      </w:r>
      <w:r w:rsidRPr="001036FD">
        <w:rPr>
          <w:rFonts w:ascii="Arial Narrow" w:hAnsi="Arial Narrow"/>
        </w:rPr>
        <w:t xml:space="preserve">(Tese apresentada no concurso para a livre-docência de Direito Administrativo, na Faculdade de Direito da Universidade do Estado da Guanabara (disponível em </w:t>
      </w:r>
      <w:hyperlink r:id="rId7" w:history="1">
        <w:r w:rsidRPr="0051124D">
          <w:rPr>
            <w:rStyle w:val="Hyperlink"/>
            <w:rFonts w:ascii="Arial Narrow" w:hAnsi="Arial Narrow"/>
          </w:rPr>
          <w:t>http://www.mprj.mp.br/documents/20184 /1758650/Sergio_De_Andrea_Ferreira.pdf</w:t>
        </w:r>
      </w:hyperlink>
      <w:r w:rsidRPr="001036FD">
        <w:rPr>
          <w:rFonts w:ascii="Arial Narrow" w:hAnsi="Arial Narrow"/>
          <w:u w:val="single"/>
        </w:rPr>
        <w:t xml:space="preserve">. </w:t>
      </w:r>
      <w:r w:rsidRPr="001036FD">
        <w:rPr>
          <w:rFonts w:ascii="Arial Narrow" w:hAnsi="Arial Narrow"/>
        </w:rPr>
        <w:t>Consultado em 05 out</w:t>
      </w:r>
      <w:r>
        <w:rPr>
          <w:rFonts w:ascii="Arial Narrow" w:hAnsi="Arial Narrow"/>
        </w:rPr>
        <w:t>.</w:t>
      </w:r>
      <w:r w:rsidRPr="001036FD">
        <w:rPr>
          <w:rFonts w:ascii="Arial Narrow" w:hAnsi="Arial Narrow"/>
        </w:rPr>
        <w:t xml:space="preserve"> 2021</w:t>
      </w:r>
      <w:r>
        <w:rPr>
          <w:rFonts w:ascii="Arial Narrow" w:hAnsi="Arial Narrow"/>
        </w:rPr>
        <w:t xml:space="preserve">), para quem </w:t>
      </w:r>
      <w:r w:rsidR="00856DAE">
        <w:rPr>
          <w:rFonts w:ascii="Arial Narrow" w:hAnsi="Arial Narrow"/>
        </w:rPr>
        <w:t>“[é]</w:t>
      </w:r>
      <w:r w:rsidR="00856DAE" w:rsidRPr="00856DAE">
        <w:rPr>
          <w:rFonts w:ascii="Arial Narrow" w:hAnsi="Arial Narrow"/>
        </w:rPr>
        <w:t xml:space="preserve"> possível, finalmente, a transformação da fundação, a novação</w:t>
      </w:r>
      <w:r w:rsidR="00856DAE">
        <w:rPr>
          <w:rFonts w:ascii="Arial Narrow" w:hAnsi="Arial Narrow"/>
        </w:rPr>
        <w:t xml:space="preserve"> </w:t>
      </w:r>
      <w:r w:rsidR="00856DAE" w:rsidRPr="00856DAE">
        <w:rPr>
          <w:rFonts w:ascii="Arial Narrow" w:hAnsi="Arial Narrow"/>
        </w:rPr>
        <w:t>de personalidade, compreendendo as hipóteses de mudança de fim, fusão,</w:t>
      </w:r>
      <w:r w:rsidR="00856DAE">
        <w:rPr>
          <w:rFonts w:ascii="Arial Narrow" w:hAnsi="Arial Narrow"/>
        </w:rPr>
        <w:t xml:space="preserve"> </w:t>
      </w:r>
      <w:r w:rsidR="00856DAE" w:rsidRPr="00856DAE">
        <w:rPr>
          <w:rFonts w:ascii="Arial Narrow" w:hAnsi="Arial Narrow"/>
        </w:rPr>
        <w:t>incorporação, conversão em associação, em autarquia. Pode ser transmudada,</w:t>
      </w:r>
    </w:p>
    <w:p w14:paraId="0938F8E6" w14:textId="6CA00406" w:rsidR="00C20BB9" w:rsidRPr="001036FD" w:rsidRDefault="00856DAE" w:rsidP="00856DAE">
      <w:pPr>
        <w:pStyle w:val="Textodenotadefim"/>
        <w:jc w:val="both"/>
        <w:rPr>
          <w:rFonts w:ascii="Arial Narrow" w:hAnsi="Arial Narrow"/>
        </w:rPr>
      </w:pPr>
      <w:r w:rsidRPr="00856DAE">
        <w:rPr>
          <w:rFonts w:ascii="Arial Narrow" w:hAnsi="Arial Narrow"/>
        </w:rPr>
        <w:t>também, em órgão da Administração Direta, perdendo, destarte, sua personalidade.</w:t>
      </w:r>
      <w:r>
        <w:rPr>
          <w:rFonts w:ascii="Arial Narrow" w:hAnsi="Arial Narrow"/>
        </w:rPr>
        <w:t xml:space="preserve"> </w:t>
      </w:r>
      <w:r w:rsidRPr="00856DAE">
        <w:rPr>
          <w:rFonts w:ascii="Arial Narrow" w:hAnsi="Arial Narrow"/>
        </w:rPr>
        <w:t>Para tais fatos, há necessidade de embasamento legal</w:t>
      </w:r>
      <w:r>
        <w:rPr>
          <w:rFonts w:ascii="Arial Narrow" w:hAnsi="Arial Narrow"/>
        </w:rPr>
        <w:t>”</w:t>
      </w:r>
      <w:r w:rsidR="00C20BB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(p. </w:t>
      </w:r>
      <w:r w:rsidR="004453B0">
        <w:rPr>
          <w:rFonts w:ascii="Arial Narrow" w:hAnsi="Arial Narrow"/>
        </w:rPr>
        <w:t>131).</w:t>
      </w:r>
    </w:p>
  </w:endnote>
  <w:endnote w:id="37">
    <w:p w14:paraId="60E7CDFD" w14:textId="746BB7C8" w:rsidR="00805F3E" w:rsidRPr="00326D17" w:rsidRDefault="00805F3E" w:rsidP="00805F3E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Leia-se o seguinte excerto: “</w:t>
      </w:r>
      <w:r w:rsidR="00AD205A">
        <w:rPr>
          <w:rFonts w:ascii="Arial Narrow" w:hAnsi="Arial Narrow"/>
        </w:rPr>
        <w:t>[...] 1</w:t>
      </w:r>
      <w:r w:rsidRPr="00204247">
        <w:rPr>
          <w:rFonts w:ascii="Arial Narrow" w:hAnsi="Arial Narrow"/>
        </w:rPr>
        <w:t>1. Ocorre que, visando atender a complexidade inerente à dinâmica de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>funcionamento social, que exige do intérprete constante atualização na forma de observar e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>aplicar o direito, a jurisprudência nacional evoluiu no sentido de estender o instituto da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>transformação também às demais modalidades de organização, conforme se vê do Enunciado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>nº 615, do Conselho da Justiça Federal, firmado quando da VIII Jornada de Direito Civil,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>"litteris" “As associações civis podem sofrer transformação, fusão, incorporação ou cisão.”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>12. Ora, estendido tal entendimento às associações, pessoa jurídica de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>direito privado de natureza diversa, nada impossibilita que o mesmo raciocínio também se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>aplique às demais pessoas jurídicas não empresárias, à exemplo das Fundações,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>demonstrando, a princípio e no plano teórico, a possibilidade da pretendida alteração objeto da</w:t>
      </w:r>
      <w:r>
        <w:rPr>
          <w:rFonts w:ascii="Arial Narrow" w:hAnsi="Arial Narrow"/>
        </w:rPr>
        <w:t xml:space="preserve"> </w:t>
      </w:r>
      <w:r w:rsidRPr="00204247">
        <w:rPr>
          <w:rFonts w:ascii="Arial Narrow" w:hAnsi="Arial Narrow"/>
        </w:rPr>
        <w:t xml:space="preserve">suscitação de dúvida. </w:t>
      </w:r>
      <w:r>
        <w:rPr>
          <w:rFonts w:ascii="Arial Narrow" w:hAnsi="Arial Narrow"/>
        </w:rPr>
        <w:t xml:space="preserve">[...] </w:t>
      </w:r>
      <w:r w:rsidRPr="001A5950">
        <w:rPr>
          <w:rFonts w:ascii="Arial Narrow" w:hAnsi="Arial Narrow"/>
        </w:rPr>
        <w:t xml:space="preserve">16. Da mesma forma, devem-se </w:t>
      </w:r>
      <w:proofErr w:type="gramStart"/>
      <w:r w:rsidRPr="001A5950">
        <w:rPr>
          <w:rFonts w:ascii="Arial Narrow" w:hAnsi="Arial Narrow"/>
        </w:rPr>
        <w:t>obedecer as</w:t>
      </w:r>
      <w:proofErr w:type="gramEnd"/>
      <w:r w:rsidRPr="001A5950">
        <w:rPr>
          <w:rFonts w:ascii="Arial Narrow" w:hAnsi="Arial Narrow"/>
        </w:rPr>
        <w:t xml:space="preserve"> previsões e requisitos legais e</w:t>
      </w:r>
      <w:r>
        <w:rPr>
          <w:rFonts w:ascii="Arial Narrow" w:hAnsi="Arial Narrow"/>
        </w:rPr>
        <w:t xml:space="preserve"> </w:t>
      </w:r>
      <w:r w:rsidRPr="001A5950">
        <w:rPr>
          <w:rFonts w:ascii="Arial Narrow" w:hAnsi="Arial Narrow"/>
        </w:rPr>
        <w:t>normativos para adoção da nova modalidade que deseja cambiar. É que tratando-se de</w:t>
      </w:r>
      <w:r>
        <w:rPr>
          <w:rFonts w:ascii="Arial Narrow" w:hAnsi="Arial Narrow"/>
        </w:rPr>
        <w:t xml:space="preserve"> </w:t>
      </w:r>
      <w:r w:rsidRPr="001A5950">
        <w:rPr>
          <w:rFonts w:ascii="Arial Narrow" w:hAnsi="Arial Narrow"/>
        </w:rPr>
        <w:t>fundação de direito privado, faz-se necessário atentar ao disposto no art. 61 e seguintes do</w:t>
      </w:r>
      <w:r>
        <w:rPr>
          <w:rFonts w:ascii="Arial Narrow" w:hAnsi="Arial Narrow"/>
        </w:rPr>
        <w:t xml:space="preserve"> </w:t>
      </w:r>
      <w:r w:rsidRPr="001A5950">
        <w:rPr>
          <w:rFonts w:ascii="Arial Narrow" w:hAnsi="Arial Narrow"/>
        </w:rPr>
        <w:t>CC/2002, que regulamenta a criação, finalidades possíveis e demais disposições relativas a</w:t>
      </w:r>
      <w:r>
        <w:rPr>
          <w:rFonts w:ascii="Arial Narrow" w:hAnsi="Arial Narrow"/>
        </w:rPr>
        <w:t xml:space="preserve"> </w:t>
      </w:r>
      <w:r w:rsidRPr="001A5950">
        <w:rPr>
          <w:rFonts w:ascii="Arial Narrow" w:hAnsi="Arial Narrow"/>
        </w:rPr>
        <w:t>essa espécie de pessoa jurídica.</w:t>
      </w:r>
      <w:r>
        <w:rPr>
          <w:rFonts w:ascii="Arial Narrow" w:hAnsi="Arial Narrow"/>
        </w:rPr>
        <w:t>”</w:t>
      </w:r>
      <w:r w:rsidR="00AD205A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Disponível em </w:t>
      </w:r>
      <w:r w:rsidRPr="006420E8">
        <w:rPr>
          <w:rFonts w:ascii="Arial Narrow" w:hAnsi="Arial Narrow"/>
        </w:rPr>
        <w:t xml:space="preserve"> </w:t>
      </w:r>
      <w:hyperlink r:id="rId8" w:history="1">
        <w:r w:rsidRPr="00FF1132">
          <w:rPr>
            <w:rStyle w:val="Hyperlink"/>
            <w:rFonts w:ascii="Arial Narrow" w:hAnsi="Arial Narrow"/>
          </w:rPr>
          <w:t>https://www2.tjal.jus.br/pastadigital/pg/abrirConferenciaDocumento.do</w:t>
        </w:r>
      </w:hyperlink>
      <w:r>
        <w:rPr>
          <w:rFonts w:ascii="Arial Narrow" w:hAnsi="Arial Narrow"/>
        </w:rPr>
        <w:t xml:space="preserve"> (</w:t>
      </w:r>
      <w:r w:rsidRPr="006420E8">
        <w:rPr>
          <w:rFonts w:ascii="Arial Narrow" w:hAnsi="Arial Narrow"/>
        </w:rPr>
        <w:t>informe o processo 0000542-64.2020.8.02.0073 e código 465D03A</w:t>
      </w:r>
      <w:r>
        <w:rPr>
          <w:rFonts w:ascii="Arial Narrow" w:hAnsi="Arial Narrow"/>
        </w:rPr>
        <w:t xml:space="preserve">). Consulta em 23 fev. 2023. </w:t>
      </w:r>
      <w:r w:rsidRPr="00630E1B">
        <w:rPr>
          <w:rFonts w:ascii="Arial Narrow" w:hAnsi="Arial Narrow"/>
        </w:rPr>
        <w:t xml:space="preserve">       </w:t>
      </w:r>
    </w:p>
  </w:endnote>
  <w:endnote w:id="38">
    <w:p w14:paraId="42A6A308" w14:textId="7723D9A4" w:rsidR="00600D50" w:rsidRPr="00326D17" w:rsidRDefault="00600D50" w:rsidP="00600D50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</w:t>
      </w:r>
      <w:r w:rsidR="0092324D">
        <w:rPr>
          <w:rFonts w:ascii="Arial Narrow" w:hAnsi="Arial Narrow"/>
        </w:rPr>
        <w:t>Já acima transcrito</w:t>
      </w:r>
      <w:r w:rsidRPr="00630E1B">
        <w:rPr>
          <w:rFonts w:ascii="Arial Narrow" w:hAnsi="Arial Narrow"/>
        </w:rPr>
        <w:t>.</w:t>
      </w:r>
    </w:p>
  </w:endnote>
  <w:endnote w:id="39">
    <w:p w14:paraId="6A4E8194" w14:textId="3F881C32" w:rsidR="00E54540" w:rsidRPr="00326D17" w:rsidRDefault="00E54540" w:rsidP="00E54540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No prelo. </w:t>
      </w:r>
    </w:p>
  </w:endnote>
  <w:endnote w:id="40">
    <w:p w14:paraId="47A07925" w14:textId="50D8BB4F" w:rsidR="0067136E" w:rsidRPr="00326D17" w:rsidRDefault="0067136E" w:rsidP="0067136E">
      <w:pPr>
        <w:pStyle w:val="Textodenotadefim"/>
        <w:spacing w:after="120"/>
        <w:jc w:val="both"/>
        <w:rPr>
          <w:rFonts w:ascii="Arial Narrow" w:hAnsi="Arial Narrow"/>
        </w:rPr>
      </w:pPr>
      <w:r w:rsidRPr="00326D17">
        <w:rPr>
          <w:rStyle w:val="Refdenotadefim"/>
          <w:rFonts w:ascii="Arial Narrow" w:hAnsi="Arial Narrow"/>
        </w:rPr>
        <w:endnoteRef/>
      </w:r>
      <w:r w:rsidRPr="00326D17">
        <w:rPr>
          <w:rFonts w:ascii="Arial Narrow" w:hAnsi="Arial Narrow"/>
        </w:rPr>
        <w:t xml:space="preserve"> </w:t>
      </w:r>
      <w:r w:rsidRPr="00630E1B">
        <w:rPr>
          <w:rFonts w:ascii="Arial Narrow" w:hAnsi="Arial Narrow"/>
        </w:rPr>
        <w:t xml:space="preserve">  </w:t>
      </w:r>
      <w:r w:rsidR="00E534F6">
        <w:rPr>
          <w:rFonts w:ascii="Arial Narrow" w:hAnsi="Arial Narrow"/>
        </w:rPr>
        <w:t xml:space="preserve">Disponível em </w:t>
      </w:r>
      <w:hyperlink r:id="rId9" w:history="1">
        <w:r w:rsidR="00485CA0" w:rsidRPr="00485CA0">
          <w:rPr>
            <w:rStyle w:val="Hyperlink"/>
            <w:rFonts w:ascii="Arial Narrow" w:hAnsi="Arial Narrow"/>
            <w:color w:val="auto"/>
          </w:rPr>
          <w:t>https://portal.tcu.gov.br/lumis/portal/file/fileDownload.jsp?fileId=8A8182A14DB4AFB3014</w:t>
        </w:r>
      </w:hyperlink>
      <w:r w:rsidR="00485CA0" w:rsidRPr="00485CA0">
        <w:rPr>
          <w:rFonts w:ascii="Arial Narrow" w:hAnsi="Arial Narrow"/>
          <w:u w:val="single"/>
        </w:rPr>
        <w:t xml:space="preserve"> </w:t>
      </w:r>
      <w:r w:rsidR="00E534F6" w:rsidRPr="00485CA0">
        <w:rPr>
          <w:rFonts w:ascii="Arial Narrow" w:hAnsi="Arial Narrow"/>
          <w:u w:val="single"/>
        </w:rPr>
        <w:t xml:space="preserve">DBB359F273F7 </w:t>
      </w:r>
      <w:proofErr w:type="spellStart"/>
      <w:r w:rsidR="00E534F6" w:rsidRPr="00485CA0">
        <w:rPr>
          <w:rFonts w:ascii="Arial Narrow" w:hAnsi="Arial Narrow"/>
          <w:u w:val="single"/>
        </w:rPr>
        <w:t>D&amp;inline</w:t>
      </w:r>
      <w:proofErr w:type="spellEnd"/>
      <w:r w:rsidR="00E534F6" w:rsidRPr="00485CA0">
        <w:rPr>
          <w:rFonts w:ascii="Arial Narrow" w:hAnsi="Arial Narrow"/>
          <w:u w:val="single"/>
        </w:rPr>
        <w:t>=</w:t>
      </w:r>
      <w:proofErr w:type="gramStart"/>
      <w:r w:rsidR="00E534F6" w:rsidRPr="00485CA0">
        <w:rPr>
          <w:rFonts w:ascii="Arial Narrow" w:hAnsi="Arial Narrow"/>
          <w:u w:val="single"/>
        </w:rPr>
        <w:t xml:space="preserve">1 </w:t>
      </w:r>
      <w:r w:rsidRPr="00EC603C">
        <w:rPr>
          <w:rFonts w:ascii="Arial Narrow" w:hAnsi="Arial Narrow"/>
        </w:rPr>
        <w:t>.</w:t>
      </w:r>
      <w:proofErr w:type="gramEnd"/>
      <w:r w:rsidRPr="00EC603C">
        <w:rPr>
          <w:rFonts w:ascii="Arial Narrow" w:hAnsi="Arial Narrow"/>
        </w:rPr>
        <w:t xml:space="preserve"> Acesso: </w:t>
      </w:r>
      <w:r>
        <w:rPr>
          <w:rFonts w:ascii="Arial Narrow" w:hAnsi="Arial Narrow"/>
        </w:rPr>
        <w:t xml:space="preserve">23 </w:t>
      </w:r>
      <w:proofErr w:type="spellStart"/>
      <w:r>
        <w:rPr>
          <w:rFonts w:ascii="Arial Narrow" w:hAnsi="Arial Narrow"/>
        </w:rPr>
        <w:t>fev</w:t>
      </w:r>
      <w:proofErr w:type="spellEnd"/>
      <w:r>
        <w:rPr>
          <w:rFonts w:ascii="Arial Narrow" w:hAnsi="Arial Narrow"/>
        </w:rPr>
        <w:t xml:space="preserve"> 2023</w:t>
      </w:r>
      <w:r w:rsidRPr="00EC603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</w:endnote>
  <w:endnote w:id="41">
    <w:p w14:paraId="0F987D23" w14:textId="77777777" w:rsidR="00605156" w:rsidRPr="00F41778" w:rsidRDefault="00605156" w:rsidP="00605156">
      <w:pPr>
        <w:pStyle w:val="Textodenotadefim"/>
        <w:spacing w:after="120"/>
        <w:jc w:val="both"/>
        <w:rPr>
          <w:rFonts w:ascii="Arial Narrow" w:hAnsi="Arial Narrow"/>
        </w:rPr>
      </w:pPr>
      <w:r w:rsidRPr="00F41778">
        <w:rPr>
          <w:rStyle w:val="Refdenotadefim"/>
          <w:rFonts w:ascii="Arial Narrow" w:hAnsi="Arial Narrow"/>
        </w:rPr>
        <w:endnoteRef/>
      </w:r>
      <w:r w:rsidRPr="00F41778">
        <w:rPr>
          <w:rFonts w:ascii="Arial Narrow" w:hAnsi="Arial Narrow"/>
        </w:rPr>
        <w:t xml:space="preserve"> </w:t>
      </w:r>
      <w:r w:rsidRPr="00F41778">
        <w:rPr>
          <w:rFonts w:ascii="Arial Narrow" w:hAnsi="Arial Narrow" w:cstheme="minorHAnsi"/>
        </w:rPr>
        <w:t xml:space="preserve">Fábio Ulhôa Coelho </w:t>
      </w:r>
      <w:r w:rsidRPr="00F41778">
        <w:rPr>
          <w:rFonts w:ascii="Arial Narrow" w:hAnsi="Arial Narrow" w:cstheme="minorHAnsi"/>
          <w:i/>
          <w:iCs/>
        </w:rPr>
        <w:t>in</w:t>
      </w:r>
      <w:r w:rsidRPr="00F41778">
        <w:rPr>
          <w:rFonts w:ascii="Arial Narrow" w:hAnsi="Arial Narrow" w:cstheme="minorHAnsi"/>
          <w:shd w:val="clear" w:color="auto" w:fill="FFFFFF"/>
        </w:rPr>
        <w:t xml:space="preserve"> </w:t>
      </w:r>
      <w:r w:rsidRPr="00F41778">
        <w:rPr>
          <w:rFonts w:ascii="Arial Narrow" w:hAnsi="Arial Narrow" w:cstheme="minorHAnsi"/>
          <w:b/>
          <w:bCs/>
          <w:shd w:val="clear" w:color="auto" w:fill="FFFFFF"/>
        </w:rPr>
        <w:t>Curso de direito comercial: direito de empresa</w:t>
      </w:r>
      <w:r w:rsidRPr="00F41778">
        <w:rPr>
          <w:rFonts w:ascii="Arial Narrow" w:hAnsi="Arial Narrow" w:cstheme="minorHAnsi"/>
          <w:shd w:val="clear" w:color="auto" w:fill="FFFFFF"/>
        </w:rPr>
        <w:t>, São Paulo, Saraiva: 2014, p. 79.</w:t>
      </w:r>
      <w:r w:rsidRPr="00F41778">
        <w:rPr>
          <w:rFonts w:ascii="Arial Narrow" w:hAnsi="Arial Narrow" w:cstheme="minorHAnsi"/>
          <w:vertAlign w:val="superscript"/>
        </w:rPr>
        <w:t xml:space="preserve"> </w:t>
      </w:r>
      <w:r w:rsidRPr="00F41778">
        <w:rPr>
          <w:rFonts w:ascii="Arial Narrow" w:hAnsi="Arial Narrow" w:cstheme="minorHAnsi"/>
        </w:rPr>
        <w:t>assim conceitua o princípio da preservação da empresa: “O princípio da preservação da empresa, o que se tem em mira é a proteção da atividade econômica, como objeto de direito cuja existência e desenvolvimento interessam não somente ao empresário, ou aos sócios da sociedade empresária, mas a um conjunto bem maior de sujeitos. Na locação identificadora do princípio, “empresa” é o conceito de sentido técnico bem específico e preciso. Não se confunde nem com o seu titular (“empresário”) nem com o lugar em que explorada (“estabelecimento empresarial”), O que se busca preservar, na aplicação do princípio da preservação da empresa, é, portanto, a atividade, o empreendimento.  E complementa: “O princípio da preservação da empresa é legal, geral e implícito”.</w:t>
      </w:r>
    </w:p>
  </w:endnote>
  <w:endnote w:id="42">
    <w:p w14:paraId="12D90C04" w14:textId="4AEA266F" w:rsidR="0070054E" w:rsidRPr="00CC559E" w:rsidRDefault="00605156" w:rsidP="0070054E">
      <w:pPr>
        <w:pStyle w:val="Textodenotadefim"/>
        <w:spacing w:after="120"/>
        <w:jc w:val="both"/>
      </w:pPr>
      <w:r w:rsidRPr="00F41778">
        <w:rPr>
          <w:rStyle w:val="Refdenotadefim"/>
          <w:rFonts w:ascii="Arial Narrow" w:hAnsi="Arial Narrow"/>
        </w:rPr>
        <w:endnoteRef/>
      </w:r>
      <w:r w:rsidRPr="00F41778">
        <w:rPr>
          <w:rFonts w:ascii="Arial Narrow" w:hAnsi="Arial Narrow"/>
        </w:rPr>
        <w:t xml:space="preserve"> </w:t>
      </w:r>
      <w:r w:rsidR="0070054E" w:rsidRPr="0077390E">
        <w:rPr>
          <w:rFonts w:ascii="Arial Narrow" w:hAnsi="Arial Narrow"/>
        </w:rPr>
        <w:t xml:space="preserve">Sobre </w:t>
      </w:r>
      <w:r w:rsidR="0070054E">
        <w:rPr>
          <w:rFonts w:ascii="Arial Narrow" w:hAnsi="Arial Narrow"/>
        </w:rPr>
        <w:t>o princípio da preservação fundacional</w:t>
      </w:r>
      <w:r w:rsidR="0070054E" w:rsidRPr="0077390E">
        <w:rPr>
          <w:rFonts w:ascii="Arial Narrow" w:hAnsi="Arial Narrow"/>
        </w:rPr>
        <w:t xml:space="preserve">, </w:t>
      </w:r>
      <w:r w:rsidR="0070054E">
        <w:rPr>
          <w:rFonts w:ascii="Arial Narrow" w:hAnsi="Arial Narrow"/>
        </w:rPr>
        <w:t>vide</w:t>
      </w:r>
      <w:r w:rsidR="0070054E">
        <w:rPr>
          <w:rFonts w:ascii="Arial Narrow" w:hAnsi="Arial Narrow"/>
        </w:rPr>
        <w:t xml:space="preserve"> uma vez mais </w:t>
      </w:r>
      <w:r w:rsidR="0070054E" w:rsidRPr="0077390E">
        <w:rPr>
          <w:rFonts w:ascii="Arial Narrow" w:hAnsi="Arial Narrow"/>
        </w:rPr>
        <w:t xml:space="preserve">Fundações Testamentárias de Direito e em Comum: a partilha como marco temporal fundamental de possibilidade de constituição” (coautoria com Waleska Nogueira Reis Schettini Pinto – </w:t>
      </w:r>
      <w:r w:rsidR="0070054E" w:rsidRPr="0077390E">
        <w:rPr>
          <w:rFonts w:ascii="Arial Narrow" w:hAnsi="Arial Narrow"/>
          <w:b/>
          <w:bCs/>
        </w:rPr>
        <w:t>Revista do Ministério Público do Estado do Rio de Janeiro</w:t>
      </w:r>
      <w:r w:rsidR="0070054E" w:rsidRPr="0077390E">
        <w:rPr>
          <w:rFonts w:ascii="Arial Narrow" w:hAnsi="Arial Narrow"/>
        </w:rPr>
        <w:t>, n.º 82 – out/</w:t>
      </w:r>
      <w:proofErr w:type="spellStart"/>
      <w:r w:rsidR="0070054E" w:rsidRPr="0077390E">
        <w:rPr>
          <w:rFonts w:ascii="Arial Narrow" w:hAnsi="Arial Narrow"/>
        </w:rPr>
        <w:t>nov</w:t>
      </w:r>
      <w:proofErr w:type="spellEnd"/>
      <w:r w:rsidR="0070054E" w:rsidRPr="0077390E">
        <w:rPr>
          <w:rFonts w:ascii="Arial Narrow" w:hAnsi="Arial Narrow"/>
        </w:rPr>
        <w:t xml:space="preserve"> 2021</w:t>
      </w:r>
      <w:r w:rsidR="0070054E">
        <w:rPr>
          <w:rFonts w:ascii="Arial Narrow" w:hAnsi="Arial Narrow"/>
        </w:rPr>
        <w:t>.</w:t>
      </w:r>
    </w:p>
    <w:p w14:paraId="680564A1" w14:textId="2BAEB3DF" w:rsidR="00605156" w:rsidRPr="00F41778" w:rsidRDefault="00605156" w:rsidP="00605156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 Narrow" w:hAnsi="Arial Narrow"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4B83" w14:textId="77777777" w:rsidR="00D85B71" w:rsidRDefault="00D85B71" w:rsidP="00214156">
      <w:pPr>
        <w:spacing w:after="0" w:line="240" w:lineRule="auto"/>
      </w:pPr>
      <w:r>
        <w:separator/>
      </w:r>
    </w:p>
  </w:footnote>
  <w:footnote w:type="continuationSeparator" w:id="0">
    <w:p w14:paraId="715F2D65" w14:textId="77777777" w:rsidR="00D85B71" w:rsidRDefault="00D85B71" w:rsidP="00214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0F18"/>
    <w:multiLevelType w:val="hybridMultilevel"/>
    <w:tmpl w:val="0BB43628"/>
    <w:lvl w:ilvl="0" w:tplc="B5EEFF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14208"/>
    <w:multiLevelType w:val="hybridMultilevel"/>
    <w:tmpl w:val="F4E6D43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952395888">
    <w:abstractNumId w:val="0"/>
  </w:num>
  <w:num w:numId="2" w16cid:durableId="211736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BA"/>
    <w:rsid w:val="00002477"/>
    <w:rsid w:val="00020ACB"/>
    <w:rsid w:val="00022391"/>
    <w:rsid w:val="00022E9C"/>
    <w:rsid w:val="00023914"/>
    <w:rsid w:val="00025C47"/>
    <w:rsid w:val="0002658B"/>
    <w:rsid w:val="00026DC4"/>
    <w:rsid w:val="00027E67"/>
    <w:rsid w:val="0003264E"/>
    <w:rsid w:val="00033E89"/>
    <w:rsid w:val="00040964"/>
    <w:rsid w:val="00041DA0"/>
    <w:rsid w:val="000514D3"/>
    <w:rsid w:val="000518D6"/>
    <w:rsid w:val="00054F4E"/>
    <w:rsid w:val="00064BD2"/>
    <w:rsid w:val="00065C02"/>
    <w:rsid w:val="00071312"/>
    <w:rsid w:val="000760DD"/>
    <w:rsid w:val="00093360"/>
    <w:rsid w:val="000936E8"/>
    <w:rsid w:val="00093E99"/>
    <w:rsid w:val="00094400"/>
    <w:rsid w:val="00096447"/>
    <w:rsid w:val="000A07D6"/>
    <w:rsid w:val="000A08E2"/>
    <w:rsid w:val="000A58DA"/>
    <w:rsid w:val="000B14D3"/>
    <w:rsid w:val="000B7A2E"/>
    <w:rsid w:val="000C122E"/>
    <w:rsid w:val="000C39B2"/>
    <w:rsid w:val="000C5520"/>
    <w:rsid w:val="000C662A"/>
    <w:rsid w:val="000D0124"/>
    <w:rsid w:val="000D0A26"/>
    <w:rsid w:val="000D1364"/>
    <w:rsid w:val="000D18CB"/>
    <w:rsid w:val="000D316D"/>
    <w:rsid w:val="000D3373"/>
    <w:rsid w:val="000D3E40"/>
    <w:rsid w:val="000D5CEB"/>
    <w:rsid w:val="000D5CF2"/>
    <w:rsid w:val="000E2B6E"/>
    <w:rsid w:val="000E3294"/>
    <w:rsid w:val="000E58D5"/>
    <w:rsid w:val="000E7B43"/>
    <w:rsid w:val="000F25B1"/>
    <w:rsid w:val="000F25BC"/>
    <w:rsid w:val="000F5479"/>
    <w:rsid w:val="00101BB5"/>
    <w:rsid w:val="001020C9"/>
    <w:rsid w:val="001036FD"/>
    <w:rsid w:val="0010746C"/>
    <w:rsid w:val="00112273"/>
    <w:rsid w:val="0011702F"/>
    <w:rsid w:val="0012076B"/>
    <w:rsid w:val="00125A7A"/>
    <w:rsid w:val="00130CB8"/>
    <w:rsid w:val="00131573"/>
    <w:rsid w:val="001324AD"/>
    <w:rsid w:val="0013332B"/>
    <w:rsid w:val="00133402"/>
    <w:rsid w:val="00134037"/>
    <w:rsid w:val="00136911"/>
    <w:rsid w:val="00137ABB"/>
    <w:rsid w:val="00141CB6"/>
    <w:rsid w:val="001435B9"/>
    <w:rsid w:val="001479F2"/>
    <w:rsid w:val="00164D2E"/>
    <w:rsid w:val="00170B26"/>
    <w:rsid w:val="00172040"/>
    <w:rsid w:val="001742E9"/>
    <w:rsid w:val="00175B49"/>
    <w:rsid w:val="0017637C"/>
    <w:rsid w:val="001810A9"/>
    <w:rsid w:val="00181DB8"/>
    <w:rsid w:val="001837F4"/>
    <w:rsid w:val="0018411C"/>
    <w:rsid w:val="001844FC"/>
    <w:rsid w:val="00185452"/>
    <w:rsid w:val="001867BD"/>
    <w:rsid w:val="00186AE9"/>
    <w:rsid w:val="00196344"/>
    <w:rsid w:val="001A1736"/>
    <w:rsid w:val="001A266C"/>
    <w:rsid w:val="001A2A28"/>
    <w:rsid w:val="001A3D3A"/>
    <w:rsid w:val="001A3D99"/>
    <w:rsid w:val="001A5950"/>
    <w:rsid w:val="001C1349"/>
    <w:rsid w:val="001C68A5"/>
    <w:rsid w:val="001C6919"/>
    <w:rsid w:val="001D68A3"/>
    <w:rsid w:val="001E07F3"/>
    <w:rsid w:val="001E16A2"/>
    <w:rsid w:val="001E1758"/>
    <w:rsid w:val="001E183B"/>
    <w:rsid w:val="001E240B"/>
    <w:rsid w:val="001E47C7"/>
    <w:rsid w:val="001E7817"/>
    <w:rsid w:val="001E789C"/>
    <w:rsid w:val="001F27DF"/>
    <w:rsid w:val="001F53ED"/>
    <w:rsid w:val="002016DA"/>
    <w:rsid w:val="00203865"/>
    <w:rsid w:val="00204247"/>
    <w:rsid w:val="00207B42"/>
    <w:rsid w:val="00212463"/>
    <w:rsid w:val="00212512"/>
    <w:rsid w:val="002134DB"/>
    <w:rsid w:val="00214156"/>
    <w:rsid w:val="00217127"/>
    <w:rsid w:val="00221FC4"/>
    <w:rsid w:val="00226330"/>
    <w:rsid w:val="002303BB"/>
    <w:rsid w:val="00240DD0"/>
    <w:rsid w:val="002436B0"/>
    <w:rsid w:val="0024575F"/>
    <w:rsid w:val="002508A0"/>
    <w:rsid w:val="00250E01"/>
    <w:rsid w:val="002531E6"/>
    <w:rsid w:val="0025403D"/>
    <w:rsid w:val="00254476"/>
    <w:rsid w:val="002574D3"/>
    <w:rsid w:val="00257D78"/>
    <w:rsid w:val="002633DA"/>
    <w:rsid w:val="00266767"/>
    <w:rsid w:val="00270419"/>
    <w:rsid w:val="00281CCE"/>
    <w:rsid w:val="0028501D"/>
    <w:rsid w:val="00285248"/>
    <w:rsid w:val="00287106"/>
    <w:rsid w:val="0029378E"/>
    <w:rsid w:val="00294A9F"/>
    <w:rsid w:val="00297B34"/>
    <w:rsid w:val="002A4045"/>
    <w:rsid w:val="002A4ABC"/>
    <w:rsid w:val="002A6325"/>
    <w:rsid w:val="002A6A1C"/>
    <w:rsid w:val="002B0C2D"/>
    <w:rsid w:val="002B34AC"/>
    <w:rsid w:val="002B5F21"/>
    <w:rsid w:val="002B7731"/>
    <w:rsid w:val="002C1509"/>
    <w:rsid w:val="002C40E7"/>
    <w:rsid w:val="002C4A4C"/>
    <w:rsid w:val="002C4F18"/>
    <w:rsid w:val="002C5B60"/>
    <w:rsid w:val="002C5E85"/>
    <w:rsid w:val="002C6C20"/>
    <w:rsid w:val="002C6CD7"/>
    <w:rsid w:val="002C70DF"/>
    <w:rsid w:val="002C796C"/>
    <w:rsid w:val="002D159A"/>
    <w:rsid w:val="002D178B"/>
    <w:rsid w:val="002D4ADF"/>
    <w:rsid w:val="002D4CC7"/>
    <w:rsid w:val="002D52DA"/>
    <w:rsid w:val="002D73E1"/>
    <w:rsid w:val="002E1412"/>
    <w:rsid w:val="002E145B"/>
    <w:rsid w:val="002E4254"/>
    <w:rsid w:val="002E5153"/>
    <w:rsid w:val="002F11B0"/>
    <w:rsid w:val="002F2FA1"/>
    <w:rsid w:val="002F3C64"/>
    <w:rsid w:val="002F3E6B"/>
    <w:rsid w:val="002F5B6C"/>
    <w:rsid w:val="002F69FF"/>
    <w:rsid w:val="002F7008"/>
    <w:rsid w:val="002F720B"/>
    <w:rsid w:val="00300EEA"/>
    <w:rsid w:val="003072A2"/>
    <w:rsid w:val="00310C86"/>
    <w:rsid w:val="00312D6F"/>
    <w:rsid w:val="00314C32"/>
    <w:rsid w:val="00320AF8"/>
    <w:rsid w:val="00321406"/>
    <w:rsid w:val="00323BFC"/>
    <w:rsid w:val="00326D17"/>
    <w:rsid w:val="00326E86"/>
    <w:rsid w:val="00330DA3"/>
    <w:rsid w:val="00331E66"/>
    <w:rsid w:val="003341A6"/>
    <w:rsid w:val="00334CC1"/>
    <w:rsid w:val="00336705"/>
    <w:rsid w:val="00340B57"/>
    <w:rsid w:val="00342746"/>
    <w:rsid w:val="003429CA"/>
    <w:rsid w:val="0034690F"/>
    <w:rsid w:val="003502AD"/>
    <w:rsid w:val="00355130"/>
    <w:rsid w:val="00374A86"/>
    <w:rsid w:val="0037515C"/>
    <w:rsid w:val="00376621"/>
    <w:rsid w:val="00383D92"/>
    <w:rsid w:val="00383EC3"/>
    <w:rsid w:val="00384557"/>
    <w:rsid w:val="003857C2"/>
    <w:rsid w:val="00391A51"/>
    <w:rsid w:val="00396A01"/>
    <w:rsid w:val="003A221C"/>
    <w:rsid w:val="003A38E0"/>
    <w:rsid w:val="003A4001"/>
    <w:rsid w:val="003A6D4B"/>
    <w:rsid w:val="003B77CF"/>
    <w:rsid w:val="003B788F"/>
    <w:rsid w:val="003B7E8D"/>
    <w:rsid w:val="003C2EEC"/>
    <w:rsid w:val="003D393E"/>
    <w:rsid w:val="003D405E"/>
    <w:rsid w:val="003D51E5"/>
    <w:rsid w:val="003D78A9"/>
    <w:rsid w:val="003E7FB7"/>
    <w:rsid w:val="003F76A9"/>
    <w:rsid w:val="004021E0"/>
    <w:rsid w:val="004023EC"/>
    <w:rsid w:val="00407922"/>
    <w:rsid w:val="00412542"/>
    <w:rsid w:val="00412E09"/>
    <w:rsid w:val="004139F1"/>
    <w:rsid w:val="00417C1F"/>
    <w:rsid w:val="00420057"/>
    <w:rsid w:val="00421A3A"/>
    <w:rsid w:val="00422634"/>
    <w:rsid w:val="00423C6A"/>
    <w:rsid w:val="00423E5A"/>
    <w:rsid w:val="004241CC"/>
    <w:rsid w:val="004272C0"/>
    <w:rsid w:val="0043204B"/>
    <w:rsid w:val="0043487E"/>
    <w:rsid w:val="004348EB"/>
    <w:rsid w:val="0043727D"/>
    <w:rsid w:val="00440C35"/>
    <w:rsid w:val="00442887"/>
    <w:rsid w:val="004453B0"/>
    <w:rsid w:val="00447843"/>
    <w:rsid w:val="00455FBD"/>
    <w:rsid w:val="00456F20"/>
    <w:rsid w:val="00461166"/>
    <w:rsid w:val="00461B7D"/>
    <w:rsid w:val="00466A27"/>
    <w:rsid w:val="004730FC"/>
    <w:rsid w:val="0047710A"/>
    <w:rsid w:val="0047761B"/>
    <w:rsid w:val="00483C3A"/>
    <w:rsid w:val="00485CA0"/>
    <w:rsid w:val="00487E02"/>
    <w:rsid w:val="00490FDC"/>
    <w:rsid w:val="0049154A"/>
    <w:rsid w:val="0049490C"/>
    <w:rsid w:val="00497CDF"/>
    <w:rsid w:val="004A2221"/>
    <w:rsid w:val="004A6D15"/>
    <w:rsid w:val="004A7A75"/>
    <w:rsid w:val="004B3DE6"/>
    <w:rsid w:val="004B4457"/>
    <w:rsid w:val="004B5604"/>
    <w:rsid w:val="004B6F6C"/>
    <w:rsid w:val="004C081C"/>
    <w:rsid w:val="004C0E2D"/>
    <w:rsid w:val="004C4CE5"/>
    <w:rsid w:val="004C57FD"/>
    <w:rsid w:val="004C6F8B"/>
    <w:rsid w:val="004D04CD"/>
    <w:rsid w:val="004D33B3"/>
    <w:rsid w:val="004D46B0"/>
    <w:rsid w:val="004D60F2"/>
    <w:rsid w:val="004D6F95"/>
    <w:rsid w:val="004E1F32"/>
    <w:rsid w:val="004E361A"/>
    <w:rsid w:val="004E4AD5"/>
    <w:rsid w:val="004E4DF6"/>
    <w:rsid w:val="004E6081"/>
    <w:rsid w:val="004E79E5"/>
    <w:rsid w:val="004E7CDA"/>
    <w:rsid w:val="004F3B73"/>
    <w:rsid w:val="004F587A"/>
    <w:rsid w:val="005033E0"/>
    <w:rsid w:val="00504DAE"/>
    <w:rsid w:val="00507C55"/>
    <w:rsid w:val="005110AE"/>
    <w:rsid w:val="005147F7"/>
    <w:rsid w:val="00520DBE"/>
    <w:rsid w:val="005210FA"/>
    <w:rsid w:val="005246D1"/>
    <w:rsid w:val="00530CA4"/>
    <w:rsid w:val="00532228"/>
    <w:rsid w:val="00534A39"/>
    <w:rsid w:val="00534FF7"/>
    <w:rsid w:val="00535FF6"/>
    <w:rsid w:val="0054004C"/>
    <w:rsid w:val="0054097D"/>
    <w:rsid w:val="005423BC"/>
    <w:rsid w:val="00542CED"/>
    <w:rsid w:val="00543AF1"/>
    <w:rsid w:val="00543DB0"/>
    <w:rsid w:val="00543E44"/>
    <w:rsid w:val="00544D9D"/>
    <w:rsid w:val="00546ADF"/>
    <w:rsid w:val="005475D4"/>
    <w:rsid w:val="00554850"/>
    <w:rsid w:val="00554CD0"/>
    <w:rsid w:val="005670C7"/>
    <w:rsid w:val="0057079F"/>
    <w:rsid w:val="00570AD1"/>
    <w:rsid w:val="00572476"/>
    <w:rsid w:val="0057270E"/>
    <w:rsid w:val="005734C1"/>
    <w:rsid w:val="00575610"/>
    <w:rsid w:val="00577A66"/>
    <w:rsid w:val="00583EA3"/>
    <w:rsid w:val="005844F8"/>
    <w:rsid w:val="00585F2C"/>
    <w:rsid w:val="0059623E"/>
    <w:rsid w:val="005A0D53"/>
    <w:rsid w:val="005A1484"/>
    <w:rsid w:val="005A15BC"/>
    <w:rsid w:val="005A2536"/>
    <w:rsid w:val="005A6C74"/>
    <w:rsid w:val="005B0A8F"/>
    <w:rsid w:val="005B17DC"/>
    <w:rsid w:val="005B34E3"/>
    <w:rsid w:val="005B3A0F"/>
    <w:rsid w:val="005B4001"/>
    <w:rsid w:val="005B7DE9"/>
    <w:rsid w:val="005C05E8"/>
    <w:rsid w:val="005C0ABD"/>
    <w:rsid w:val="005C1F55"/>
    <w:rsid w:val="005C5DB6"/>
    <w:rsid w:val="005D73A3"/>
    <w:rsid w:val="005D753E"/>
    <w:rsid w:val="005E5C78"/>
    <w:rsid w:val="005F1A01"/>
    <w:rsid w:val="005F20B7"/>
    <w:rsid w:val="005F6B10"/>
    <w:rsid w:val="005F7151"/>
    <w:rsid w:val="005F778D"/>
    <w:rsid w:val="00600A0E"/>
    <w:rsid w:val="00600D50"/>
    <w:rsid w:val="00601AE4"/>
    <w:rsid w:val="006046FF"/>
    <w:rsid w:val="00605156"/>
    <w:rsid w:val="00605869"/>
    <w:rsid w:val="006060C5"/>
    <w:rsid w:val="006065F6"/>
    <w:rsid w:val="00606779"/>
    <w:rsid w:val="0060719D"/>
    <w:rsid w:val="00614AD3"/>
    <w:rsid w:val="006214FB"/>
    <w:rsid w:val="00621E6D"/>
    <w:rsid w:val="00624B04"/>
    <w:rsid w:val="00625159"/>
    <w:rsid w:val="00630E1B"/>
    <w:rsid w:val="0063630B"/>
    <w:rsid w:val="006366CF"/>
    <w:rsid w:val="00637D81"/>
    <w:rsid w:val="006420E8"/>
    <w:rsid w:val="006457EA"/>
    <w:rsid w:val="006466D1"/>
    <w:rsid w:val="00652F0B"/>
    <w:rsid w:val="00655915"/>
    <w:rsid w:val="0066074F"/>
    <w:rsid w:val="00661C8B"/>
    <w:rsid w:val="006678EE"/>
    <w:rsid w:val="0067136E"/>
    <w:rsid w:val="00674B3D"/>
    <w:rsid w:val="00676CB2"/>
    <w:rsid w:val="006774A4"/>
    <w:rsid w:val="00677C7C"/>
    <w:rsid w:val="00680D60"/>
    <w:rsid w:val="00682789"/>
    <w:rsid w:val="00683004"/>
    <w:rsid w:val="006830FC"/>
    <w:rsid w:val="00683895"/>
    <w:rsid w:val="006842FE"/>
    <w:rsid w:val="00694D24"/>
    <w:rsid w:val="00695D6B"/>
    <w:rsid w:val="00697410"/>
    <w:rsid w:val="006A0287"/>
    <w:rsid w:val="006A1A5A"/>
    <w:rsid w:val="006A1DF8"/>
    <w:rsid w:val="006A3019"/>
    <w:rsid w:val="006A6397"/>
    <w:rsid w:val="006A7032"/>
    <w:rsid w:val="006B2A72"/>
    <w:rsid w:val="006B431D"/>
    <w:rsid w:val="006B56A2"/>
    <w:rsid w:val="006B6F68"/>
    <w:rsid w:val="006B7E1D"/>
    <w:rsid w:val="006C2220"/>
    <w:rsid w:val="006C436F"/>
    <w:rsid w:val="006D0DDE"/>
    <w:rsid w:val="006D2654"/>
    <w:rsid w:val="006D2793"/>
    <w:rsid w:val="006E6C49"/>
    <w:rsid w:val="006E7B4E"/>
    <w:rsid w:val="006F1D60"/>
    <w:rsid w:val="006F5823"/>
    <w:rsid w:val="0070054E"/>
    <w:rsid w:val="00700BBE"/>
    <w:rsid w:val="007024E8"/>
    <w:rsid w:val="007041C1"/>
    <w:rsid w:val="00707F79"/>
    <w:rsid w:val="007110DE"/>
    <w:rsid w:val="00711121"/>
    <w:rsid w:val="0071411C"/>
    <w:rsid w:val="0071590E"/>
    <w:rsid w:val="007178A4"/>
    <w:rsid w:val="00721AEA"/>
    <w:rsid w:val="0072218A"/>
    <w:rsid w:val="0072370D"/>
    <w:rsid w:val="00724763"/>
    <w:rsid w:val="00724B9B"/>
    <w:rsid w:val="007254DC"/>
    <w:rsid w:val="0072633C"/>
    <w:rsid w:val="00733133"/>
    <w:rsid w:val="00733AE5"/>
    <w:rsid w:val="00736469"/>
    <w:rsid w:val="00743E1D"/>
    <w:rsid w:val="00744A2D"/>
    <w:rsid w:val="00747C0D"/>
    <w:rsid w:val="007519E9"/>
    <w:rsid w:val="00751E68"/>
    <w:rsid w:val="00757201"/>
    <w:rsid w:val="00757626"/>
    <w:rsid w:val="00757C8E"/>
    <w:rsid w:val="00762284"/>
    <w:rsid w:val="0076670D"/>
    <w:rsid w:val="0077390E"/>
    <w:rsid w:val="00773EF8"/>
    <w:rsid w:val="00775155"/>
    <w:rsid w:val="00777BB5"/>
    <w:rsid w:val="00780151"/>
    <w:rsid w:val="00791920"/>
    <w:rsid w:val="00795623"/>
    <w:rsid w:val="00796038"/>
    <w:rsid w:val="007A4FF4"/>
    <w:rsid w:val="007A5D43"/>
    <w:rsid w:val="007A7EB0"/>
    <w:rsid w:val="007B2360"/>
    <w:rsid w:val="007B2570"/>
    <w:rsid w:val="007B299A"/>
    <w:rsid w:val="007B4E90"/>
    <w:rsid w:val="007B72E9"/>
    <w:rsid w:val="007C27D3"/>
    <w:rsid w:val="007C2CC8"/>
    <w:rsid w:val="007C54BB"/>
    <w:rsid w:val="007C649B"/>
    <w:rsid w:val="007C69A3"/>
    <w:rsid w:val="007D0812"/>
    <w:rsid w:val="007D16C7"/>
    <w:rsid w:val="007D6B35"/>
    <w:rsid w:val="007E0BE8"/>
    <w:rsid w:val="007E3C1E"/>
    <w:rsid w:val="007E618E"/>
    <w:rsid w:val="007E679F"/>
    <w:rsid w:val="007E6C4D"/>
    <w:rsid w:val="007F12AF"/>
    <w:rsid w:val="007F3BAB"/>
    <w:rsid w:val="007F5208"/>
    <w:rsid w:val="00800CFD"/>
    <w:rsid w:val="00801B8B"/>
    <w:rsid w:val="00804BDF"/>
    <w:rsid w:val="00805F3E"/>
    <w:rsid w:val="00807388"/>
    <w:rsid w:val="00812BEF"/>
    <w:rsid w:val="0081464F"/>
    <w:rsid w:val="00817C80"/>
    <w:rsid w:val="00817FD6"/>
    <w:rsid w:val="00820341"/>
    <w:rsid w:val="0082270F"/>
    <w:rsid w:val="0082434C"/>
    <w:rsid w:val="00824EBB"/>
    <w:rsid w:val="008259D7"/>
    <w:rsid w:val="00825F53"/>
    <w:rsid w:val="0083236C"/>
    <w:rsid w:val="0084444C"/>
    <w:rsid w:val="008452AB"/>
    <w:rsid w:val="008464A3"/>
    <w:rsid w:val="008465CE"/>
    <w:rsid w:val="00846C8A"/>
    <w:rsid w:val="008564CF"/>
    <w:rsid w:val="00856DAE"/>
    <w:rsid w:val="0086011E"/>
    <w:rsid w:val="00861512"/>
    <w:rsid w:val="008615EA"/>
    <w:rsid w:val="0086258C"/>
    <w:rsid w:val="008640D4"/>
    <w:rsid w:val="008656DC"/>
    <w:rsid w:val="0086764E"/>
    <w:rsid w:val="00871390"/>
    <w:rsid w:val="00872A26"/>
    <w:rsid w:val="00884346"/>
    <w:rsid w:val="0088445C"/>
    <w:rsid w:val="008876BB"/>
    <w:rsid w:val="00887BC4"/>
    <w:rsid w:val="00890351"/>
    <w:rsid w:val="00890511"/>
    <w:rsid w:val="00891909"/>
    <w:rsid w:val="00894BFB"/>
    <w:rsid w:val="00897772"/>
    <w:rsid w:val="008A4FF5"/>
    <w:rsid w:val="008A5441"/>
    <w:rsid w:val="008A5BE7"/>
    <w:rsid w:val="008B3520"/>
    <w:rsid w:val="008B5D16"/>
    <w:rsid w:val="008B66DE"/>
    <w:rsid w:val="008B67EA"/>
    <w:rsid w:val="008C106C"/>
    <w:rsid w:val="008C6D81"/>
    <w:rsid w:val="008E3D20"/>
    <w:rsid w:val="008E5FAF"/>
    <w:rsid w:val="008E69DA"/>
    <w:rsid w:val="008F1E54"/>
    <w:rsid w:val="008F4360"/>
    <w:rsid w:val="00902786"/>
    <w:rsid w:val="00904062"/>
    <w:rsid w:val="00905AAD"/>
    <w:rsid w:val="00906474"/>
    <w:rsid w:val="00906BB8"/>
    <w:rsid w:val="00912C18"/>
    <w:rsid w:val="00912F33"/>
    <w:rsid w:val="00914770"/>
    <w:rsid w:val="009174CC"/>
    <w:rsid w:val="00920047"/>
    <w:rsid w:val="0092107C"/>
    <w:rsid w:val="009230DD"/>
    <w:rsid w:val="0092324D"/>
    <w:rsid w:val="009257A4"/>
    <w:rsid w:val="0092773F"/>
    <w:rsid w:val="00927C18"/>
    <w:rsid w:val="00927D78"/>
    <w:rsid w:val="00932485"/>
    <w:rsid w:val="009328BC"/>
    <w:rsid w:val="009363F2"/>
    <w:rsid w:val="00936C91"/>
    <w:rsid w:val="009425C7"/>
    <w:rsid w:val="009428B9"/>
    <w:rsid w:val="009433CC"/>
    <w:rsid w:val="009445E6"/>
    <w:rsid w:val="00946001"/>
    <w:rsid w:val="009476DB"/>
    <w:rsid w:val="00953F64"/>
    <w:rsid w:val="00954129"/>
    <w:rsid w:val="00956285"/>
    <w:rsid w:val="009621B5"/>
    <w:rsid w:val="00967039"/>
    <w:rsid w:val="009719B3"/>
    <w:rsid w:val="00980D0F"/>
    <w:rsid w:val="00980F25"/>
    <w:rsid w:val="00983AD6"/>
    <w:rsid w:val="00984BFA"/>
    <w:rsid w:val="00993F3E"/>
    <w:rsid w:val="00994B98"/>
    <w:rsid w:val="00996A52"/>
    <w:rsid w:val="009A4CA4"/>
    <w:rsid w:val="009B1102"/>
    <w:rsid w:val="009B2946"/>
    <w:rsid w:val="009C24EE"/>
    <w:rsid w:val="009C3910"/>
    <w:rsid w:val="009D2302"/>
    <w:rsid w:val="009D4214"/>
    <w:rsid w:val="009D77CB"/>
    <w:rsid w:val="009E22F5"/>
    <w:rsid w:val="009E2AA8"/>
    <w:rsid w:val="009E2B86"/>
    <w:rsid w:val="009E58AA"/>
    <w:rsid w:val="009F64B0"/>
    <w:rsid w:val="00A02DEB"/>
    <w:rsid w:val="00A06066"/>
    <w:rsid w:val="00A0752A"/>
    <w:rsid w:val="00A14D6C"/>
    <w:rsid w:val="00A1561B"/>
    <w:rsid w:val="00A217B9"/>
    <w:rsid w:val="00A33BA8"/>
    <w:rsid w:val="00A37D06"/>
    <w:rsid w:val="00A4049A"/>
    <w:rsid w:val="00A43665"/>
    <w:rsid w:val="00A43F68"/>
    <w:rsid w:val="00A46636"/>
    <w:rsid w:val="00A52475"/>
    <w:rsid w:val="00A53B5E"/>
    <w:rsid w:val="00A54382"/>
    <w:rsid w:val="00A5571E"/>
    <w:rsid w:val="00A5672E"/>
    <w:rsid w:val="00A571D9"/>
    <w:rsid w:val="00A6252C"/>
    <w:rsid w:val="00A629FA"/>
    <w:rsid w:val="00A71C59"/>
    <w:rsid w:val="00A73993"/>
    <w:rsid w:val="00A8103D"/>
    <w:rsid w:val="00A84569"/>
    <w:rsid w:val="00A8667B"/>
    <w:rsid w:val="00A90E90"/>
    <w:rsid w:val="00A92628"/>
    <w:rsid w:val="00A957F0"/>
    <w:rsid w:val="00AA1E3C"/>
    <w:rsid w:val="00AA460B"/>
    <w:rsid w:val="00AA49E0"/>
    <w:rsid w:val="00AB0ED1"/>
    <w:rsid w:val="00AB1F37"/>
    <w:rsid w:val="00AB30D4"/>
    <w:rsid w:val="00AB31BB"/>
    <w:rsid w:val="00AB712D"/>
    <w:rsid w:val="00AB79E6"/>
    <w:rsid w:val="00AC559B"/>
    <w:rsid w:val="00AD00DC"/>
    <w:rsid w:val="00AD205A"/>
    <w:rsid w:val="00AD4A36"/>
    <w:rsid w:val="00AD7D0E"/>
    <w:rsid w:val="00AE1CC6"/>
    <w:rsid w:val="00AF084D"/>
    <w:rsid w:val="00AF34B9"/>
    <w:rsid w:val="00AF4164"/>
    <w:rsid w:val="00AF476A"/>
    <w:rsid w:val="00AF6A03"/>
    <w:rsid w:val="00B04AA3"/>
    <w:rsid w:val="00B06D75"/>
    <w:rsid w:val="00B06FB7"/>
    <w:rsid w:val="00B074D6"/>
    <w:rsid w:val="00B1787A"/>
    <w:rsid w:val="00B22023"/>
    <w:rsid w:val="00B257A7"/>
    <w:rsid w:val="00B321EC"/>
    <w:rsid w:val="00B3296C"/>
    <w:rsid w:val="00B365D7"/>
    <w:rsid w:val="00B373A0"/>
    <w:rsid w:val="00B4405F"/>
    <w:rsid w:val="00B60995"/>
    <w:rsid w:val="00B65CBB"/>
    <w:rsid w:val="00B70FB6"/>
    <w:rsid w:val="00B72B13"/>
    <w:rsid w:val="00B752F3"/>
    <w:rsid w:val="00B75567"/>
    <w:rsid w:val="00B76701"/>
    <w:rsid w:val="00B76F63"/>
    <w:rsid w:val="00B77E7B"/>
    <w:rsid w:val="00B85F38"/>
    <w:rsid w:val="00B86DD2"/>
    <w:rsid w:val="00B872FB"/>
    <w:rsid w:val="00B873BE"/>
    <w:rsid w:val="00B91809"/>
    <w:rsid w:val="00B971EB"/>
    <w:rsid w:val="00BA2656"/>
    <w:rsid w:val="00BA7F49"/>
    <w:rsid w:val="00BB181E"/>
    <w:rsid w:val="00BB4BCE"/>
    <w:rsid w:val="00BB559C"/>
    <w:rsid w:val="00BC0A6D"/>
    <w:rsid w:val="00BC0E80"/>
    <w:rsid w:val="00BC7356"/>
    <w:rsid w:val="00BC7639"/>
    <w:rsid w:val="00BC7F6A"/>
    <w:rsid w:val="00BD13A3"/>
    <w:rsid w:val="00BD4D97"/>
    <w:rsid w:val="00BD4DE7"/>
    <w:rsid w:val="00BE3512"/>
    <w:rsid w:val="00BE4814"/>
    <w:rsid w:val="00BE4927"/>
    <w:rsid w:val="00BE6B3E"/>
    <w:rsid w:val="00BE7634"/>
    <w:rsid w:val="00BF26A4"/>
    <w:rsid w:val="00BF66A1"/>
    <w:rsid w:val="00BF711B"/>
    <w:rsid w:val="00C00BE4"/>
    <w:rsid w:val="00C032D7"/>
    <w:rsid w:val="00C04142"/>
    <w:rsid w:val="00C04489"/>
    <w:rsid w:val="00C06E93"/>
    <w:rsid w:val="00C105BE"/>
    <w:rsid w:val="00C10EF1"/>
    <w:rsid w:val="00C15D04"/>
    <w:rsid w:val="00C16AB6"/>
    <w:rsid w:val="00C20001"/>
    <w:rsid w:val="00C20BB9"/>
    <w:rsid w:val="00C20FBE"/>
    <w:rsid w:val="00C22181"/>
    <w:rsid w:val="00C22562"/>
    <w:rsid w:val="00C23D80"/>
    <w:rsid w:val="00C24F27"/>
    <w:rsid w:val="00C321CF"/>
    <w:rsid w:val="00C34392"/>
    <w:rsid w:val="00C355D0"/>
    <w:rsid w:val="00C3713D"/>
    <w:rsid w:val="00C416F9"/>
    <w:rsid w:val="00C41FFE"/>
    <w:rsid w:val="00C4585F"/>
    <w:rsid w:val="00C50842"/>
    <w:rsid w:val="00C554B9"/>
    <w:rsid w:val="00C564BA"/>
    <w:rsid w:val="00C61A32"/>
    <w:rsid w:val="00C65A42"/>
    <w:rsid w:val="00C65E22"/>
    <w:rsid w:val="00C66BF7"/>
    <w:rsid w:val="00C75B5B"/>
    <w:rsid w:val="00C7797F"/>
    <w:rsid w:val="00C83911"/>
    <w:rsid w:val="00C84A2C"/>
    <w:rsid w:val="00C851A3"/>
    <w:rsid w:val="00C90203"/>
    <w:rsid w:val="00C95889"/>
    <w:rsid w:val="00C95E63"/>
    <w:rsid w:val="00C97218"/>
    <w:rsid w:val="00CA0BC2"/>
    <w:rsid w:val="00CA640D"/>
    <w:rsid w:val="00CA64E1"/>
    <w:rsid w:val="00CB5AE2"/>
    <w:rsid w:val="00CC022F"/>
    <w:rsid w:val="00CC29BB"/>
    <w:rsid w:val="00CC486D"/>
    <w:rsid w:val="00CC559E"/>
    <w:rsid w:val="00CC6169"/>
    <w:rsid w:val="00CD01F5"/>
    <w:rsid w:val="00CD10D6"/>
    <w:rsid w:val="00CD4F74"/>
    <w:rsid w:val="00CD5D5B"/>
    <w:rsid w:val="00CD60BA"/>
    <w:rsid w:val="00CD73CD"/>
    <w:rsid w:val="00CD7BB2"/>
    <w:rsid w:val="00CE5D17"/>
    <w:rsid w:val="00CF0259"/>
    <w:rsid w:val="00CF2505"/>
    <w:rsid w:val="00CF59A1"/>
    <w:rsid w:val="00CF7E1B"/>
    <w:rsid w:val="00D00121"/>
    <w:rsid w:val="00D01AF7"/>
    <w:rsid w:val="00D051BF"/>
    <w:rsid w:val="00D0552F"/>
    <w:rsid w:val="00D1062A"/>
    <w:rsid w:val="00D1492A"/>
    <w:rsid w:val="00D155F0"/>
    <w:rsid w:val="00D1611B"/>
    <w:rsid w:val="00D24F17"/>
    <w:rsid w:val="00D27618"/>
    <w:rsid w:val="00D329D5"/>
    <w:rsid w:val="00D32F4A"/>
    <w:rsid w:val="00D35570"/>
    <w:rsid w:val="00D36946"/>
    <w:rsid w:val="00D422EE"/>
    <w:rsid w:val="00D4474B"/>
    <w:rsid w:val="00D44CA6"/>
    <w:rsid w:val="00D452DE"/>
    <w:rsid w:val="00D46464"/>
    <w:rsid w:val="00D46A4C"/>
    <w:rsid w:val="00D5135D"/>
    <w:rsid w:val="00D5263A"/>
    <w:rsid w:val="00D55A4A"/>
    <w:rsid w:val="00D55CF5"/>
    <w:rsid w:val="00D5617B"/>
    <w:rsid w:val="00D56A49"/>
    <w:rsid w:val="00D5702F"/>
    <w:rsid w:val="00D578D0"/>
    <w:rsid w:val="00D6117B"/>
    <w:rsid w:val="00D63DCF"/>
    <w:rsid w:val="00D646DE"/>
    <w:rsid w:val="00D71201"/>
    <w:rsid w:val="00D72079"/>
    <w:rsid w:val="00D727F1"/>
    <w:rsid w:val="00D74160"/>
    <w:rsid w:val="00D7467A"/>
    <w:rsid w:val="00D760A3"/>
    <w:rsid w:val="00D81A85"/>
    <w:rsid w:val="00D85692"/>
    <w:rsid w:val="00D85B71"/>
    <w:rsid w:val="00D85B92"/>
    <w:rsid w:val="00D90F76"/>
    <w:rsid w:val="00D916BD"/>
    <w:rsid w:val="00D9701A"/>
    <w:rsid w:val="00D97368"/>
    <w:rsid w:val="00D97725"/>
    <w:rsid w:val="00DA3A20"/>
    <w:rsid w:val="00DA49BA"/>
    <w:rsid w:val="00DA4D2D"/>
    <w:rsid w:val="00DB24F2"/>
    <w:rsid w:val="00DB42D2"/>
    <w:rsid w:val="00DB5749"/>
    <w:rsid w:val="00DC0174"/>
    <w:rsid w:val="00DC511D"/>
    <w:rsid w:val="00DC5F09"/>
    <w:rsid w:val="00DD0DA5"/>
    <w:rsid w:val="00DD11B6"/>
    <w:rsid w:val="00DD1C4C"/>
    <w:rsid w:val="00DD65B8"/>
    <w:rsid w:val="00DD7A47"/>
    <w:rsid w:val="00DE2A15"/>
    <w:rsid w:val="00DE2FE4"/>
    <w:rsid w:val="00DE5F47"/>
    <w:rsid w:val="00DF069E"/>
    <w:rsid w:val="00DF1161"/>
    <w:rsid w:val="00DF1194"/>
    <w:rsid w:val="00DF3042"/>
    <w:rsid w:val="00DF35E1"/>
    <w:rsid w:val="00DF58D0"/>
    <w:rsid w:val="00DF7546"/>
    <w:rsid w:val="00E009C6"/>
    <w:rsid w:val="00E01076"/>
    <w:rsid w:val="00E04222"/>
    <w:rsid w:val="00E15A50"/>
    <w:rsid w:val="00E1680C"/>
    <w:rsid w:val="00E17852"/>
    <w:rsid w:val="00E20464"/>
    <w:rsid w:val="00E2244D"/>
    <w:rsid w:val="00E229CC"/>
    <w:rsid w:val="00E259C3"/>
    <w:rsid w:val="00E2665F"/>
    <w:rsid w:val="00E26B49"/>
    <w:rsid w:val="00E32546"/>
    <w:rsid w:val="00E363AF"/>
    <w:rsid w:val="00E36B88"/>
    <w:rsid w:val="00E36F47"/>
    <w:rsid w:val="00E47270"/>
    <w:rsid w:val="00E50340"/>
    <w:rsid w:val="00E52998"/>
    <w:rsid w:val="00E534F6"/>
    <w:rsid w:val="00E5378F"/>
    <w:rsid w:val="00E538E8"/>
    <w:rsid w:val="00E54540"/>
    <w:rsid w:val="00E54EB5"/>
    <w:rsid w:val="00E61651"/>
    <w:rsid w:val="00E641C2"/>
    <w:rsid w:val="00E645AE"/>
    <w:rsid w:val="00E64D6A"/>
    <w:rsid w:val="00E64DAD"/>
    <w:rsid w:val="00E72BF5"/>
    <w:rsid w:val="00E81128"/>
    <w:rsid w:val="00E81E63"/>
    <w:rsid w:val="00E82840"/>
    <w:rsid w:val="00E84B32"/>
    <w:rsid w:val="00E84C32"/>
    <w:rsid w:val="00E8553E"/>
    <w:rsid w:val="00E8758E"/>
    <w:rsid w:val="00E917C3"/>
    <w:rsid w:val="00E937DB"/>
    <w:rsid w:val="00E938FF"/>
    <w:rsid w:val="00E977C2"/>
    <w:rsid w:val="00E979E9"/>
    <w:rsid w:val="00E97C20"/>
    <w:rsid w:val="00EA1344"/>
    <w:rsid w:val="00EA1A03"/>
    <w:rsid w:val="00EA37ED"/>
    <w:rsid w:val="00EA7661"/>
    <w:rsid w:val="00EB0F03"/>
    <w:rsid w:val="00EB1BD4"/>
    <w:rsid w:val="00EB1F41"/>
    <w:rsid w:val="00EC0F71"/>
    <w:rsid w:val="00EC4128"/>
    <w:rsid w:val="00EC5CCD"/>
    <w:rsid w:val="00EC603C"/>
    <w:rsid w:val="00EC721C"/>
    <w:rsid w:val="00EC7621"/>
    <w:rsid w:val="00ED3113"/>
    <w:rsid w:val="00ED6DB3"/>
    <w:rsid w:val="00EE26D9"/>
    <w:rsid w:val="00EE58B7"/>
    <w:rsid w:val="00EE6E6C"/>
    <w:rsid w:val="00EE7F9E"/>
    <w:rsid w:val="00EF1838"/>
    <w:rsid w:val="00EF2C9D"/>
    <w:rsid w:val="00EF376B"/>
    <w:rsid w:val="00EF3B49"/>
    <w:rsid w:val="00EF4220"/>
    <w:rsid w:val="00EF4A4C"/>
    <w:rsid w:val="00EF5913"/>
    <w:rsid w:val="00F02B67"/>
    <w:rsid w:val="00F04475"/>
    <w:rsid w:val="00F05766"/>
    <w:rsid w:val="00F1014C"/>
    <w:rsid w:val="00F1186B"/>
    <w:rsid w:val="00F12D4F"/>
    <w:rsid w:val="00F23410"/>
    <w:rsid w:val="00F2417A"/>
    <w:rsid w:val="00F3317A"/>
    <w:rsid w:val="00F34BC9"/>
    <w:rsid w:val="00F40168"/>
    <w:rsid w:val="00F41642"/>
    <w:rsid w:val="00F41778"/>
    <w:rsid w:val="00F41E1D"/>
    <w:rsid w:val="00F43C7E"/>
    <w:rsid w:val="00F515D6"/>
    <w:rsid w:val="00F53CFA"/>
    <w:rsid w:val="00F5580F"/>
    <w:rsid w:val="00F658A5"/>
    <w:rsid w:val="00F72879"/>
    <w:rsid w:val="00F74673"/>
    <w:rsid w:val="00F80333"/>
    <w:rsid w:val="00F80D75"/>
    <w:rsid w:val="00F84FC6"/>
    <w:rsid w:val="00F8563A"/>
    <w:rsid w:val="00F91658"/>
    <w:rsid w:val="00F93465"/>
    <w:rsid w:val="00F94E5B"/>
    <w:rsid w:val="00F95239"/>
    <w:rsid w:val="00FA028B"/>
    <w:rsid w:val="00FA1B18"/>
    <w:rsid w:val="00FA7299"/>
    <w:rsid w:val="00FB0AF1"/>
    <w:rsid w:val="00FB1AEB"/>
    <w:rsid w:val="00FB399D"/>
    <w:rsid w:val="00FB3A72"/>
    <w:rsid w:val="00FC2357"/>
    <w:rsid w:val="00FC471C"/>
    <w:rsid w:val="00FC4C4B"/>
    <w:rsid w:val="00FC5760"/>
    <w:rsid w:val="00FC5B47"/>
    <w:rsid w:val="00FC63C9"/>
    <w:rsid w:val="00FE6C2E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8605BE"/>
  <w15:chartTrackingRefBased/>
  <w15:docId w15:val="{686A7540-4E9C-40AB-855A-9E87F14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21415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14156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1415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97C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7C2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46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4A3"/>
  </w:style>
  <w:style w:type="paragraph" w:styleId="Rodap">
    <w:name w:val="footer"/>
    <w:basedOn w:val="Normal"/>
    <w:link w:val="RodapChar"/>
    <w:uiPriority w:val="99"/>
    <w:unhideWhenUsed/>
    <w:rsid w:val="00846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4A3"/>
  </w:style>
  <w:style w:type="paragraph" w:styleId="PargrafodaLista">
    <w:name w:val="List Paragraph"/>
    <w:basedOn w:val="Normal"/>
    <w:uiPriority w:val="34"/>
    <w:qFormat/>
    <w:rsid w:val="00801B8B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9B110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9B110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B11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9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C55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tjal.jus.br/pastadigital/pg/abrirConferenciaDocumento.do" TargetMode="External"/><Relationship Id="rId3" Type="http://schemas.openxmlformats.org/officeDocument/2006/relationships/hyperlink" Target="http://www.mprj.mp.br/documents/20184%20/1758650/Sergio_De_Andrea_Ferreira.pdf" TargetMode="External"/><Relationship Id="rId7" Type="http://schemas.openxmlformats.org/officeDocument/2006/relationships/hyperlink" Target="http://www.mprj.mp.br/documents/20184%20/1758650/Sergio_De_Andrea_Ferreira.pdf" TargetMode="External"/><Relationship Id="rId2" Type="http://schemas.openxmlformats.org/officeDocument/2006/relationships/hyperlink" Target="https://www.revistas.usp.br/rfdusp%20/article/view/66040" TargetMode="External"/><Relationship Id="rId1" Type="http://schemas.openxmlformats.org/officeDocument/2006/relationships/hyperlink" Target="mailto:jmarinho@mprj.mp.br" TargetMode="External"/><Relationship Id="rId6" Type="http://schemas.openxmlformats.org/officeDocument/2006/relationships/hyperlink" Target="https://www2.tjal.jus.br/pastadigital/pg/abrirConferenciaDocumento.do" TargetMode="External"/><Relationship Id="rId5" Type="http://schemas.openxmlformats.org/officeDocument/2006/relationships/hyperlink" Target="https://www.cjf.jus.br/cjf/corregedoria-da-justica-federal/centro-de-estudos-judiciarios-1/publicacoes-1/jornadas-cej/viii-enunciados-publicacao-site-com-justificativa.pdf" TargetMode="External"/><Relationship Id="rId4" Type="http://schemas.openxmlformats.org/officeDocument/2006/relationships/hyperlink" Target="https://api.tjsp.jus.br/Handlers/Handler/FileFetch.ashx?codigo=138285" TargetMode="External"/><Relationship Id="rId9" Type="http://schemas.openxmlformats.org/officeDocument/2006/relationships/hyperlink" Target="https://portal.tcu.gov.br/lumis/portal/file/fileDownload.jsp?fileId=8A8182A14DB4AFB301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D19C-F220-42EB-9891-D6908CFC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2587</Words>
  <Characters>13973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Marinho Paulo Junior</dc:creator>
  <cp:keywords/>
  <dc:description/>
  <cp:lastModifiedBy>José Marinho Paulo Junior</cp:lastModifiedBy>
  <cp:revision>8</cp:revision>
  <cp:lastPrinted>2023-02-23T16:48:00Z</cp:lastPrinted>
  <dcterms:created xsi:type="dcterms:W3CDTF">2023-02-27T11:10:00Z</dcterms:created>
  <dcterms:modified xsi:type="dcterms:W3CDTF">2023-02-27T11:16:00Z</dcterms:modified>
</cp:coreProperties>
</file>