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966F5" w14:textId="77777777" w:rsidR="005E2097" w:rsidRDefault="005E2097" w:rsidP="7D2CF2B6">
      <w:pPr>
        <w:spacing w:line="312" w:lineRule="auto"/>
        <w:jc w:val="both"/>
        <w:rPr>
          <w:rFonts w:ascii="Verdana" w:eastAsia="Verdana" w:hAnsi="Verdana" w:cs="Verdana"/>
          <w:b/>
          <w:bCs/>
          <w:color w:val="061AB1"/>
          <w:sz w:val="36"/>
          <w:szCs w:val="36"/>
        </w:rPr>
      </w:pPr>
    </w:p>
    <w:p w14:paraId="132BF26A" w14:textId="08090D74" w:rsidR="7D2CF2B6" w:rsidRPr="00CA06AA" w:rsidRDefault="2788E617" w:rsidP="0089680F">
      <w:pPr>
        <w:spacing w:line="312" w:lineRule="auto"/>
        <w:rPr>
          <w:rFonts w:ascii="Verdana" w:eastAsia="Verdana" w:hAnsi="Verdana" w:cs="Verdana"/>
          <w:b/>
          <w:bCs/>
          <w:color w:val="061AB1"/>
          <w:sz w:val="36"/>
          <w:szCs w:val="36"/>
        </w:rPr>
      </w:pPr>
      <w:r w:rsidRPr="7D2CF2B6">
        <w:rPr>
          <w:rFonts w:ascii="Verdana" w:eastAsia="Verdana" w:hAnsi="Verdana" w:cs="Verdana"/>
          <w:b/>
          <w:bCs/>
          <w:color w:val="061AB1"/>
          <w:sz w:val="36"/>
          <w:szCs w:val="36"/>
        </w:rPr>
        <w:t>Körber successfully implements its</w:t>
      </w:r>
      <w:r w:rsidR="0054411B">
        <w:rPr>
          <w:rFonts w:ascii="Verdana" w:eastAsia="Verdana" w:hAnsi="Verdana" w:cs="Verdana"/>
          <w:b/>
          <w:bCs/>
          <w:color w:val="061AB1"/>
          <w:sz w:val="36"/>
          <w:szCs w:val="36"/>
        </w:rPr>
        <w:t xml:space="preserve"> </w:t>
      </w:r>
      <w:r w:rsidRPr="7D2CF2B6">
        <w:rPr>
          <w:rFonts w:ascii="Verdana" w:eastAsia="Verdana" w:hAnsi="Verdana" w:cs="Verdana"/>
          <w:b/>
          <w:bCs/>
          <w:color w:val="061AB1"/>
          <w:sz w:val="36"/>
          <w:szCs w:val="36"/>
        </w:rPr>
        <w:t>technology in GLS Spain's Madrid hub</w:t>
      </w:r>
    </w:p>
    <w:p w14:paraId="0539B923" w14:textId="77777777" w:rsidR="0089680F" w:rsidRPr="00070B29" w:rsidRDefault="2788E617" w:rsidP="0054411B">
      <w:pPr>
        <w:pStyle w:val="Prrafodelista"/>
        <w:numPr>
          <w:ilvl w:val="0"/>
          <w:numId w:val="1"/>
        </w:numPr>
        <w:spacing w:line="276" w:lineRule="auto"/>
        <w:jc w:val="both"/>
        <w:rPr>
          <w:rFonts w:ascii="Verdana" w:eastAsia="Verdana" w:hAnsi="Verdana" w:cs="Verdana"/>
          <w:sz w:val="20"/>
          <w:szCs w:val="20"/>
        </w:rPr>
      </w:pPr>
      <w:r w:rsidRPr="0054411B">
        <w:rPr>
          <w:rFonts w:ascii="Verdana" w:eastAsia="Verdana" w:hAnsi="Verdana" w:cs="Verdana"/>
          <w:b/>
          <w:bCs/>
          <w:sz w:val="20"/>
          <w:szCs w:val="20"/>
        </w:rPr>
        <w:t>As a result of its technology, the logistics company GLS Spain has managed to move 50,000 packages per hour, an important milestone in the sector.</w:t>
      </w:r>
    </w:p>
    <w:p w14:paraId="1B7CA9BF" w14:textId="77777777" w:rsidR="00070B29" w:rsidRPr="0089680F" w:rsidRDefault="00070B29" w:rsidP="00070B29">
      <w:pPr>
        <w:pStyle w:val="Prrafodelista"/>
        <w:spacing w:line="276" w:lineRule="auto"/>
        <w:jc w:val="both"/>
        <w:rPr>
          <w:rFonts w:ascii="Verdana" w:eastAsia="Verdana" w:hAnsi="Verdana" w:cs="Verdana"/>
          <w:sz w:val="20"/>
          <w:szCs w:val="20"/>
        </w:rPr>
      </w:pPr>
    </w:p>
    <w:p w14:paraId="0BC9B812" w14:textId="7F3EFD97" w:rsidR="0089680F" w:rsidRPr="0089680F" w:rsidRDefault="0089680F" w:rsidP="00070B29">
      <w:pPr>
        <w:spacing w:line="312" w:lineRule="auto"/>
        <w:jc w:val="both"/>
        <w:rPr>
          <w:rFonts w:ascii="Verdana" w:eastAsia="Verdana" w:hAnsi="Verdana" w:cs="Verdana"/>
          <w:sz w:val="20"/>
          <w:szCs w:val="20"/>
        </w:rPr>
      </w:pPr>
      <w:r>
        <w:rPr>
          <w:rFonts w:ascii="Verdana" w:eastAsia="Verdana" w:hAnsi="Verdana" w:cs="Verdana"/>
          <w:b/>
          <w:bCs/>
          <w:sz w:val="20"/>
          <w:szCs w:val="20"/>
        </w:rPr>
        <w:t>Madrid</w:t>
      </w:r>
      <w:r w:rsidR="3EDA1BAB" w:rsidRPr="0089680F">
        <w:rPr>
          <w:rFonts w:ascii="Verdana" w:eastAsia="Verdana" w:hAnsi="Verdana" w:cs="Verdana"/>
          <w:b/>
          <w:bCs/>
          <w:sz w:val="20"/>
          <w:szCs w:val="20"/>
        </w:rPr>
        <w:t>, March 21, 2024</w:t>
      </w:r>
      <w:r w:rsidR="0FAA5FC5" w:rsidRPr="0089680F">
        <w:rPr>
          <w:rFonts w:ascii="Verdana" w:eastAsia="Verdana" w:hAnsi="Verdana" w:cs="Verdana"/>
          <w:b/>
          <w:bCs/>
          <w:sz w:val="20"/>
          <w:szCs w:val="20"/>
        </w:rPr>
        <w:t xml:space="preserve"> -</w:t>
      </w:r>
      <w:r w:rsidR="0FAA5FC5" w:rsidRPr="0089680F">
        <w:rPr>
          <w:rFonts w:ascii="Verdana" w:eastAsia="Verdana" w:hAnsi="Verdana" w:cs="Verdana"/>
          <w:sz w:val="20"/>
          <w:szCs w:val="20"/>
        </w:rPr>
        <w:t xml:space="preserve"> </w:t>
      </w:r>
      <w:r w:rsidR="3EDA1BAB" w:rsidRPr="0089680F">
        <w:rPr>
          <w:rFonts w:ascii="Verdana" w:eastAsia="Verdana" w:hAnsi="Verdana" w:cs="Verdana"/>
          <w:sz w:val="20"/>
          <w:szCs w:val="20"/>
        </w:rPr>
        <w:t xml:space="preserve">Körber has just completed the development and implementation of its technology applied to logistics platforms in the GLS Spain hub in Madrid. After several months of studying the project, designing the best solutions for </w:t>
      </w:r>
      <w:proofErr w:type="spellStart"/>
      <w:r w:rsidR="3EDA1BAB" w:rsidRPr="0089680F">
        <w:rPr>
          <w:rFonts w:ascii="Verdana" w:eastAsia="Verdana" w:hAnsi="Verdana" w:cs="Verdana"/>
          <w:sz w:val="20"/>
          <w:szCs w:val="20"/>
        </w:rPr>
        <w:t>sorting</w:t>
      </w:r>
      <w:proofErr w:type="spellEnd"/>
      <w:r w:rsidR="3EDA1BAB" w:rsidRPr="0089680F">
        <w:rPr>
          <w:rFonts w:ascii="Verdana" w:eastAsia="Verdana" w:hAnsi="Verdana" w:cs="Verdana"/>
          <w:sz w:val="20"/>
          <w:szCs w:val="20"/>
        </w:rPr>
        <w:t xml:space="preserve"> goods, implementing and adapting different systems and technology, the work has been completed with excellent results. In fact, thanks to the technology implemented, it has been possible to increase the platform's capacity and reach flows exceeding 50,000 packages per hour, a milestone in the logistics sector in Spain. </w:t>
      </w:r>
      <w:r w:rsidR="3EDA1BAB" w:rsidRPr="0089680F">
        <w:rPr>
          <w:rFonts w:ascii="Verdana" w:eastAsia="Verdana" w:hAnsi="Verdana" w:cs="Verdana"/>
          <w:i/>
          <w:iCs/>
          <w:sz w:val="20"/>
          <w:szCs w:val="20"/>
        </w:rPr>
        <w:t xml:space="preserve">"It has been </w:t>
      </w:r>
      <w:r w:rsidR="00FE2B81" w:rsidRPr="0089680F">
        <w:rPr>
          <w:rFonts w:ascii="Verdana" w:eastAsia="Verdana" w:hAnsi="Verdana" w:cs="Verdana"/>
          <w:i/>
          <w:iCs/>
          <w:sz w:val="20"/>
          <w:szCs w:val="20"/>
        </w:rPr>
        <w:t xml:space="preserve">a few </w:t>
      </w:r>
      <w:r w:rsidR="3EDA1BAB" w:rsidRPr="0089680F">
        <w:rPr>
          <w:rFonts w:ascii="Verdana" w:eastAsia="Verdana" w:hAnsi="Verdana" w:cs="Verdana"/>
          <w:i/>
          <w:iCs/>
          <w:sz w:val="20"/>
          <w:szCs w:val="20"/>
        </w:rPr>
        <w:t xml:space="preserve">very hard months due to the complexity and demands of the project, but we have finally been able to pull it off, providing the best solutions for our client," </w:t>
      </w:r>
      <w:r w:rsidR="3EDA1BAB" w:rsidRPr="0089680F">
        <w:rPr>
          <w:rFonts w:ascii="Verdana" w:eastAsia="Verdana" w:hAnsi="Verdana" w:cs="Verdana"/>
          <w:sz w:val="20"/>
          <w:szCs w:val="20"/>
        </w:rPr>
        <w:t xml:space="preserve">says Víctor García </w:t>
      </w:r>
      <w:proofErr w:type="spellStart"/>
      <w:r w:rsidR="3EDA1BAB" w:rsidRPr="0089680F">
        <w:rPr>
          <w:rFonts w:ascii="Verdana" w:eastAsia="Verdana" w:hAnsi="Verdana" w:cs="Verdana"/>
          <w:sz w:val="20"/>
          <w:szCs w:val="20"/>
        </w:rPr>
        <w:t>Durrif</w:t>
      </w:r>
      <w:proofErr w:type="spellEnd"/>
      <w:r w:rsidR="3EDA1BAB" w:rsidRPr="0089680F">
        <w:rPr>
          <w:rFonts w:ascii="Verdana" w:eastAsia="Verdana" w:hAnsi="Verdana" w:cs="Verdana"/>
          <w:sz w:val="20"/>
          <w:szCs w:val="20"/>
        </w:rPr>
        <w:t xml:space="preserve">, CEO of </w:t>
      </w:r>
      <w:proofErr w:type="spellStart"/>
      <w:r w:rsidR="3EDA1BAB" w:rsidRPr="0089680F">
        <w:rPr>
          <w:rFonts w:ascii="Verdana" w:eastAsia="Verdana" w:hAnsi="Verdana" w:cs="Verdana"/>
          <w:sz w:val="20"/>
          <w:szCs w:val="20"/>
        </w:rPr>
        <w:t>Körber</w:t>
      </w:r>
      <w:proofErr w:type="spellEnd"/>
      <w:r w:rsidR="3EDA1BAB" w:rsidRPr="0089680F">
        <w:rPr>
          <w:rFonts w:ascii="Verdana" w:eastAsia="Verdana" w:hAnsi="Verdana" w:cs="Verdana"/>
          <w:sz w:val="20"/>
          <w:szCs w:val="20"/>
        </w:rPr>
        <w:t xml:space="preserve"> in Spain. </w:t>
      </w:r>
    </w:p>
    <w:p w14:paraId="2D8A6211" w14:textId="719029BA" w:rsidR="0089680F" w:rsidRDefault="3EDA1BAB" w:rsidP="00070B29">
      <w:pPr>
        <w:spacing w:line="312" w:lineRule="auto"/>
        <w:jc w:val="both"/>
        <w:rPr>
          <w:rFonts w:ascii="Verdana" w:eastAsia="Verdana" w:hAnsi="Verdana" w:cs="Verdana"/>
          <w:sz w:val="20"/>
          <w:szCs w:val="20"/>
        </w:rPr>
      </w:pPr>
      <w:r w:rsidRPr="7D2CF2B6">
        <w:rPr>
          <w:rFonts w:ascii="Verdana" w:eastAsia="Verdana" w:hAnsi="Verdana" w:cs="Verdana"/>
          <w:sz w:val="20"/>
          <w:szCs w:val="20"/>
        </w:rPr>
        <w:t xml:space="preserve">GLS Spain's hub, its headquarters, </w:t>
      </w:r>
      <w:bookmarkStart w:id="0" w:name="_Int_bZvSpGtQ"/>
      <w:r w:rsidRPr="7D2CF2B6">
        <w:rPr>
          <w:rFonts w:ascii="Verdana" w:eastAsia="Verdana" w:hAnsi="Verdana" w:cs="Verdana"/>
          <w:sz w:val="20"/>
          <w:szCs w:val="20"/>
        </w:rPr>
        <w:t>is located in</w:t>
      </w:r>
      <w:bookmarkEnd w:id="0"/>
      <w:r w:rsidRPr="7D2CF2B6">
        <w:rPr>
          <w:rFonts w:ascii="Verdana" w:eastAsia="Verdana" w:hAnsi="Verdana" w:cs="Verdana"/>
          <w:sz w:val="20"/>
          <w:szCs w:val="20"/>
        </w:rPr>
        <w:t xml:space="preserve"> the Madrid Gate Logistics Centre logistics park, on the former </w:t>
      </w:r>
      <w:proofErr w:type="spellStart"/>
      <w:r w:rsidRPr="7D2CF2B6">
        <w:rPr>
          <w:rFonts w:ascii="Verdana" w:eastAsia="Verdana" w:hAnsi="Verdana" w:cs="Verdana"/>
          <w:sz w:val="20"/>
          <w:szCs w:val="20"/>
        </w:rPr>
        <w:t>Pegaso</w:t>
      </w:r>
      <w:proofErr w:type="spellEnd"/>
      <w:r w:rsidRPr="7D2CF2B6">
        <w:rPr>
          <w:rFonts w:ascii="Verdana" w:eastAsia="Verdana" w:hAnsi="Verdana" w:cs="Verdana"/>
          <w:sz w:val="20"/>
          <w:szCs w:val="20"/>
        </w:rPr>
        <w:t xml:space="preserve"> factory</w:t>
      </w:r>
      <w:r w:rsidR="00FE2B81" w:rsidRPr="00FE2B81">
        <w:rPr>
          <w:rFonts w:ascii="Verdana" w:eastAsia="Verdana" w:hAnsi="Verdana" w:cs="Verdana"/>
          <w:sz w:val="20"/>
          <w:szCs w:val="20"/>
        </w:rPr>
        <w:t xml:space="preserve"> </w:t>
      </w:r>
      <w:r w:rsidR="00FE2B81" w:rsidRPr="7D2CF2B6">
        <w:rPr>
          <w:rFonts w:ascii="Verdana" w:eastAsia="Verdana" w:hAnsi="Verdana" w:cs="Verdana"/>
          <w:sz w:val="20"/>
          <w:szCs w:val="20"/>
        </w:rPr>
        <w:t>site</w:t>
      </w:r>
      <w:r w:rsidRPr="7D2CF2B6">
        <w:rPr>
          <w:rFonts w:ascii="Verdana" w:eastAsia="Verdana" w:hAnsi="Verdana" w:cs="Verdana"/>
          <w:sz w:val="20"/>
          <w:szCs w:val="20"/>
        </w:rPr>
        <w:t>, very close to the A2, the capital and the airport. With a surface area of more than 37,000 m</w:t>
      </w:r>
      <w:r w:rsidRPr="00327612">
        <w:rPr>
          <w:rFonts w:ascii="Verdana" w:eastAsia="Verdana" w:hAnsi="Verdana" w:cs="Verdana"/>
          <w:sz w:val="20"/>
          <w:szCs w:val="20"/>
          <w:vertAlign w:val="superscript"/>
        </w:rPr>
        <w:t>2</w:t>
      </w:r>
      <w:r w:rsidRPr="7D2CF2B6">
        <w:rPr>
          <w:rFonts w:ascii="Verdana" w:eastAsia="Verdana" w:hAnsi="Verdana" w:cs="Verdana"/>
          <w:sz w:val="20"/>
          <w:szCs w:val="20"/>
        </w:rPr>
        <w:t xml:space="preserve">, cross-docking and urban distribution operations are carried out from here. Körber's state-of-the-art technology enables the company to handle a large volume of parcels per hour, which is decisive for its competitiveness.  </w:t>
      </w:r>
    </w:p>
    <w:p w14:paraId="5EF6C08A" w14:textId="77808551" w:rsidR="0089680F" w:rsidRDefault="3EDA1BAB" w:rsidP="00070B29">
      <w:pPr>
        <w:spacing w:line="312" w:lineRule="auto"/>
        <w:jc w:val="both"/>
        <w:rPr>
          <w:rFonts w:ascii="Verdana" w:eastAsia="Verdana" w:hAnsi="Verdana" w:cs="Verdana"/>
          <w:sz w:val="20"/>
          <w:szCs w:val="20"/>
        </w:rPr>
      </w:pPr>
      <w:r w:rsidRPr="7D2CF2B6">
        <w:rPr>
          <w:rFonts w:ascii="Verdana" w:eastAsia="Verdana" w:hAnsi="Verdana" w:cs="Verdana"/>
          <w:sz w:val="20"/>
          <w:szCs w:val="20"/>
        </w:rPr>
        <w:t xml:space="preserve">Körber has implemented </w:t>
      </w:r>
      <w:r w:rsidR="00FE2B81">
        <w:rPr>
          <w:rFonts w:ascii="Verdana" w:eastAsia="Verdana" w:hAnsi="Verdana" w:cs="Verdana"/>
          <w:sz w:val="20"/>
          <w:szCs w:val="20"/>
        </w:rPr>
        <w:t>four</w:t>
      </w:r>
      <w:r w:rsidRPr="7D2CF2B6">
        <w:rPr>
          <w:rFonts w:ascii="Verdana" w:eastAsia="Verdana" w:hAnsi="Verdana" w:cs="Verdana"/>
          <w:sz w:val="20"/>
          <w:szCs w:val="20"/>
        </w:rPr>
        <w:t xml:space="preserve"> primary and two irregular lines, with complex technology including its revolutionary </w:t>
      </w:r>
      <w:proofErr w:type="spellStart"/>
      <w:r w:rsidRPr="7D2CF2B6">
        <w:rPr>
          <w:rFonts w:ascii="Verdana" w:eastAsia="Verdana" w:hAnsi="Verdana" w:cs="Verdana"/>
          <w:sz w:val="20"/>
          <w:szCs w:val="20"/>
        </w:rPr>
        <w:t>Visicon</w:t>
      </w:r>
      <w:proofErr w:type="spellEnd"/>
      <w:r w:rsidRPr="7D2CF2B6">
        <w:rPr>
          <w:rFonts w:ascii="Verdana" w:eastAsia="Verdana" w:hAnsi="Verdana" w:cs="Verdana"/>
          <w:sz w:val="20"/>
          <w:szCs w:val="20"/>
        </w:rPr>
        <w:t xml:space="preserve"> system, which </w:t>
      </w:r>
      <w:bookmarkStart w:id="1" w:name="_Int_OCjhTvlx"/>
      <w:r w:rsidRPr="7D2CF2B6">
        <w:rPr>
          <w:rFonts w:ascii="Verdana" w:eastAsia="Verdana" w:hAnsi="Verdana" w:cs="Verdana"/>
          <w:sz w:val="20"/>
          <w:szCs w:val="20"/>
        </w:rPr>
        <w:t>is capable of singling</w:t>
      </w:r>
      <w:bookmarkEnd w:id="1"/>
      <w:r w:rsidRPr="7D2CF2B6">
        <w:rPr>
          <w:rFonts w:ascii="Verdana" w:eastAsia="Verdana" w:hAnsi="Verdana" w:cs="Verdana"/>
          <w:sz w:val="20"/>
          <w:szCs w:val="20"/>
        </w:rPr>
        <w:t xml:space="preserve"> out parcels quickly</w:t>
      </w:r>
      <w:r w:rsidR="00FE2B81">
        <w:rPr>
          <w:rFonts w:ascii="Verdana" w:eastAsia="Verdana" w:hAnsi="Verdana" w:cs="Verdana"/>
          <w:sz w:val="20"/>
          <w:szCs w:val="20"/>
        </w:rPr>
        <w:t xml:space="preserve"> and</w:t>
      </w:r>
      <w:r w:rsidRPr="7D2CF2B6">
        <w:rPr>
          <w:rFonts w:ascii="Verdana" w:eastAsia="Verdana" w:hAnsi="Verdana" w:cs="Verdana"/>
          <w:sz w:val="20"/>
          <w:szCs w:val="20"/>
        </w:rPr>
        <w:t xml:space="preserve"> optimizing delivery flows. </w:t>
      </w:r>
      <w:r w:rsidRPr="7D2CF2B6">
        <w:rPr>
          <w:rFonts w:ascii="Verdana" w:eastAsia="Verdana" w:hAnsi="Verdana" w:cs="Verdana"/>
          <w:i/>
          <w:iCs/>
          <w:sz w:val="20"/>
          <w:szCs w:val="20"/>
        </w:rPr>
        <w:t>"It is an advanced vision system based on artificial intelligence that detects and records the shape, size and relative position of each package on the belts,"</w:t>
      </w:r>
      <w:r w:rsidRPr="7D2CF2B6">
        <w:rPr>
          <w:rFonts w:ascii="Verdana" w:eastAsia="Verdana" w:hAnsi="Verdana" w:cs="Verdana"/>
          <w:sz w:val="20"/>
          <w:szCs w:val="20"/>
        </w:rPr>
        <w:t xml:space="preserve"> explains García </w:t>
      </w:r>
      <w:proofErr w:type="spellStart"/>
      <w:r w:rsidRPr="7D2CF2B6">
        <w:rPr>
          <w:rFonts w:ascii="Verdana" w:eastAsia="Verdana" w:hAnsi="Verdana" w:cs="Verdana"/>
          <w:sz w:val="20"/>
          <w:szCs w:val="20"/>
        </w:rPr>
        <w:t>Durrif</w:t>
      </w:r>
      <w:proofErr w:type="spellEnd"/>
      <w:r w:rsidRPr="7D2CF2B6">
        <w:rPr>
          <w:rFonts w:ascii="Verdana" w:eastAsia="Verdana" w:hAnsi="Verdana" w:cs="Verdana"/>
          <w:sz w:val="20"/>
          <w:szCs w:val="20"/>
        </w:rPr>
        <w:t>.</w:t>
      </w:r>
    </w:p>
    <w:p w14:paraId="4323871E" w14:textId="615473C6" w:rsidR="0089680F" w:rsidRDefault="3EDA1BAB" w:rsidP="00070B29">
      <w:pPr>
        <w:spacing w:line="312" w:lineRule="auto"/>
        <w:jc w:val="both"/>
        <w:rPr>
          <w:rFonts w:ascii="Verdana" w:eastAsia="Verdana" w:hAnsi="Verdana" w:cs="Verdana"/>
          <w:sz w:val="20"/>
          <w:szCs w:val="20"/>
        </w:rPr>
      </w:pPr>
      <w:r w:rsidRPr="7D2CF2B6">
        <w:rPr>
          <w:rFonts w:ascii="Verdana" w:eastAsia="Verdana" w:hAnsi="Verdana" w:cs="Verdana"/>
          <w:sz w:val="20"/>
          <w:szCs w:val="20"/>
        </w:rPr>
        <w:t xml:space="preserve">With this real-time information, the system can stipulate important parameters, such as separation, orientation and outbound direction. </w:t>
      </w:r>
    </w:p>
    <w:p w14:paraId="1C1EB67A" w14:textId="6D38A3ED" w:rsidR="3EDA1BAB" w:rsidRDefault="3EDA1BAB" w:rsidP="00070B29">
      <w:pPr>
        <w:spacing w:line="312" w:lineRule="auto"/>
        <w:jc w:val="both"/>
        <w:rPr>
          <w:rFonts w:ascii="Verdana" w:eastAsia="Verdana" w:hAnsi="Verdana" w:cs="Verdana"/>
          <w:sz w:val="20"/>
          <w:szCs w:val="20"/>
        </w:rPr>
      </w:pPr>
      <w:r w:rsidRPr="7D2CF2B6">
        <w:rPr>
          <w:rFonts w:ascii="Verdana" w:eastAsia="Verdana" w:hAnsi="Verdana" w:cs="Verdana"/>
          <w:i/>
          <w:iCs/>
          <w:sz w:val="20"/>
          <w:szCs w:val="20"/>
        </w:rPr>
        <w:t xml:space="preserve">"At GLS Spain, we have felt supported from the very beginning. From the first visit to our facilities to understand the needs of the project, to the closing. Both companies share the </w:t>
      </w:r>
      <w:r w:rsidR="00FE2B81">
        <w:rPr>
          <w:rFonts w:ascii="Verdana" w:eastAsia="Verdana" w:hAnsi="Verdana" w:cs="Verdana"/>
          <w:i/>
          <w:iCs/>
          <w:sz w:val="20"/>
          <w:szCs w:val="20"/>
        </w:rPr>
        <w:t xml:space="preserve">common </w:t>
      </w:r>
      <w:r w:rsidRPr="7D2CF2B6">
        <w:rPr>
          <w:rFonts w:ascii="Verdana" w:eastAsia="Verdana" w:hAnsi="Verdana" w:cs="Verdana"/>
          <w:i/>
          <w:iCs/>
          <w:sz w:val="20"/>
          <w:szCs w:val="20"/>
        </w:rPr>
        <w:t>goal of ensuring that the system works with maximum efficiency,"</w:t>
      </w:r>
      <w:r w:rsidRPr="7D2CF2B6">
        <w:rPr>
          <w:rFonts w:ascii="Verdana" w:eastAsia="Verdana" w:hAnsi="Verdana" w:cs="Verdana"/>
          <w:sz w:val="20"/>
          <w:szCs w:val="20"/>
        </w:rPr>
        <w:t xml:space="preserve"> says Roberto Martínez, Chief Finance </w:t>
      </w:r>
      <w:bookmarkStart w:id="2" w:name="_Int_Eeiu3900"/>
      <w:r w:rsidRPr="7D2CF2B6">
        <w:rPr>
          <w:rFonts w:ascii="Verdana" w:eastAsia="Verdana" w:hAnsi="Verdana" w:cs="Verdana"/>
          <w:sz w:val="20"/>
          <w:szCs w:val="20"/>
        </w:rPr>
        <w:t>Director</w:t>
      </w:r>
      <w:bookmarkEnd w:id="2"/>
      <w:r w:rsidRPr="7D2CF2B6">
        <w:rPr>
          <w:rFonts w:ascii="Verdana" w:eastAsia="Verdana" w:hAnsi="Verdana" w:cs="Verdana"/>
          <w:sz w:val="20"/>
          <w:szCs w:val="20"/>
        </w:rPr>
        <w:t xml:space="preserve"> of GLS </w:t>
      </w:r>
      <w:r w:rsidR="00055610">
        <w:rPr>
          <w:rFonts w:ascii="Verdana" w:eastAsia="Verdana" w:hAnsi="Verdana" w:cs="Verdana"/>
          <w:sz w:val="20"/>
          <w:szCs w:val="20"/>
        </w:rPr>
        <w:t>o</w:t>
      </w:r>
      <w:r w:rsidRPr="7D2CF2B6">
        <w:rPr>
          <w:rFonts w:ascii="Verdana" w:eastAsia="Verdana" w:hAnsi="Verdana" w:cs="Verdana"/>
          <w:sz w:val="20"/>
          <w:szCs w:val="20"/>
        </w:rPr>
        <w:t xml:space="preserve">n </w:t>
      </w:r>
      <w:r w:rsidR="00055610">
        <w:rPr>
          <w:rFonts w:ascii="Verdana" w:eastAsia="Verdana" w:hAnsi="Verdana" w:cs="Verdana"/>
          <w:sz w:val="20"/>
          <w:szCs w:val="20"/>
        </w:rPr>
        <w:t xml:space="preserve">the </w:t>
      </w:r>
      <w:r w:rsidRPr="7D2CF2B6">
        <w:rPr>
          <w:rFonts w:ascii="Verdana" w:eastAsia="Verdana" w:hAnsi="Verdana" w:cs="Verdana"/>
          <w:sz w:val="20"/>
          <w:szCs w:val="20"/>
        </w:rPr>
        <w:t>Iberia</w:t>
      </w:r>
      <w:r w:rsidR="00055610">
        <w:rPr>
          <w:rFonts w:ascii="Verdana" w:eastAsia="Verdana" w:hAnsi="Verdana" w:cs="Verdana"/>
          <w:sz w:val="20"/>
          <w:szCs w:val="20"/>
        </w:rPr>
        <w:t>n peninsula</w:t>
      </w:r>
      <w:r w:rsidRPr="7D2CF2B6">
        <w:rPr>
          <w:rFonts w:ascii="Verdana" w:eastAsia="Verdana" w:hAnsi="Verdana" w:cs="Verdana"/>
          <w:sz w:val="20"/>
          <w:szCs w:val="20"/>
        </w:rPr>
        <w:t xml:space="preserve">.  </w:t>
      </w:r>
      <w:r w:rsidRPr="7D2CF2B6">
        <w:rPr>
          <w:rFonts w:ascii="Verdana" w:eastAsia="Verdana" w:hAnsi="Verdana" w:cs="Verdana"/>
          <w:i/>
          <w:iCs/>
          <w:sz w:val="20"/>
          <w:szCs w:val="20"/>
        </w:rPr>
        <w:t>"Having a state-of-the-art facility</w:t>
      </w:r>
      <w:r w:rsidR="00FE2B81">
        <w:rPr>
          <w:rFonts w:ascii="Verdana" w:eastAsia="Verdana" w:hAnsi="Verdana" w:cs="Verdana"/>
          <w:i/>
          <w:iCs/>
          <w:sz w:val="20"/>
          <w:szCs w:val="20"/>
        </w:rPr>
        <w:t>,</w:t>
      </w:r>
      <w:r w:rsidRPr="7D2CF2B6">
        <w:rPr>
          <w:rFonts w:ascii="Verdana" w:eastAsia="Verdana" w:hAnsi="Verdana" w:cs="Verdana"/>
          <w:i/>
          <w:iCs/>
          <w:sz w:val="20"/>
          <w:szCs w:val="20"/>
        </w:rPr>
        <w:t xml:space="preserve"> where the most cutting-edge and innovative technology on the market has been implemented with the Körber seal</w:t>
      </w:r>
      <w:r w:rsidR="00FE2B81">
        <w:rPr>
          <w:rFonts w:ascii="Verdana" w:eastAsia="Verdana" w:hAnsi="Verdana" w:cs="Verdana"/>
          <w:i/>
          <w:iCs/>
          <w:sz w:val="20"/>
          <w:szCs w:val="20"/>
        </w:rPr>
        <w:t xml:space="preserve">, </w:t>
      </w:r>
      <w:r w:rsidRPr="7D2CF2B6">
        <w:rPr>
          <w:rFonts w:ascii="Verdana" w:eastAsia="Verdana" w:hAnsi="Verdana" w:cs="Verdana"/>
          <w:i/>
          <w:iCs/>
          <w:sz w:val="20"/>
          <w:szCs w:val="20"/>
        </w:rPr>
        <w:t>has been and will undoubtedly be a decisive factor in the growth of the business in Spain,"</w:t>
      </w:r>
      <w:r w:rsidRPr="7D2CF2B6">
        <w:rPr>
          <w:rFonts w:ascii="Verdana" w:eastAsia="Verdana" w:hAnsi="Verdana" w:cs="Verdana"/>
          <w:sz w:val="20"/>
          <w:szCs w:val="20"/>
        </w:rPr>
        <w:t xml:space="preserve"> he concludes.</w:t>
      </w:r>
    </w:p>
    <w:p w14:paraId="0029D9FD" w14:textId="79325C6B" w:rsidR="7D2CF2B6" w:rsidRDefault="7D2CF2B6" w:rsidP="0054411B">
      <w:pPr>
        <w:spacing w:line="276" w:lineRule="auto"/>
        <w:jc w:val="both"/>
        <w:rPr>
          <w:rFonts w:ascii="Verdana" w:eastAsia="Verdana" w:hAnsi="Verdana" w:cs="Verdana"/>
          <w:sz w:val="20"/>
          <w:szCs w:val="20"/>
        </w:rPr>
      </w:pPr>
    </w:p>
    <w:p w14:paraId="4801D93E" w14:textId="77777777" w:rsidR="0089680F" w:rsidRDefault="0089680F" w:rsidP="0054411B">
      <w:pPr>
        <w:spacing w:line="276" w:lineRule="auto"/>
        <w:jc w:val="both"/>
        <w:rPr>
          <w:rFonts w:ascii="Verdana" w:eastAsia="Verdana" w:hAnsi="Verdana" w:cs="Verdana"/>
          <w:sz w:val="20"/>
          <w:szCs w:val="20"/>
        </w:rPr>
      </w:pPr>
    </w:p>
    <w:p w14:paraId="404C902B" w14:textId="1344CB1E" w:rsidR="45BCCC08" w:rsidRDefault="45BCCC08" w:rsidP="00070B29">
      <w:pPr>
        <w:spacing w:line="312" w:lineRule="auto"/>
        <w:jc w:val="both"/>
        <w:rPr>
          <w:rFonts w:ascii="Verdana" w:eastAsia="Verdana" w:hAnsi="Verdana" w:cs="Verdana"/>
          <w:b/>
          <w:bCs/>
          <w:sz w:val="20"/>
          <w:szCs w:val="20"/>
        </w:rPr>
      </w:pPr>
      <w:r w:rsidRPr="7D2CF2B6">
        <w:rPr>
          <w:rFonts w:ascii="Verdana" w:eastAsia="Verdana" w:hAnsi="Verdana" w:cs="Verdana"/>
          <w:b/>
          <w:bCs/>
          <w:sz w:val="20"/>
          <w:szCs w:val="20"/>
        </w:rPr>
        <w:t xml:space="preserve">About GLS Spain </w:t>
      </w:r>
    </w:p>
    <w:p w14:paraId="53D14D6E" w14:textId="5DE4B91C" w:rsidR="45BCCC08" w:rsidRDefault="45BCCC08" w:rsidP="00070B29">
      <w:pPr>
        <w:spacing w:line="312" w:lineRule="auto"/>
        <w:jc w:val="both"/>
        <w:rPr>
          <w:rFonts w:ascii="Verdana" w:eastAsia="Verdana" w:hAnsi="Verdana" w:cs="Verdana"/>
          <w:sz w:val="20"/>
          <w:szCs w:val="20"/>
        </w:rPr>
      </w:pPr>
      <w:r w:rsidRPr="7D2CF2B6">
        <w:rPr>
          <w:rFonts w:ascii="Verdana" w:eastAsia="Verdana" w:hAnsi="Verdana" w:cs="Verdana"/>
          <w:sz w:val="20"/>
          <w:szCs w:val="20"/>
        </w:rPr>
        <w:t xml:space="preserve">GLS Spain is a subsidiary of the GLS Group, a leading provider of national and international parcel, freight forwarding and express services in 40 countries. Thanks to its extensive network of logistics </w:t>
      </w:r>
      <w:proofErr w:type="spellStart"/>
      <w:r w:rsidRPr="7D2CF2B6">
        <w:rPr>
          <w:rFonts w:ascii="Verdana" w:eastAsia="Verdana" w:hAnsi="Verdana" w:cs="Verdana"/>
          <w:sz w:val="20"/>
          <w:szCs w:val="20"/>
        </w:rPr>
        <w:t>centers</w:t>
      </w:r>
      <w:proofErr w:type="spellEnd"/>
      <w:r w:rsidRPr="7D2CF2B6">
        <w:rPr>
          <w:rFonts w:ascii="Verdana" w:eastAsia="Verdana" w:hAnsi="Verdana" w:cs="Verdana"/>
          <w:sz w:val="20"/>
          <w:szCs w:val="20"/>
        </w:rPr>
        <w:t xml:space="preserve"> and extensive local market knowledge, GLS customers receive a high-quality, personalized and flexible service, not only in Europe but also beyond its borders. As a group, GLS generated record revenues of €5.4 billion in 2022-2023 and delivered 862 million parcels.  </w:t>
      </w:r>
    </w:p>
    <w:p w14:paraId="7D5B4D56" w14:textId="5C4E09CC" w:rsidR="45BCCC08" w:rsidRDefault="45BCCC08" w:rsidP="00070B29">
      <w:pPr>
        <w:spacing w:line="312" w:lineRule="auto"/>
        <w:jc w:val="both"/>
        <w:rPr>
          <w:rFonts w:ascii="Verdana" w:eastAsia="Verdana" w:hAnsi="Verdana" w:cs="Verdana"/>
          <w:sz w:val="20"/>
          <w:szCs w:val="20"/>
        </w:rPr>
      </w:pPr>
      <w:r w:rsidRPr="7D2CF2B6">
        <w:rPr>
          <w:rFonts w:ascii="Verdana" w:eastAsia="Verdana" w:hAnsi="Verdana" w:cs="Verdana"/>
          <w:sz w:val="20"/>
          <w:szCs w:val="20"/>
        </w:rPr>
        <w:t xml:space="preserve">In Spain, the GLS network has nearly 600 of its own </w:t>
      </w:r>
      <w:proofErr w:type="spellStart"/>
      <w:r w:rsidRPr="7D2CF2B6">
        <w:rPr>
          <w:rFonts w:ascii="Verdana" w:eastAsia="Verdana" w:hAnsi="Verdana" w:cs="Verdana"/>
          <w:sz w:val="20"/>
          <w:szCs w:val="20"/>
        </w:rPr>
        <w:t>centers</w:t>
      </w:r>
      <w:proofErr w:type="spellEnd"/>
      <w:r w:rsidRPr="7D2CF2B6">
        <w:rPr>
          <w:rFonts w:ascii="Verdana" w:eastAsia="Verdana" w:hAnsi="Verdana" w:cs="Verdana"/>
          <w:sz w:val="20"/>
          <w:szCs w:val="20"/>
        </w:rPr>
        <w:t xml:space="preserve"> and agencies, supported by more than 5,300 Parcel Shops, approximately 4,800 delivery vehicles and 510 long-distance trucks. GLS Spain currently employs around 1,600 professionals.  </w:t>
      </w:r>
    </w:p>
    <w:p w14:paraId="0FFA5254" w14:textId="7C74DFA8" w:rsidR="45BCCC08" w:rsidRDefault="45BCCC08" w:rsidP="00070B29">
      <w:pPr>
        <w:spacing w:line="312" w:lineRule="auto"/>
        <w:jc w:val="both"/>
        <w:rPr>
          <w:rFonts w:ascii="Verdana" w:eastAsia="Verdana" w:hAnsi="Verdana" w:cs="Verdana"/>
          <w:sz w:val="20"/>
          <w:szCs w:val="20"/>
        </w:rPr>
      </w:pPr>
      <w:r w:rsidRPr="7D2CF2B6">
        <w:rPr>
          <w:rFonts w:ascii="Verdana" w:eastAsia="Verdana" w:hAnsi="Verdana" w:cs="Verdana"/>
          <w:sz w:val="20"/>
          <w:szCs w:val="20"/>
        </w:rPr>
        <w:t xml:space="preserve">Since 2021, GLS Spain has been a signatory partner of the United Nations Global Compact, thus reinforcing its commitment to contribute to the Sustainable Development Goals (SDGs) in the development of its activity. </w:t>
      </w:r>
    </w:p>
    <w:p w14:paraId="19018A5E" w14:textId="248B70E6" w:rsidR="3EDA1BAB" w:rsidRDefault="3EDA1BAB" w:rsidP="00070B29">
      <w:pPr>
        <w:spacing w:line="312" w:lineRule="auto"/>
        <w:jc w:val="both"/>
        <w:rPr>
          <w:rStyle w:val="Hipervnculo"/>
          <w:rFonts w:ascii="Verdana" w:eastAsia="Verdana" w:hAnsi="Verdana" w:cs="Verdana"/>
          <w:sz w:val="20"/>
          <w:szCs w:val="20"/>
        </w:rPr>
      </w:pPr>
      <w:r>
        <w:t xml:space="preserve"> </w:t>
      </w:r>
      <w:r w:rsidR="04D079E4" w:rsidRPr="7D2CF2B6">
        <w:rPr>
          <w:rFonts w:ascii="Verdana" w:eastAsia="Verdana" w:hAnsi="Verdana" w:cs="Verdana"/>
          <w:sz w:val="20"/>
          <w:szCs w:val="20"/>
        </w:rPr>
        <w:t xml:space="preserve">For more information, </w:t>
      </w:r>
      <w:hyperlink r:id="rId10">
        <w:r w:rsidR="04D079E4" w:rsidRPr="7D2CF2B6">
          <w:rPr>
            <w:rStyle w:val="Hipervnculo"/>
            <w:rFonts w:ascii="Verdana" w:eastAsia="Verdana" w:hAnsi="Verdana" w:cs="Verdana"/>
            <w:sz w:val="20"/>
            <w:szCs w:val="20"/>
          </w:rPr>
          <w:t>www.gls-spain.com</w:t>
        </w:r>
      </w:hyperlink>
    </w:p>
    <w:p w14:paraId="1F30EDA3" w14:textId="77777777" w:rsidR="00070B29" w:rsidRDefault="00070B29" w:rsidP="00070B29">
      <w:pPr>
        <w:spacing w:line="312" w:lineRule="auto"/>
        <w:jc w:val="both"/>
        <w:rPr>
          <w:rStyle w:val="Hipervnculo"/>
          <w:rFonts w:ascii="Verdana" w:eastAsia="Verdana" w:hAnsi="Verdana" w:cs="Verdana"/>
          <w:sz w:val="20"/>
          <w:szCs w:val="20"/>
        </w:rPr>
      </w:pPr>
    </w:p>
    <w:p w14:paraId="3FCCC050" w14:textId="77777777" w:rsidR="00070B29" w:rsidRDefault="00070B29" w:rsidP="00070B29">
      <w:pPr>
        <w:spacing w:line="312" w:lineRule="auto"/>
        <w:jc w:val="both"/>
        <w:rPr>
          <w:rFonts w:ascii="Verdana" w:eastAsia="Verdana" w:hAnsi="Verdana" w:cs="Verdana"/>
          <w:b/>
          <w:bCs/>
          <w:sz w:val="20"/>
          <w:szCs w:val="20"/>
        </w:rPr>
      </w:pPr>
      <w:r w:rsidRPr="7D2CF2B6">
        <w:rPr>
          <w:rFonts w:ascii="Verdana" w:eastAsia="Verdana" w:hAnsi="Verdana" w:cs="Verdana"/>
          <w:b/>
          <w:bCs/>
          <w:sz w:val="20"/>
          <w:szCs w:val="20"/>
        </w:rPr>
        <w:t xml:space="preserve">About </w:t>
      </w:r>
      <w:proofErr w:type="spellStart"/>
      <w:r w:rsidRPr="7D2CF2B6">
        <w:rPr>
          <w:rFonts w:ascii="Verdana" w:eastAsia="Verdana" w:hAnsi="Verdana" w:cs="Verdana"/>
          <w:b/>
          <w:bCs/>
          <w:sz w:val="20"/>
          <w:szCs w:val="20"/>
        </w:rPr>
        <w:t>Körber</w:t>
      </w:r>
      <w:proofErr w:type="spellEnd"/>
      <w:r w:rsidRPr="7D2CF2B6">
        <w:rPr>
          <w:rFonts w:ascii="Verdana" w:eastAsia="Verdana" w:hAnsi="Verdana" w:cs="Verdana"/>
          <w:b/>
          <w:bCs/>
          <w:sz w:val="20"/>
          <w:szCs w:val="20"/>
        </w:rPr>
        <w:t xml:space="preserve"> </w:t>
      </w:r>
    </w:p>
    <w:p w14:paraId="2CFA97CD" w14:textId="77777777" w:rsidR="00070B29" w:rsidRDefault="00070B29" w:rsidP="00070B29">
      <w:pPr>
        <w:spacing w:line="312" w:lineRule="auto"/>
        <w:jc w:val="both"/>
        <w:rPr>
          <w:rFonts w:ascii="Verdana" w:eastAsia="Verdana" w:hAnsi="Verdana" w:cs="Verdana"/>
          <w:sz w:val="20"/>
          <w:szCs w:val="20"/>
        </w:rPr>
      </w:pPr>
      <w:r w:rsidRPr="7D2CF2B6">
        <w:rPr>
          <w:rFonts w:ascii="Verdana" w:eastAsia="Verdana" w:hAnsi="Verdana" w:cs="Verdana"/>
          <w:sz w:val="20"/>
          <w:szCs w:val="20"/>
        </w:rPr>
        <w:t>We are an international technology group with around 13,000 employees at more than 100 locations worldwide</w:t>
      </w:r>
      <w:r>
        <w:rPr>
          <w:rFonts w:ascii="Verdana" w:eastAsia="Verdana" w:hAnsi="Verdana" w:cs="Verdana"/>
          <w:sz w:val="20"/>
          <w:szCs w:val="20"/>
        </w:rPr>
        <w:t>, which all share</w:t>
      </w:r>
      <w:r w:rsidRPr="7D2CF2B6">
        <w:rPr>
          <w:rFonts w:ascii="Verdana" w:eastAsia="Verdana" w:hAnsi="Verdana" w:cs="Verdana"/>
          <w:sz w:val="20"/>
          <w:szCs w:val="20"/>
        </w:rPr>
        <w:t xml:space="preserve"> a common goal: </w:t>
      </w:r>
      <w:r>
        <w:rPr>
          <w:rFonts w:ascii="Verdana" w:eastAsia="Verdana" w:hAnsi="Verdana" w:cs="Verdana"/>
          <w:sz w:val="20"/>
          <w:szCs w:val="20"/>
        </w:rPr>
        <w:t>To</w:t>
      </w:r>
      <w:r w:rsidRPr="7D2CF2B6">
        <w:rPr>
          <w:rFonts w:ascii="Verdana" w:eastAsia="Verdana" w:hAnsi="Verdana" w:cs="Verdana"/>
          <w:sz w:val="20"/>
          <w:szCs w:val="20"/>
        </w:rPr>
        <w:t xml:space="preserve"> turn business thinking into customer success and shape technological change. In the business areas Digital, Pharma, Supply Chain, Technologies and Tissue, we offer products, solutions and services that inspire. We act quickly on customer needs, execute ideas perfectly and, with our innovations, create added value for our customers. In doing so, we are building </w:t>
      </w:r>
      <w:r>
        <w:rPr>
          <w:rFonts w:ascii="Verdana" w:eastAsia="Verdana" w:hAnsi="Verdana" w:cs="Verdana"/>
          <w:sz w:val="20"/>
          <w:szCs w:val="20"/>
        </w:rPr>
        <w:t xml:space="preserve">more and more </w:t>
      </w:r>
      <w:r w:rsidRPr="7D2CF2B6">
        <w:rPr>
          <w:rFonts w:ascii="Verdana" w:eastAsia="Verdana" w:hAnsi="Verdana" w:cs="Verdana"/>
          <w:sz w:val="20"/>
          <w:szCs w:val="20"/>
        </w:rPr>
        <w:t xml:space="preserve">ecosystems that solve the challenges of today and tomorrow. </w:t>
      </w:r>
      <w:proofErr w:type="spellStart"/>
      <w:r w:rsidRPr="7D2CF2B6">
        <w:rPr>
          <w:rFonts w:ascii="Verdana" w:eastAsia="Verdana" w:hAnsi="Verdana" w:cs="Verdana"/>
          <w:sz w:val="20"/>
          <w:szCs w:val="20"/>
        </w:rPr>
        <w:t>Körber</w:t>
      </w:r>
      <w:proofErr w:type="spellEnd"/>
      <w:r w:rsidRPr="7D2CF2B6">
        <w:rPr>
          <w:rFonts w:ascii="Verdana" w:eastAsia="Verdana" w:hAnsi="Verdana" w:cs="Verdana"/>
          <w:sz w:val="20"/>
          <w:szCs w:val="20"/>
        </w:rPr>
        <w:t xml:space="preserve"> AG is the holding company of the </w:t>
      </w:r>
      <w:proofErr w:type="spellStart"/>
      <w:r w:rsidRPr="7D2CF2B6">
        <w:rPr>
          <w:rFonts w:ascii="Verdana" w:eastAsia="Verdana" w:hAnsi="Verdana" w:cs="Verdana"/>
          <w:sz w:val="20"/>
          <w:szCs w:val="20"/>
        </w:rPr>
        <w:t>Körber</w:t>
      </w:r>
      <w:proofErr w:type="spellEnd"/>
      <w:r w:rsidRPr="7D2CF2B6">
        <w:rPr>
          <w:rFonts w:ascii="Verdana" w:eastAsia="Verdana" w:hAnsi="Verdana" w:cs="Verdana"/>
          <w:sz w:val="20"/>
          <w:szCs w:val="20"/>
        </w:rPr>
        <w:t xml:space="preserve"> Group. </w:t>
      </w:r>
    </w:p>
    <w:p w14:paraId="24F86FBD" w14:textId="77777777" w:rsidR="00070B29" w:rsidRDefault="00070B29" w:rsidP="00070B29">
      <w:pPr>
        <w:spacing w:line="312" w:lineRule="auto"/>
        <w:jc w:val="both"/>
        <w:rPr>
          <w:rFonts w:ascii="Verdana" w:eastAsia="Verdana" w:hAnsi="Verdana" w:cs="Verdana"/>
          <w:sz w:val="20"/>
          <w:szCs w:val="20"/>
        </w:rPr>
      </w:pPr>
    </w:p>
    <w:p w14:paraId="249E6C0A" w14:textId="77777777" w:rsidR="00070B29" w:rsidRDefault="00070B29" w:rsidP="00070B29">
      <w:pPr>
        <w:spacing w:line="312" w:lineRule="auto"/>
        <w:jc w:val="both"/>
        <w:rPr>
          <w:rFonts w:ascii="Verdana" w:eastAsia="Verdana" w:hAnsi="Verdana" w:cs="Verdana"/>
          <w:b/>
          <w:bCs/>
          <w:sz w:val="20"/>
          <w:szCs w:val="20"/>
        </w:rPr>
      </w:pPr>
      <w:r w:rsidRPr="7D2CF2B6">
        <w:rPr>
          <w:rFonts w:ascii="Verdana" w:eastAsia="Verdana" w:hAnsi="Verdana" w:cs="Verdana"/>
          <w:b/>
          <w:bCs/>
          <w:sz w:val="20"/>
          <w:szCs w:val="20"/>
        </w:rPr>
        <w:t>About</w:t>
      </w:r>
      <w:r>
        <w:rPr>
          <w:rFonts w:ascii="Verdana" w:eastAsia="Verdana" w:hAnsi="Verdana" w:cs="Verdana"/>
          <w:b/>
          <w:bCs/>
          <w:sz w:val="20"/>
          <w:szCs w:val="20"/>
        </w:rPr>
        <w:t xml:space="preserve"> the</w:t>
      </w:r>
      <w:r w:rsidRPr="7D2CF2B6">
        <w:rPr>
          <w:rFonts w:ascii="Verdana" w:eastAsia="Verdana" w:hAnsi="Verdana" w:cs="Verdana"/>
          <w:b/>
          <w:bCs/>
          <w:sz w:val="20"/>
          <w:szCs w:val="20"/>
        </w:rPr>
        <w:t xml:space="preserve"> </w:t>
      </w:r>
      <w:proofErr w:type="spellStart"/>
      <w:r w:rsidRPr="7D2CF2B6">
        <w:rPr>
          <w:rFonts w:ascii="Verdana" w:eastAsia="Verdana" w:hAnsi="Verdana" w:cs="Verdana"/>
          <w:b/>
          <w:bCs/>
          <w:sz w:val="20"/>
          <w:szCs w:val="20"/>
        </w:rPr>
        <w:t>Körber</w:t>
      </w:r>
      <w:proofErr w:type="spellEnd"/>
      <w:r w:rsidRPr="7D2CF2B6">
        <w:rPr>
          <w:rFonts w:ascii="Verdana" w:eastAsia="Verdana" w:hAnsi="Verdana" w:cs="Verdana"/>
          <w:b/>
          <w:bCs/>
          <w:sz w:val="20"/>
          <w:szCs w:val="20"/>
        </w:rPr>
        <w:t xml:space="preserve"> Supply Chain Business Unit </w:t>
      </w:r>
    </w:p>
    <w:p w14:paraId="6CA389EE" w14:textId="77777777" w:rsidR="00070B29" w:rsidRDefault="00070B29" w:rsidP="00070B29">
      <w:pPr>
        <w:spacing w:line="312" w:lineRule="auto"/>
        <w:jc w:val="both"/>
        <w:rPr>
          <w:rFonts w:ascii="Verdana" w:eastAsia="Verdana" w:hAnsi="Verdana" w:cs="Verdana"/>
          <w:sz w:val="20"/>
          <w:szCs w:val="20"/>
        </w:rPr>
      </w:pPr>
      <w:r w:rsidRPr="7D2CF2B6">
        <w:rPr>
          <w:rFonts w:ascii="Verdana" w:eastAsia="Verdana" w:hAnsi="Verdana" w:cs="Verdana"/>
          <w:sz w:val="20"/>
          <w:szCs w:val="20"/>
        </w:rPr>
        <w:t xml:space="preserve">Challenges in the supply chain are growing every day. </w:t>
      </w:r>
      <w:proofErr w:type="spellStart"/>
      <w:r w:rsidRPr="7D2CF2B6">
        <w:rPr>
          <w:rFonts w:ascii="Verdana" w:eastAsia="Verdana" w:hAnsi="Verdana" w:cs="Verdana"/>
          <w:sz w:val="20"/>
          <w:szCs w:val="20"/>
        </w:rPr>
        <w:t>Körber</w:t>
      </w:r>
      <w:proofErr w:type="spellEnd"/>
      <w:r w:rsidRPr="7D2CF2B6">
        <w:rPr>
          <w:rFonts w:ascii="Verdana" w:eastAsia="Verdana" w:hAnsi="Verdana" w:cs="Verdana"/>
          <w:sz w:val="20"/>
          <w:szCs w:val="20"/>
        </w:rPr>
        <w:t xml:space="preserve"> uniquely offers a wide range of proven end-to-end technologies for logistics, tailored to every company, business or growth strategy. Our customers </w:t>
      </w:r>
      <w:bookmarkStart w:id="3" w:name="_Int_SRMkTPub"/>
      <w:r w:rsidRPr="7D2CF2B6">
        <w:rPr>
          <w:rFonts w:ascii="Verdana" w:eastAsia="Verdana" w:hAnsi="Verdana" w:cs="Verdana"/>
          <w:sz w:val="20"/>
          <w:szCs w:val="20"/>
        </w:rPr>
        <w:t>master</w:t>
      </w:r>
      <w:bookmarkEnd w:id="3"/>
      <w:r w:rsidRPr="7D2CF2B6">
        <w:rPr>
          <w:rFonts w:ascii="Verdana" w:eastAsia="Verdana" w:hAnsi="Verdana" w:cs="Verdana"/>
          <w:sz w:val="20"/>
          <w:szCs w:val="20"/>
        </w:rPr>
        <w:t xml:space="preserve"> the complexity of the supply chain thanks to a </w:t>
      </w:r>
      <w:bookmarkStart w:id="4" w:name="_Int_MXCatIc9"/>
      <w:r w:rsidRPr="7D2CF2B6">
        <w:rPr>
          <w:rFonts w:ascii="Verdana" w:eastAsia="Verdana" w:hAnsi="Verdana" w:cs="Verdana"/>
          <w:sz w:val="20"/>
          <w:szCs w:val="20"/>
        </w:rPr>
        <w:t>portfolio</w:t>
      </w:r>
      <w:bookmarkEnd w:id="4"/>
      <w:r w:rsidRPr="7D2CF2B6">
        <w:rPr>
          <w:rFonts w:ascii="Verdana" w:eastAsia="Verdana" w:hAnsi="Verdana" w:cs="Verdana"/>
          <w:sz w:val="20"/>
          <w:szCs w:val="20"/>
        </w:rPr>
        <w:t xml:space="preserve"> that includes software, automation solutions, parcel and mail solutions, voice technology, robotics and transport systems, brought together under one roof with expertise in end-to-end system integration. </w:t>
      </w:r>
      <w:proofErr w:type="spellStart"/>
      <w:r w:rsidRPr="7D2CF2B6">
        <w:rPr>
          <w:rFonts w:ascii="Verdana" w:eastAsia="Verdana" w:hAnsi="Verdana" w:cs="Verdana"/>
          <w:sz w:val="20"/>
          <w:szCs w:val="20"/>
        </w:rPr>
        <w:t>Körber</w:t>
      </w:r>
      <w:proofErr w:type="spellEnd"/>
      <w:r w:rsidRPr="7D2CF2B6">
        <w:rPr>
          <w:rFonts w:ascii="Verdana" w:eastAsia="Verdana" w:hAnsi="Verdana" w:cs="Verdana"/>
          <w:sz w:val="20"/>
          <w:szCs w:val="20"/>
        </w:rPr>
        <w:t xml:space="preserve"> makes it possible to turn the configuration of supply chains into a competitive advantage. The Supply Chain business unit is part of the international </w:t>
      </w:r>
      <w:proofErr w:type="spellStart"/>
      <w:r w:rsidRPr="7D2CF2B6">
        <w:rPr>
          <w:rFonts w:ascii="Verdana" w:eastAsia="Verdana" w:hAnsi="Verdana" w:cs="Verdana"/>
          <w:sz w:val="20"/>
          <w:szCs w:val="20"/>
        </w:rPr>
        <w:t>Körber</w:t>
      </w:r>
      <w:proofErr w:type="spellEnd"/>
      <w:r w:rsidRPr="7D2CF2B6">
        <w:rPr>
          <w:rFonts w:ascii="Verdana" w:eastAsia="Verdana" w:hAnsi="Verdana" w:cs="Verdana"/>
          <w:sz w:val="20"/>
          <w:szCs w:val="20"/>
        </w:rPr>
        <w:t xml:space="preserve"> Technology Group. </w:t>
      </w:r>
    </w:p>
    <w:p w14:paraId="58EF688B" w14:textId="77777777" w:rsidR="00070B29" w:rsidRDefault="00070B29" w:rsidP="00070B29">
      <w:pPr>
        <w:spacing w:line="312" w:lineRule="auto"/>
        <w:jc w:val="both"/>
        <w:rPr>
          <w:rFonts w:ascii="Verdana" w:eastAsia="Verdana" w:hAnsi="Verdana" w:cs="Verdana"/>
          <w:sz w:val="20"/>
          <w:szCs w:val="20"/>
        </w:rPr>
      </w:pPr>
      <w:r w:rsidRPr="7D2CF2B6">
        <w:rPr>
          <w:rFonts w:ascii="Verdana" w:eastAsia="Verdana" w:hAnsi="Verdana" w:cs="Verdana"/>
          <w:sz w:val="20"/>
          <w:szCs w:val="20"/>
        </w:rPr>
        <w:t xml:space="preserve">For more information, </w:t>
      </w:r>
      <w:hyperlink r:id="rId11">
        <w:r w:rsidRPr="7D2CF2B6">
          <w:rPr>
            <w:rStyle w:val="Hipervnculo"/>
            <w:rFonts w:ascii="Verdana" w:eastAsia="Verdana" w:hAnsi="Verdana" w:cs="Verdana"/>
            <w:sz w:val="20"/>
            <w:szCs w:val="20"/>
          </w:rPr>
          <w:t>www.koerber-supplychain.com</w:t>
        </w:r>
      </w:hyperlink>
    </w:p>
    <w:sectPr w:rsidR="00070B29">
      <w:head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CBDF" w14:textId="77777777" w:rsidR="005D03A5" w:rsidRDefault="005D03A5" w:rsidP="00BB56E7">
      <w:pPr>
        <w:spacing w:after="0" w:line="240" w:lineRule="auto"/>
      </w:pPr>
      <w:r>
        <w:separator/>
      </w:r>
    </w:p>
  </w:endnote>
  <w:endnote w:type="continuationSeparator" w:id="0">
    <w:p w14:paraId="028436A5" w14:textId="77777777" w:rsidR="005D03A5" w:rsidRDefault="005D03A5" w:rsidP="00BB5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A8971" w14:textId="77777777" w:rsidR="005D03A5" w:rsidRDefault="005D03A5" w:rsidP="00BB56E7">
      <w:pPr>
        <w:spacing w:after="0" w:line="240" w:lineRule="auto"/>
      </w:pPr>
      <w:r>
        <w:separator/>
      </w:r>
    </w:p>
  </w:footnote>
  <w:footnote w:type="continuationSeparator" w:id="0">
    <w:p w14:paraId="3290D609" w14:textId="77777777" w:rsidR="005D03A5" w:rsidRDefault="005D03A5" w:rsidP="00BB5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22EA" w14:textId="5B78F890" w:rsidR="00BB56E7" w:rsidRDefault="001B73AE">
    <w:pPr>
      <w:pStyle w:val="Encabezado"/>
    </w:pPr>
    <w:r>
      <w:rPr>
        <w:noProof/>
      </w:rPr>
      <w:drawing>
        <wp:anchor distT="0" distB="0" distL="114300" distR="114300" simplePos="0" relativeHeight="251659264" behindDoc="0" locked="0" layoutInCell="1" allowOverlap="1" wp14:anchorId="0D9B6802" wp14:editId="78A3D411">
          <wp:simplePos x="0" y="0"/>
          <wp:positionH relativeFrom="margin">
            <wp:posOffset>4429125</wp:posOffset>
          </wp:positionH>
          <wp:positionV relativeFrom="margin">
            <wp:posOffset>-552450</wp:posOffset>
          </wp:positionV>
          <wp:extent cx="1428750" cy="542925"/>
          <wp:effectExtent l="0" t="0" r="0" b="9525"/>
          <wp:wrapSquare wrapText="bothSides"/>
          <wp:docPr id="1589645387" name="Imagen 158964538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645387" name="Imagen 1589645387" descr="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28750" cy="542925"/>
                  </a:xfrm>
                  <a:prstGeom prst="rect">
                    <a:avLst/>
                  </a:prstGeom>
                </pic:spPr>
              </pic:pic>
            </a:graphicData>
          </a:graphic>
        </wp:anchor>
      </w:drawing>
    </w:r>
    <w:r w:rsidR="00BB56E7">
      <w:rPr>
        <w:noProof/>
      </w:rPr>
      <w:drawing>
        <wp:inline distT="0" distB="0" distL="0" distR="0" wp14:anchorId="15D63321" wp14:editId="7594D8B9">
          <wp:extent cx="1132940" cy="666750"/>
          <wp:effectExtent l="0" t="0" r="0" b="0"/>
          <wp:docPr id="1" name="Grafik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Imagen que contiene Form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152532" cy="67828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j7vQfy2W4FAsSH" int2:id="ewzDpRdL">
      <int2:state int2:value="Rejected" int2:type="AugLoop_Text_Critique"/>
    </int2:textHash>
    <int2:textHash int2:hashCode="W0AJUYs3+pOMJC" int2:id="HIJAnBem">
      <int2:state int2:value="Rejected" int2:type="AugLoop_Text_Critique"/>
    </int2:textHash>
    <int2:textHash int2:hashCode="3nPqwMMFA48EN7" int2:id="E2evBhbG">
      <int2:state int2:value="Rejected" int2:type="AugLoop_Text_Critique"/>
    </int2:textHash>
    <int2:textHash int2:hashCode="UquGqHIUpFPZ+C" int2:id="MvEARUZN">
      <int2:state int2:value="Rejected" int2:type="AugLoop_Text_Critique"/>
    </int2:textHash>
    <int2:textHash int2:hashCode="2K4Iiu6Wk3G/Tt" int2:id="8ueRXfKV">
      <int2:state int2:value="Rejected" int2:type="AugLoop_Text_Critique"/>
    </int2:textHash>
    <int2:textHash int2:hashCode="N51s6ZqKlacJar" int2:id="BFHltWT7">
      <int2:state int2:value="Rejected" int2:type="AugLoop_Text_Critique"/>
    </int2:textHash>
    <int2:textHash int2:hashCode="Q3Sq7iR/sjfObJ" int2:id="0pwTR9vn">
      <int2:state int2:value="Rejected" int2:type="AugLoop_Text_Critique"/>
    </int2:textHash>
    <int2:textHash int2:hashCode="n982x5g1GJqaBL" int2:id="jB9RpRiI">
      <int2:state int2:value="Rejected" int2:type="AugLoop_Text_Critique"/>
    </int2:textHash>
    <int2:textHash int2:hashCode="USiNFAUowtXAVl" int2:id="OWGxfJxU">
      <int2:state int2:value="Rejected" int2:type="AugLoop_Text_Critique"/>
    </int2:textHash>
    <int2:textHash int2:hashCode="cbIRYf+h5lFrzA" int2:id="gszwsVsn">
      <int2:state int2:value="Rejected" int2:type="AugLoop_Text_Critique"/>
    </int2:textHash>
    <int2:textHash int2:hashCode="vTQ6RQCQf2J9Ff" int2:id="8OHDJCrv">
      <int2:state int2:value="Rejected" int2:type="AugLoop_Text_Critique"/>
    </int2:textHash>
    <int2:textHash int2:hashCode="u8zfLvsztS5snQ" int2:id="cU1EnRhS">
      <int2:state int2:value="Rejected" int2:type="AugLoop_Text_Critique"/>
    </int2:textHash>
    <int2:textHash int2:hashCode="MPehbFGjV0HSNf" int2:id="2HJXJ7uV">
      <int2:state int2:value="Rejected" int2:type="AugLoop_Text_Critique"/>
    </int2:textHash>
    <int2:textHash int2:hashCode="+AOyY4g2XjMYTV" int2:id="ugKLWvsP">
      <int2:state int2:value="Rejected" int2:type="AugLoop_Text_Critique"/>
    </int2:textHash>
    <int2:textHash int2:hashCode="3gT6Din5s14kkF" int2:id="3o40ykZS">
      <int2:state int2:value="Rejected" int2:type="AugLoop_Text_Critique"/>
    </int2:textHash>
    <int2:textHash int2:hashCode="N6UwGojaM03Fr8" int2:id="NDNKnXTI">
      <int2:state int2:value="Rejected" int2:type="AugLoop_Text_Critique"/>
    </int2:textHash>
    <int2:textHash int2:hashCode="mI65m2XFueWbLc" int2:id="ELFqsMzE">
      <int2:state int2:value="Rejected" int2:type="AugLoop_Text_Critique"/>
    </int2:textHash>
    <int2:textHash int2:hashCode="/T6OJQV+PH2Tvt" int2:id="whGEbC6V">
      <int2:state int2:value="Rejected" int2:type="AugLoop_Text_Critique"/>
    </int2:textHash>
    <int2:textHash int2:hashCode="c5HhFoHn82wrJU" int2:id="BokywI3V">
      <int2:state int2:value="Rejected" int2:type="AugLoop_Text_Critique"/>
    </int2:textHash>
    <int2:textHash int2:hashCode="+PWMGHlKgOJyID" int2:id="L8h1b6L4">
      <int2:state int2:value="Rejected" int2:type="AugLoop_Text_Critique"/>
    </int2:textHash>
    <int2:bookmark int2:bookmarkName="_Int_bZvSpGtQ" int2:invalidationBookmarkName="" int2:hashCode="94tQPxbYWp79G+" int2:id="3VotB2uc">
      <int2:state int2:value="Rejected" int2:type="AugLoop_Text_Critique"/>
    </int2:bookmark>
    <int2:bookmark int2:bookmarkName="_Int_OCjhTvlx" int2:invalidationBookmarkName="" int2:hashCode="sqe9p3n6KGziVa" int2:id="AZH2HHJs">
      <int2:state int2:value="Rejected" int2:type="AugLoop_Text_Critique"/>
    </int2:bookmark>
    <int2:bookmark int2:bookmarkName="_Int_MXCatIc9" int2:invalidationBookmarkName="" int2:hashCode="XxoEGhc+sB9K1M" int2:id="gQ2nXBTm">
      <int2:state int2:value="Rejected" int2:type="AugLoop_Text_Critique"/>
    </int2:bookmark>
    <int2:bookmark int2:bookmarkName="_Int_SRMkTPub" int2:invalidationBookmarkName="" int2:hashCode="Tyaur9sjZ2IKOT" int2:id="kMXxDLrZ">
      <int2:state int2:value="Rejected" int2:type="AugLoop_Text_Critique"/>
    </int2:bookmark>
    <int2:bookmark int2:bookmarkName="_Int_Eeiu3900" int2:invalidationBookmarkName="" int2:hashCode="EqRHtr2mYR8coP" int2:id="lfudGva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FC0CE"/>
    <w:multiLevelType w:val="hybridMultilevel"/>
    <w:tmpl w:val="30E896E0"/>
    <w:lvl w:ilvl="0" w:tplc="96D29512">
      <w:start w:val="1"/>
      <w:numFmt w:val="bullet"/>
      <w:lvlText w:val=""/>
      <w:lvlJc w:val="left"/>
      <w:pPr>
        <w:ind w:left="720" w:hanging="360"/>
      </w:pPr>
      <w:rPr>
        <w:rFonts w:ascii="Symbol" w:hAnsi="Symbol" w:hint="default"/>
      </w:rPr>
    </w:lvl>
    <w:lvl w:ilvl="1" w:tplc="787833D4">
      <w:start w:val="1"/>
      <w:numFmt w:val="bullet"/>
      <w:lvlText w:val="o"/>
      <w:lvlJc w:val="left"/>
      <w:pPr>
        <w:ind w:left="1440" w:hanging="360"/>
      </w:pPr>
      <w:rPr>
        <w:rFonts w:ascii="Courier New" w:hAnsi="Courier New" w:hint="default"/>
      </w:rPr>
    </w:lvl>
    <w:lvl w:ilvl="2" w:tplc="95BCDBA0">
      <w:start w:val="1"/>
      <w:numFmt w:val="bullet"/>
      <w:lvlText w:val=""/>
      <w:lvlJc w:val="left"/>
      <w:pPr>
        <w:ind w:left="2160" w:hanging="360"/>
      </w:pPr>
      <w:rPr>
        <w:rFonts w:ascii="Wingdings" w:hAnsi="Wingdings" w:hint="default"/>
      </w:rPr>
    </w:lvl>
    <w:lvl w:ilvl="3" w:tplc="2AEC1AE2">
      <w:start w:val="1"/>
      <w:numFmt w:val="bullet"/>
      <w:lvlText w:val=""/>
      <w:lvlJc w:val="left"/>
      <w:pPr>
        <w:ind w:left="2880" w:hanging="360"/>
      </w:pPr>
      <w:rPr>
        <w:rFonts w:ascii="Symbol" w:hAnsi="Symbol" w:hint="default"/>
      </w:rPr>
    </w:lvl>
    <w:lvl w:ilvl="4" w:tplc="BD027B1A">
      <w:start w:val="1"/>
      <w:numFmt w:val="bullet"/>
      <w:lvlText w:val="o"/>
      <w:lvlJc w:val="left"/>
      <w:pPr>
        <w:ind w:left="3600" w:hanging="360"/>
      </w:pPr>
      <w:rPr>
        <w:rFonts w:ascii="Courier New" w:hAnsi="Courier New" w:hint="default"/>
      </w:rPr>
    </w:lvl>
    <w:lvl w:ilvl="5" w:tplc="F85EE368">
      <w:start w:val="1"/>
      <w:numFmt w:val="bullet"/>
      <w:lvlText w:val=""/>
      <w:lvlJc w:val="left"/>
      <w:pPr>
        <w:ind w:left="4320" w:hanging="360"/>
      </w:pPr>
      <w:rPr>
        <w:rFonts w:ascii="Wingdings" w:hAnsi="Wingdings" w:hint="default"/>
      </w:rPr>
    </w:lvl>
    <w:lvl w:ilvl="6" w:tplc="9C3E6A3C">
      <w:start w:val="1"/>
      <w:numFmt w:val="bullet"/>
      <w:lvlText w:val=""/>
      <w:lvlJc w:val="left"/>
      <w:pPr>
        <w:ind w:left="5040" w:hanging="360"/>
      </w:pPr>
      <w:rPr>
        <w:rFonts w:ascii="Symbol" w:hAnsi="Symbol" w:hint="default"/>
      </w:rPr>
    </w:lvl>
    <w:lvl w:ilvl="7" w:tplc="19123206">
      <w:start w:val="1"/>
      <w:numFmt w:val="bullet"/>
      <w:lvlText w:val="o"/>
      <w:lvlJc w:val="left"/>
      <w:pPr>
        <w:ind w:left="5760" w:hanging="360"/>
      </w:pPr>
      <w:rPr>
        <w:rFonts w:ascii="Courier New" w:hAnsi="Courier New" w:hint="default"/>
      </w:rPr>
    </w:lvl>
    <w:lvl w:ilvl="8" w:tplc="81BA2A70">
      <w:start w:val="1"/>
      <w:numFmt w:val="bullet"/>
      <w:lvlText w:val=""/>
      <w:lvlJc w:val="left"/>
      <w:pPr>
        <w:ind w:left="6480" w:hanging="360"/>
      </w:pPr>
      <w:rPr>
        <w:rFonts w:ascii="Wingdings" w:hAnsi="Wingdings" w:hint="default"/>
      </w:rPr>
    </w:lvl>
  </w:abstractNum>
  <w:num w:numId="1" w16cid:durableId="1760756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621A3C"/>
    <w:rsid w:val="00055610"/>
    <w:rsid w:val="00070B29"/>
    <w:rsid w:val="001B73AE"/>
    <w:rsid w:val="00327612"/>
    <w:rsid w:val="003B5DAE"/>
    <w:rsid w:val="0054411B"/>
    <w:rsid w:val="005D03A5"/>
    <w:rsid w:val="005E2097"/>
    <w:rsid w:val="0089680F"/>
    <w:rsid w:val="00B20461"/>
    <w:rsid w:val="00BB56E7"/>
    <w:rsid w:val="00CA06AA"/>
    <w:rsid w:val="00FE2B81"/>
    <w:rsid w:val="00FF0B6F"/>
    <w:rsid w:val="028826A9"/>
    <w:rsid w:val="04D079E4"/>
    <w:rsid w:val="0AA24856"/>
    <w:rsid w:val="0E61ABE7"/>
    <w:rsid w:val="0EC3F918"/>
    <w:rsid w:val="0FAA5FC5"/>
    <w:rsid w:val="18088E2D"/>
    <w:rsid w:val="1A105EB2"/>
    <w:rsid w:val="1BAC2F13"/>
    <w:rsid w:val="2488289B"/>
    <w:rsid w:val="2788E617"/>
    <w:rsid w:val="285F1FF7"/>
    <w:rsid w:val="2F688E11"/>
    <w:rsid w:val="314D8346"/>
    <w:rsid w:val="3EDA1BAB"/>
    <w:rsid w:val="430764F7"/>
    <w:rsid w:val="45BCCC08"/>
    <w:rsid w:val="4914594A"/>
    <w:rsid w:val="4B621A3C"/>
    <w:rsid w:val="52BB3B90"/>
    <w:rsid w:val="5B19253C"/>
    <w:rsid w:val="622951EC"/>
    <w:rsid w:val="63ABF9F0"/>
    <w:rsid w:val="678B9E61"/>
    <w:rsid w:val="6E6ED74E"/>
    <w:rsid w:val="700DD975"/>
    <w:rsid w:val="7A394CC4"/>
    <w:rsid w:val="7D2CF2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1A3C"/>
  <w15:chartTrackingRefBased/>
  <w15:docId w15:val="{FACB369F-7A0A-4707-96C3-934ABBEF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D2CF2B6"/>
    <w:rPr>
      <w:lang w:val="en-GB"/>
    </w:rPr>
  </w:style>
  <w:style w:type="paragraph" w:styleId="Ttulo1">
    <w:name w:val="heading 1"/>
    <w:basedOn w:val="Normal"/>
    <w:next w:val="Normal"/>
    <w:uiPriority w:val="9"/>
    <w:qFormat/>
    <w:rsid w:val="7D2CF2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unhideWhenUsed/>
    <w:qFormat/>
    <w:rsid w:val="7D2CF2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unhideWhenUsed/>
    <w:qFormat/>
    <w:rsid w:val="7D2CF2B6"/>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uiPriority w:val="9"/>
    <w:unhideWhenUsed/>
    <w:qFormat/>
    <w:rsid w:val="7D2CF2B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unhideWhenUsed/>
    <w:qFormat/>
    <w:rsid w:val="7D2CF2B6"/>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uiPriority w:val="9"/>
    <w:unhideWhenUsed/>
    <w:qFormat/>
    <w:rsid w:val="7D2CF2B6"/>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uiPriority w:val="9"/>
    <w:unhideWhenUsed/>
    <w:qFormat/>
    <w:rsid w:val="7D2CF2B6"/>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uiPriority w:val="9"/>
    <w:unhideWhenUsed/>
    <w:qFormat/>
    <w:rsid w:val="7D2CF2B6"/>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uiPriority w:val="9"/>
    <w:unhideWhenUsed/>
    <w:qFormat/>
    <w:rsid w:val="7D2CF2B6"/>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rsid w:val="7D2CF2B6"/>
    <w:pPr>
      <w:spacing w:after="0" w:line="240" w:lineRule="auto"/>
      <w:contextualSpacing/>
    </w:pPr>
    <w:rPr>
      <w:rFonts w:asciiTheme="majorHAnsi" w:eastAsiaTheme="majorEastAsia" w:hAnsiTheme="majorHAnsi" w:cstheme="majorBidi"/>
      <w:sz w:val="56"/>
      <w:szCs w:val="56"/>
    </w:rPr>
  </w:style>
  <w:style w:type="paragraph" w:styleId="Subttulo">
    <w:name w:val="Subtitle"/>
    <w:basedOn w:val="Normal"/>
    <w:next w:val="Normal"/>
    <w:uiPriority w:val="11"/>
    <w:qFormat/>
    <w:rsid w:val="7D2CF2B6"/>
    <w:rPr>
      <w:rFonts w:eastAsiaTheme="minorEastAsia"/>
      <w:color w:val="5A5A5A"/>
    </w:rPr>
  </w:style>
  <w:style w:type="paragraph" w:styleId="Cita">
    <w:name w:val="Quote"/>
    <w:basedOn w:val="Normal"/>
    <w:next w:val="Normal"/>
    <w:uiPriority w:val="29"/>
    <w:qFormat/>
    <w:rsid w:val="7D2CF2B6"/>
    <w:pPr>
      <w:spacing w:before="200"/>
      <w:ind w:left="864" w:right="864"/>
      <w:jc w:val="center"/>
    </w:pPr>
    <w:rPr>
      <w:i/>
      <w:iCs/>
      <w:color w:val="404040" w:themeColor="text1" w:themeTint="BF"/>
    </w:rPr>
  </w:style>
  <w:style w:type="paragraph" w:styleId="Citadestacada">
    <w:name w:val="Intense Quote"/>
    <w:basedOn w:val="Normal"/>
    <w:next w:val="Normal"/>
    <w:uiPriority w:val="30"/>
    <w:qFormat/>
    <w:rsid w:val="7D2CF2B6"/>
    <w:pPr>
      <w:spacing w:before="360" w:after="360"/>
      <w:ind w:left="864" w:right="864"/>
      <w:jc w:val="center"/>
    </w:pPr>
    <w:rPr>
      <w:i/>
      <w:iCs/>
      <w:color w:val="4472C4" w:themeColor="accent1"/>
    </w:rPr>
  </w:style>
  <w:style w:type="paragraph" w:styleId="Prrafodelista">
    <w:name w:val="List Paragraph"/>
    <w:basedOn w:val="Normal"/>
    <w:uiPriority w:val="34"/>
    <w:qFormat/>
    <w:rsid w:val="7D2CF2B6"/>
    <w:pPr>
      <w:ind w:left="720"/>
      <w:contextualSpacing/>
    </w:pPr>
  </w:style>
  <w:style w:type="paragraph" w:styleId="TDC1">
    <w:name w:val="toc 1"/>
    <w:basedOn w:val="Normal"/>
    <w:next w:val="Normal"/>
    <w:uiPriority w:val="39"/>
    <w:unhideWhenUsed/>
    <w:rsid w:val="7D2CF2B6"/>
    <w:pPr>
      <w:spacing w:after="100"/>
    </w:pPr>
  </w:style>
  <w:style w:type="paragraph" w:styleId="TDC2">
    <w:name w:val="toc 2"/>
    <w:basedOn w:val="Normal"/>
    <w:next w:val="Normal"/>
    <w:uiPriority w:val="39"/>
    <w:unhideWhenUsed/>
    <w:rsid w:val="7D2CF2B6"/>
    <w:pPr>
      <w:spacing w:after="100"/>
      <w:ind w:left="220"/>
    </w:pPr>
  </w:style>
  <w:style w:type="paragraph" w:styleId="TDC3">
    <w:name w:val="toc 3"/>
    <w:basedOn w:val="Normal"/>
    <w:next w:val="Normal"/>
    <w:uiPriority w:val="39"/>
    <w:unhideWhenUsed/>
    <w:rsid w:val="7D2CF2B6"/>
    <w:pPr>
      <w:spacing w:after="100"/>
      <w:ind w:left="440"/>
    </w:pPr>
  </w:style>
  <w:style w:type="paragraph" w:styleId="TDC4">
    <w:name w:val="toc 4"/>
    <w:basedOn w:val="Normal"/>
    <w:next w:val="Normal"/>
    <w:uiPriority w:val="39"/>
    <w:unhideWhenUsed/>
    <w:rsid w:val="7D2CF2B6"/>
    <w:pPr>
      <w:spacing w:after="100"/>
      <w:ind w:left="660"/>
    </w:pPr>
  </w:style>
  <w:style w:type="paragraph" w:styleId="TDC5">
    <w:name w:val="toc 5"/>
    <w:basedOn w:val="Normal"/>
    <w:next w:val="Normal"/>
    <w:uiPriority w:val="39"/>
    <w:unhideWhenUsed/>
    <w:rsid w:val="7D2CF2B6"/>
    <w:pPr>
      <w:spacing w:after="100"/>
      <w:ind w:left="880"/>
    </w:pPr>
  </w:style>
  <w:style w:type="paragraph" w:styleId="TDC6">
    <w:name w:val="toc 6"/>
    <w:basedOn w:val="Normal"/>
    <w:next w:val="Normal"/>
    <w:uiPriority w:val="39"/>
    <w:unhideWhenUsed/>
    <w:rsid w:val="7D2CF2B6"/>
    <w:pPr>
      <w:spacing w:after="100"/>
      <w:ind w:left="1100"/>
    </w:pPr>
  </w:style>
  <w:style w:type="paragraph" w:styleId="TDC7">
    <w:name w:val="toc 7"/>
    <w:basedOn w:val="Normal"/>
    <w:next w:val="Normal"/>
    <w:uiPriority w:val="39"/>
    <w:unhideWhenUsed/>
    <w:rsid w:val="7D2CF2B6"/>
    <w:pPr>
      <w:spacing w:after="100"/>
      <w:ind w:left="1320"/>
    </w:pPr>
  </w:style>
  <w:style w:type="paragraph" w:styleId="TDC8">
    <w:name w:val="toc 8"/>
    <w:basedOn w:val="Normal"/>
    <w:next w:val="Normal"/>
    <w:uiPriority w:val="39"/>
    <w:unhideWhenUsed/>
    <w:rsid w:val="7D2CF2B6"/>
    <w:pPr>
      <w:spacing w:after="100"/>
      <w:ind w:left="1540"/>
    </w:pPr>
  </w:style>
  <w:style w:type="paragraph" w:styleId="TDC9">
    <w:name w:val="toc 9"/>
    <w:basedOn w:val="Normal"/>
    <w:next w:val="Normal"/>
    <w:uiPriority w:val="39"/>
    <w:unhideWhenUsed/>
    <w:rsid w:val="7D2CF2B6"/>
    <w:pPr>
      <w:spacing w:after="100"/>
      <w:ind w:left="1760"/>
    </w:pPr>
  </w:style>
  <w:style w:type="paragraph" w:styleId="Textonotaalfinal">
    <w:name w:val="endnote text"/>
    <w:basedOn w:val="Normal"/>
    <w:uiPriority w:val="99"/>
    <w:semiHidden/>
    <w:unhideWhenUsed/>
    <w:rsid w:val="7D2CF2B6"/>
    <w:pPr>
      <w:spacing w:after="0" w:line="240" w:lineRule="auto"/>
    </w:pPr>
    <w:rPr>
      <w:sz w:val="20"/>
      <w:szCs w:val="20"/>
    </w:rPr>
  </w:style>
  <w:style w:type="paragraph" w:styleId="Piedepgina">
    <w:name w:val="footer"/>
    <w:basedOn w:val="Normal"/>
    <w:uiPriority w:val="99"/>
    <w:unhideWhenUsed/>
    <w:rsid w:val="7D2CF2B6"/>
    <w:pPr>
      <w:tabs>
        <w:tab w:val="center" w:pos="4680"/>
        <w:tab w:val="right" w:pos="9360"/>
      </w:tabs>
      <w:spacing w:after="0" w:line="240" w:lineRule="auto"/>
    </w:pPr>
  </w:style>
  <w:style w:type="paragraph" w:styleId="Textonotapie">
    <w:name w:val="footnote text"/>
    <w:basedOn w:val="Normal"/>
    <w:uiPriority w:val="99"/>
    <w:semiHidden/>
    <w:unhideWhenUsed/>
    <w:rsid w:val="7D2CF2B6"/>
    <w:pPr>
      <w:spacing w:after="0" w:line="240" w:lineRule="auto"/>
    </w:pPr>
    <w:rPr>
      <w:sz w:val="20"/>
      <w:szCs w:val="20"/>
    </w:rPr>
  </w:style>
  <w:style w:type="paragraph" w:styleId="Encabezado">
    <w:name w:val="header"/>
    <w:basedOn w:val="Normal"/>
    <w:uiPriority w:val="99"/>
    <w:unhideWhenUsed/>
    <w:rsid w:val="7D2CF2B6"/>
    <w:pPr>
      <w:tabs>
        <w:tab w:val="center" w:pos="4680"/>
        <w:tab w:val="right" w:pos="9360"/>
      </w:tabs>
      <w:spacing w:after="0" w:line="240" w:lineRule="auto"/>
    </w:pPr>
  </w:style>
  <w:style w:type="character" w:styleId="Hipervnculo">
    <w:name w:val="Hyperlink"/>
    <w:basedOn w:val="Fuentedeprrafopredeter"/>
    <w:uiPriority w:val="99"/>
    <w:unhideWhenUsed/>
    <w:rPr>
      <w:color w:val="0563C1" w:themeColor="hyperlink"/>
      <w:u w:val="single"/>
    </w:rPr>
  </w:style>
  <w:style w:type="paragraph" w:styleId="Revisin">
    <w:name w:val="Revision"/>
    <w:hidden/>
    <w:uiPriority w:val="99"/>
    <w:semiHidden/>
    <w:rsid w:val="00FE2B81"/>
    <w:pPr>
      <w:spacing w:after="0" w:line="240" w:lineRule="auto"/>
    </w:pPr>
    <w:rPr>
      <w:lang w:val="en-GB"/>
    </w:rPr>
  </w:style>
  <w:style w:type="character" w:styleId="Refdecomentario">
    <w:name w:val="annotation reference"/>
    <w:basedOn w:val="Fuentedeprrafopredeter"/>
    <w:uiPriority w:val="99"/>
    <w:semiHidden/>
    <w:unhideWhenUsed/>
    <w:rsid w:val="00FE2B81"/>
    <w:rPr>
      <w:sz w:val="16"/>
      <w:szCs w:val="16"/>
    </w:rPr>
  </w:style>
  <w:style w:type="paragraph" w:styleId="Textocomentario">
    <w:name w:val="annotation text"/>
    <w:basedOn w:val="Normal"/>
    <w:link w:val="TextocomentarioCar"/>
    <w:uiPriority w:val="99"/>
    <w:semiHidden/>
    <w:unhideWhenUsed/>
    <w:rsid w:val="00FE2B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2B81"/>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FE2B81"/>
    <w:rPr>
      <w:b/>
      <w:bCs/>
    </w:rPr>
  </w:style>
  <w:style w:type="character" w:customStyle="1" w:styleId="AsuntodelcomentarioCar">
    <w:name w:val="Asunto del comentario Car"/>
    <w:basedOn w:val="TextocomentarioCar"/>
    <w:link w:val="Asuntodelcomentario"/>
    <w:uiPriority w:val="99"/>
    <w:semiHidden/>
    <w:rsid w:val="00FE2B81"/>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oerber-supplychain.com"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www.gls-spai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C8F7A1D6F75141B45178DCB4C328BA" ma:contentTypeVersion="18" ma:contentTypeDescription="Crea un document nou" ma:contentTypeScope="" ma:versionID="e4c13a5da24b2ee47a12705448c2856f">
  <xsd:schema xmlns:xsd="http://www.w3.org/2001/XMLSchema" xmlns:xs="http://www.w3.org/2001/XMLSchema" xmlns:p="http://schemas.microsoft.com/office/2006/metadata/properties" xmlns:ns2="9d9e4fdd-9e90-4425-8fa4-9a318ad1f544" xmlns:ns3="80b03f5a-1b3c-449c-9b43-a9017fd5a9e9" targetNamespace="http://schemas.microsoft.com/office/2006/metadata/properties" ma:root="true" ma:fieldsID="2d579f83c8a7a37ebf4a91c27f913ad7" ns2:_="" ns3:_="">
    <xsd:import namespace="9d9e4fdd-9e90-4425-8fa4-9a318ad1f544"/>
    <xsd:import namespace="80b03f5a-1b3c-449c-9b43-a9017fd5a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e4fdd-9e90-4425-8fa4-9a318ad1f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fd58a1b0-536b-43d6-82ba-629be717b7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b03f5a-1b3c-449c-9b43-a9017fd5a9e9"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3352c080-9cef-4dbf-8733-c14355187415}" ma:internalName="TaxCatchAll" ma:showField="CatchAllData" ma:web="80b03f5a-1b3c-449c-9b43-a9017fd5a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0b03f5a-1b3c-449c-9b43-a9017fd5a9e9" xsi:nil="true"/>
    <lcf76f155ced4ddcb4097134ff3c332f xmlns="9d9e4fdd-9e90-4425-8fa4-9a318ad1f5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C67B56-B9FE-4F60-B9F6-1D316108D538}">
  <ds:schemaRefs>
    <ds:schemaRef ds:uri="http://schemas.microsoft.com/sharepoint/v3/contenttype/forms"/>
  </ds:schemaRefs>
</ds:datastoreItem>
</file>

<file path=customXml/itemProps2.xml><?xml version="1.0" encoding="utf-8"?>
<ds:datastoreItem xmlns:ds="http://schemas.openxmlformats.org/officeDocument/2006/customXml" ds:itemID="{722DA115-FD0E-4124-B758-1B50DD07A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e4fdd-9e90-4425-8fa4-9a318ad1f544"/>
    <ds:schemaRef ds:uri="80b03f5a-1b3c-449c-9b43-a9017fd5a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F9722-4569-4294-B0D7-4A3116567172}">
  <ds:schemaRefs>
    <ds:schemaRef ds:uri="http://schemas.microsoft.com/office/2006/metadata/properties"/>
    <ds:schemaRef ds:uri="http://schemas.microsoft.com/office/infopath/2007/PartnerControls"/>
    <ds:schemaRef ds:uri="80b03f5a-1b3c-449c-9b43-a9017fd5a9e9"/>
    <ds:schemaRef ds:uri="9d9e4fdd-9e90-4425-8fa4-9a318ad1f544"/>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783</Words>
  <Characters>4312</Characters>
  <Application>Microsoft Office Word</Application>
  <DocSecurity>0</DocSecurity>
  <Lines>35</Lines>
  <Paragraphs>10</Paragraphs>
  <ScaleCrop>false</ScaleCrop>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Sananton Perez</dc:creator>
  <cp:keywords/>
  <dc:description/>
  <cp:lastModifiedBy>Sara Navarrete</cp:lastModifiedBy>
  <cp:revision>9</cp:revision>
  <dcterms:created xsi:type="dcterms:W3CDTF">2024-03-20T15:46:00Z</dcterms:created>
  <dcterms:modified xsi:type="dcterms:W3CDTF">2024-03-20T16:04:00Z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0x01010039C8F7A1D6F75141B45178DCB4C328BA</vt:lpwstr>
  </property>
</Properties>
</file>