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546D" w14:textId="0DD758D9" w:rsidR="00EB6A74" w:rsidRDefault="00BC269B" w:rsidP="00B17C18">
      <w:pPr>
        <w:jc w:val="center"/>
      </w:pPr>
      <w:r>
        <w:rPr>
          <w:noProof/>
          <w:highlight w:val="yellow"/>
        </w:rPr>
        <w:pict w14:anchorId="77216BDC">
          <v:rect id="_x0000_s1051" style="position:absolute;left:0;text-align:left;margin-left:-53.25pt;margin-top:-102.15pt;width:578.25pt;height:29.95pt;z-index:251663360;mso-position-horizontal-relative:text;mso-position-vertical-relative:text" fillcolor="#1f497d [3215]" strokecolor="black [3200]" strokeweight="1pt">
            <v:fill color2="black [3200]"/>
            <v:shadow on="t" type="perspective" color="#7f7f7f [1601]" offset="1pt" offset2="-3pt"/>
            <v:textbox style="mso-next-textbox:#_x0000_s1051">
              <w:txbxContent>
                <w:p w14:paraId="7133BB8E" w14:textId="77777777" w:rsidR="004744E9" w:rsidRDefault="00491C8A" w:rsidP="004744E9">
                  <w:pPr>
                    <w:jc w:val="center"/>
                    <w:rPr>
                      <w:rFonts w:ascii="MS Reference Sans Serif" w:hAnsi="MS Reference Sans Serif" w:cs="Microsoft Sans Serif"/>
                      <w:smallCaps/>
                      <w:color w:val="FFFFFF" w:themeColor="background1"/>
                      <w:sz w:val="40"/>
                      <w:szCs w:val="40"/>
                    </w:rPr>
                  </w:pPr>
                  <w:r>
                    <w:rPr>
                      <w:rFonts w:ascii="MS Reference Sans Serif" w:hAnsi="MS Reference Sans Serif" w:cs="Microsoft Sans Serif"/>
                      <w:smallCaps/>
                      <w:color w:val="FFFFFF" w:themeColor="background1"/>
                      <w:sz w:val="40"/>
                      <w:szCs w:val="40"/>
                    </w:rPr>
                    <w:t>Financial Certification</w:t>
                  </w:r>
                </w:p>
                <w:p w14:paraId="68AF2973" w14:textId="77777777" w:rsidR="00491C8A" w:rsidRPr="00715DB7" w:rsidRDefault="00491C8A" w:rsidP="004744E9">
                  <w:pPr>
                    <w:jc w:val="center"/>
                    <w:rPr>
                      <w:rFonts w:ascii="MS Reference Sans Serif" w:hAnsi="MS Reference Sans Serif" w:cs="Microsoft Sans Serif"/>
                      <w:smallCaps/>
                      <w:color w:val="FFFFFF" w:themeColor="background1"/>
                      <w:sz w:val="40"/>
                      <w:szCs w:val="40"/>
                    </w:rPr>
                  </w:pPr>
                </w:p>
                <w:p w14:paraId="22D60C27" w14:textId="77777777" w:rsidR="004744E9" w:rsidRPr="00AB1282" w:rsidRDefault="004744E9" w:rsidP="004744E9">
                  <w:pPr>
                    <w:jc w:val="center"/>
                    <w:rPr>
                      <w:rFonts w:ascii="Century Schoolbook" w:hAnsi="Century Schoolbook"/>
                      <w:b/>
                      <w:smallCaps/>
                      <w:color w:val="FFFFFF" w:themeColor="background1"/>
                      <w:sz w:val="40"/>
                      <w:szCs w:val="40"/>
                    </w:rPr>
                  </w:pPr>
                </w:p>
              </w:txbxContent>
            </v:textbox>
          </v:rect>
        </w:pict>
      </w:r>
      <w:r w:rsidR="000871BE" w:rsidRPr="000871BE">
        <w:rPr>
          <w:noProof/>
          <w:highlight w:val="yellow"/>
        </w:rPr>
        <w:t>[YOUR ENTITY LETTERHEAD HERE]</w:t>
      </w:r>
    </w:p>
    <w:p w14:paraId="2299ADE5" w14:textId="77777777" w:rsidR="00EB6A74" w:rsidRDefault="00EB6A74" w:rsidP="00E06093">
      <w:pPr>
        <w:rPr>
          <w:sz w:val="24"/>
          <w:szCs w:val="24"/>
        </w:rPr>
      </w:pPr>
    </w:p>
    <w:p w14:paraId="0731F444" w14:textId="77777777" w:rsidR="00B17C18" w:rsidRDefault="00B17C18" w:rsidP="00491C8A">
      <w:pPr>
        <w:jc w:val="center"/>
        <w:rPr>
          <w:b/>
          <w:sz w:val="40"/>
          <w:szCs w:val="40"/>
        </w:rPr>
      </w:pPr>
    </w:p>
    <w:p w14:paraId="7CB0EAED" w14:textId="58E2BF0A" w:rsidR="00491C8A" w:rsidRPr="00D21129" w:rsidRDefault="000871BE" w:rsidP="00491C8A">
      <w:pPr>
        <w:jc w:val="center"/>
        <w:rPr>
          <w:b/>
          <w:sz w:val="40"/>
          <w:szCs w:val="40"/>
        </w:rPr>
      </w:pPr>
      <w:r w:rsidRPr="000871BE">
        <w:rPr>
          <w:b/>
          <w:sz w:val="40"/>
          <w:szCs w:val="40"/>
          <w:highlight w:val="yellow"/>
        </w:rPr>
        <w:t>[</w:t>
      </w:r>
      <w:r w:rsidR="00491C8A" w:rsidRPr="000871BE">
        <w:rPr>
          <w:b/>
          <w:sz w:val="40"/>
          <w:szCs w:val="40"/>
          <w:highlight w:val="yellow"/>
        </w:rPr>
        <w:t>Entity Name</w:t>
      </w:r>
      <w:r w:rsidRPr="000871BE">
        <w:rPr>
          <w:b/>
          <w:sz w:val="40"/>
          <w:szCs w:val="40"/>
          <w:highlight w:val="yellow"/>
        </w:rPr>
        <w:t>]</w:t>
      </w:r>
    </w:p>
    <w:p w14:paraId="2A3183E7" w14:textId="77777777" w:rsidR="00491C8A" w:rsidRDefault="00491C8A" w:rsidP="00491C8A">
      <w:pPr>
        <w:jc w:val="center"/>
        <w:rPr>
          <w:rFonts w:asciiTheme="majorHAnsi" w:hAnsiTheme="majorHAnsi"/>
          <w:sz w:val="24"/>
          <w:szCs w:val="24"/>
        </w:rPr>
      </w:pPr>
    </w:p>
    <w:p w14:paraId="489E0DDC" w14:textId="77777777" w:rsidR="00491C8A" w:rsidRDefault="00491C8A" w:rsidP="00491C8A">
      <w:pPr>
        <w:rPr>
          <w:rFonts w:asciiTheme="majorHAnsi" w:hAnsiTheme="majorHAnsi"/>
          <w:sz w:val="24"/>
          <w:szCs w:val="24"/>
        </w:rPr>
      </w:pPr>
    </w:p>
    <w:p w14:paraId="25156852" w14:textId="77777777" w:rsidR="0051703D" w:rsidRDefault="0051703D" w:rsidP="00491C8A">
      <w:pPr>
        <w:rPr>
          <w:rFonts w:asciiTheme="majorHAnsi" w:hAnsiTheme="majorHAnsi"/>
          <w:sz w:val="24"/>
          <w:szCs w:val="24"/>
        </w:rPr>
      </w:pPr>
    </w:p>
    <w:p w14:paraId="72867BB3" w14:textId="77777777" w:rsidR="00491C8A" w:rsidRDefault="00491C8A" w:rsidP="00491C8A">
      <w:pPr>
        <w:jc w:val="center"/>
        <w:rPr>
          <w:rFonts w:asciiTheme="majorHAnsi" w:hAnsiTheme="majorHAnsi"/>
          <w:sz w:val="24"/>
          <w:szCs w:val="24"/>
        </w:rPr>
      </w:pPr>
    </w:p>
    <w:p w14:paraId="571D5308" w14:textId="60DAFC52" w:rsidR="00491C8A" w:rsidRPr="00D21129" w:rsidRDefault="00532BB1" w:rsidP="00532BB1">
      <w:pPr>
        <w:rPr>
          <w:sz w:val="24"/>
          <w:szCs w:val="24"/>
        </w:rPr>
      </w:pPr>
      <w:r w:rsidRPr="00532BB1">
        <w:rPr>
          <w:sz w:val="24"/>
          <w:szCs w:val="24"/>
        </w:rPr>
        <w:t xml:space="preserve">Under penalty of perjury, I, </w:t>
      </w:r>
      <w:r w:rsidRPr="00532BB1">
        <w:rPr>
          <w:sz w:val="24"/>
          <w:szCs w:val="24"/>
          <w:highlight w:val="yellow"/>
        </w:rPr>
        <w:t>[officer name]</w:t>
      </w:r>
      <w:r w:rsidRPr="00532BB1">
        <w:rPr>
          <w:sz w:val="24"/>
          <w:szCs w:val="24"/>
        </w:rPr>
        <w:t xml:space="preserve"> and </w:t>
      </w:r>
      <w:r w:rsidRPr="00532BB1">
        <w:rPr>
          <w:sz w:val="24"/>
          <w:szCs w:val="24"/>
          <w:highlight w:val="yellow"/>
        </w:rPr>
        <w:t>[officer name]</w:t>
      </w:r>
      <w:r w:rsidRPr="00532BB1">
        <w:rPr>
          <w:sz w:val="24"/>
          <w:szCs w:val="24"/>
        </w:rPr>
        <w:t>, certify that:</w:t>
      </w:r>
      <w:r>
        <w:rPr>
          <w:sz w:val="24"/>
          <w:szCs w:val="24"/>
        </w:rPr>
        <w:t xml:space="preserve"> </w:t>
      </w:r>
      <w:r w:rsidRPr="00532BB1">
        <w:rPr>
          <w:sz w:val="24"/>
          <w:szCs w:val="24"/>
        </w:rPr>
        <w:t xml:space="preserve">I have reviewed the annual financial report of </w:t>
      </w:r>
      <w:r w:rsidRPr="00532BB1">
        <w:rPr>
          <w:sz w:val="24"/>
          <w:szCs w:val="24"/>
          <w:highlight w:val="yellow"/>
        </w:rPr>
        <w:t>[Entity Name]</w:t>
      </w:r>
      <w:r w:rsidRPr="00532BB1">
        <w:rPr>
          <w:sz w:val="24"/>
          <w:szCs w:val="24"/>
        </w:rPr>
        <w:t xml:space="preserve"> for the year </w:t>
      </w:r>
      <w:proofErr w:type="gramStart"/>
      <w:r w:rsidRPr="00532BB1">
        <w:rPr>
          <w:sz w:val="24"/>
          <w:szCs w:val="24"/>
        </w:rPr>
        <w:t>ended</w:t>
      </w:r>
      <w:proofErr w:type="gramEnd"/>
      <w:r w:rsidRPr="00532BB1">
        <w:rPr>
          <w:sz w:val="24"/>
          <w:szCs w:val="24"/>
        </w:rPr>
        <w:t xml:space="preserve"> </w:t>
      </w:r>
      <w:r w:rsidRPr="00532BB1">
        <w:rPr>
          <w:sz w:val="24"/>
          <w:szCs w:val="24"/>
          <w:highlight w:val="yellow"/>
        </w:rPr>
        <w:t>[year end date]</w:t>
      </w:r>
      <w:r w:rsidRPr="00532BB1">
        <w:rPr>
          <w:sz w:val="24"/>
          <w:szCs w:val="24"/>
        </w:rPr>
        <w:t xml:space="preserve">. Based on my knowledge, the annual report does not contain any untrue statement of material fact or omit to state a material fact that would cause the statements to mislead. Based on my knowledge, the financial statements, and other information provided to the Office of the State Auditor, fairly presents in all material respects the financial condition and results of operation of </w:t>
      </w:r>
      <w:r w:rsidRPr="00532BB1">
        <w:rPr>
          <w:sz w:val="24"/>
          <w:szCs w:val="24"/>
          <w:highlight w:val="yellow"/>
        </w:rPr>
        <w:t>[Entity Name]</w:t>
      </w:r>
      <w:r w:rsidRPr="00532BB1">
        <w:rPr>
          <w:sz w:val="24"/>
          <w:szCs w:val="24"/>
        </w:rPr>
        <w:t xml:space="preserve"> for the year ended </w:t>
      </w:r>
      <w:r w:rsidRPr="00532BB1">
        <w:rPr>
          <w:sz w:val="24"/>
          <w:szCs w:val="24"/>
          <w:highlight w:val="yellow"/>
        </w:rPr>
        <w:t>[year end date]</w:t>
      </w:r>
      <w:r w:rsidRPr="00532BB1">
        <w:rPr>
          <w:sz w:val="24"/>
          <w:szCs w:val="24"/>
        </w:rPr>
        <w:t xml:space="preserve">. The other certifying officer and I are responsible for the fair presentation of financial reports and for the design, implementation, and evaluation of the internal controls over financial reporting for </w:t>
      </w:r>
      <w:r w:rsidRPr="00532BB1">
        <w:rPr>
          <w:sz w:val="24"/>
          <w:szCs w:val="24"/>
          <w:highlight w:val="yellow"/>
        </w:rPr>
        <w:t>[Entity Name]</w:t>
      </w:r>
      <w:r w:rsidRPr="00532BB1">
        <w:rPr>
          <w:sz w:val="24"/>
          <w:szCs w:val="24"/>
        </w:rPr>
        <w:t>.</w:t>
      </w:r>
    </w:p>
    <w:p w14:paraId="1B073087" w14:textId="77777777" w:rsidR="00491C8A" w:rsidRPr="00D21129" w:rsidRDefault="00491C8A" w:rsidP="00491C8A">
      <w:pPr>
        <w:rPr>
          <w:sz w:val="24"/>
          <w:szCs w:val="24"/>
        </w:rPr>
      </w:pPr>
    </w:p>
    <w:p w14:paraId="7DDD5D9E" w14:textId="77777777" w:rsidR="00491C8A" w:rsidRPr="00D21129" w:rsidRDefault="00491C8A" w:rsidP="00491C8A">
      <w:pPr>
        <w:rPr>
          <w:sz w:val="24"/>
          <w:szCs w:val="24"/>
        </w:rPr>
      </w:pPr>
    </w:p>
    <w:tbl>
      <w:tblPr>
        <w:tblW w:w="10350" w:type="dxa"/>
        <w:tblInd w:w="-360" w:type="dxa"/>
        <w:tblCellMar>
          <w:left w:w="90" w:type="dxa"/>
          <w:right w:w="90" w:type="dxa"/>
        </w:tblCellMar>
        <w:tblLook w:val="0000" w:firstRow="0" w:lastRow="0" w:firstColumn="0" w:lastColumn="0" w:noHBand="0" w:noVBand="0"/>
      </w:tblPr>
      <w:tblGrid>
        <w:gridCol w:w="5400"/>
        <w:gridCol w:w="4950"/>
      </w:tblGrid>
      <w:tr w:rsidR="00491C8A" w:rsidRPr="00D21129" w14:paraId="3968F982" w14:textId="77777777" w:rsidTr="00EA5ABE">
        <w:trPr>
          <w:cantSplit/>
          <w:trHeight w:val="432"/>
        </w:trPr>
        <w:tc>
          <w:tcPr>
            <w:tcW w:w="5400" w:type="dxa"/>
            <w:vAlign w:val="bottom"/>
          </w:tcPr>
          <w:p w14:paraId="305D678B" w14:textId="77777777" w:rsidR="00491C8A" w:rsidRPr="00D21129" w:rsidRDefault="00491C8A" w:rsidP="00EA5ABE">
            <w:pPr>
              <w:pStyle w:val="PACellText"/>
              <w:tabs>
                <w:tab w:val="left" w:pos="4770"/>
              </w:tabs>
              <w:rPr>
                <w:rFonts w:ascii="Times New Roman" w:hAnsi="Times New Roman"/>
                <w:sz w:val="24"/>
                <w:szCs w:val="24"/>
                <w:u w:color="000000"/>
              </w:rPr>
            </w:pPr>
            <w:r w:rsidRPr="00D21129">
              <w:rPr>
                <w:rFonts w:ascii="Times New Roman" w:hAnsi="Times New Roman"/>
                <w:sz w:val="24"/>
                <w:szCs w:val="24"/>
              </w:rPr>
              <w:t>Signature:</w:t>
            </w:r>
            <w:r w:rsidRPr="00D21129">
              <w:rPr>
                <w:rFonts w:ascii="Times New Roman" w:hAnsi="Times New Roman"/>
                <w:sz w:val="24"/>
                <w:szCs w:val="24"/>
              </w:rPr>
              <w:t> </w:t>
            </w:r>
            <w:r w:rsidRPr="00D21129">
              <w:rPr>
                <w:rFonts w:ascii="Times New Roman" w:hAnsi="Times New Roman"/>
                <w:sz w:val="24"/>
                <w:szCs w:val="24"/>
                <w:u w:val="single" w:color="000000"/>
              </w:rPr>
              <w:tab/>
            </w:r>
            <w:r w:rsidRPr="00D21129">
              <w:rPr>
                <w:rFonts w:ascii="Times New Roman" w:hAnsi="Times New Roman"/>
                <w:sz w:val="24"/>
                <w:szCs w:val="24"/>
                <w:u w:color="000000"/>
              </w:rPr>
              <w:t xml:space="preserve"> </w:t>
            </w:r>
          </w:p>
        </w:tc>
        <w:tc>
          <w:tcPr>
            <w:tcW w:w="4950" w:type="dxa"/>
            <w:vAlign w:val="bottom"/>
          </w:tcPr>
          <w:p w14:paraId="0A59FDC4" w14:textId="77777777" w:rsidR="00491C8A" w:rsidRPr="00D21129" w:rsidRDefault="00491C8A" w:rsidP="00EA5ABE">
            <w:pPr>
              <w:pStyle w:val="PACellText"/>
              <w:tabs>
                <w:tab w:val="left" w:pos="4587"/>
              </w:tabs>
              <w:rPr>
                <w:rFonts w:ascii="Times New Roman" w:hAnsi="Times New Roman"/>
                <w:sz w:val="24"/>
                <w:szCs w:val="24"/>
                <w:u w:color="000000"/>
              </w:rPr>
            </w:pPr>
            <w:r w:rsidRPr="00D21129">
              <w:rPr>
                <w:rFonts w:ascii="Times New Roman" w:hAnsi="Times New Roman"/>
                <w:sz w:val="24"/>
                <w:szCs w:val="24"/>
              </w:rPr>
              <w:t>Signature:</w:t>
            </w:r>
            <w:r w:rsidRPr="00D21129">
              <w:rPr>
                <w:rFonts w:ascii="Times New Roman" w:hAnsi="Times New Roman"/>
                <w:sz w:val="24"/>
                <w:szCs w:val="24"/>
              </w:rPr>
              <w:t> </w:t>
            </w:r>
            <w:r w:rsidRPr="00D21129">
              <w:rPr>
                <w:rFonts w:ascii="Times New Roman" w:hAnsi="Times New Roman"/>
                <w:sz w:val="24"/>
                <w:szCs w:val="24"/>
                <w:u w:val="single" w:color="000000"/>
              </w:rPr>
              <w:tab/>
            </w:r>
            <w:r w:rsidRPr="00D21129">
              <w:rPr>
                <w:rFonts w:ascii="Times New Roman" w:hAnsi="Times New Roman"/>
                <w:sz w:val="24"/>
                <w:szCs w:val="24"/>
                <w:u w:color="000000"/>
              </w:rPr>
              <w:t xml:space="preserve"> </w:t>
            </w:r>
          </w:p>
        </w:tc>
      </w:tr>
      <w:tr w:rsidR="00491C8A" w:rsidRPr="00D21129" w14:paraId="329F001F" w14:textId="77777777" w:rsidTr="00EA5ABE">
        <w:trPr>
          <w:cantSplit/>
          <w:trHeight w:val="288"/>
        </w:trPr>
        <w:tc>
          <w:tcPr>
            <w:tcW w:w="5400" w:type="dxa"/>
            <w:vAlign w:val="bottom"/>
          </w:tcPr>
          <w:p w14:paraId="0B38B7A3" w14:textId="77777777" w:rsidR="00491C8A" w:rsidRPr="00D21129" w:rsidRDefault="009761CB" w:rsidP="009761CB">
            <w:pPr>
              <w:pStyle w:val="PACellText"/>
              <w:tabs>
                <w:tab w:val="left" w:pos="4586"/>
              </w:tabs>
              <w:jc w:val="center"/>
              <w:rPr>
                <w:rFonts w:ascii="Times New Roman" w:hAnsi="Times New Roman"/>
                <w:sz w:val="24"/>
                <w:szCs w:val="24"/>
                <w:u w:color="000000"/>
              </w:rPr>
            </w:pPr>
            <w:r>
              <w:rPr>
                <w:rFonts w:ascii="Times New Roman" w:hAnsi="Times New Roman"/>
                <w:sz w:val="24"/>
                <w:szCs w:val="24"/>
              </w:rPr>
              <w:t xml:space="preserve">         </w:t>
            </w:r>
            <w:r w:rsidR="00491C8A" w:rsidRPr="00D21129">
              <w:rPr>
                <w:rFonts w:ascii="Times New Roman" w:hAnsi="Times New Roman"/>
                <w:sz w:val="24"/>
                <w:szCs w:val="24"/>
              </w:rPr>
              <w:t>Chief Administrative Officer</w:t>
            </w:r>
          </w:p>
        </w:tc>
        <w:tc>
          <w:tcPr>
            <w:tcW w:w="4950" w:type="dxa"/>
            <w:vAlign w:val="bottom"/>
          </w:tcPr>
          <w:p w14:paraId="19E99FAA" w14:textId="77777777" w:rsidR="00491C8A" w:rsidRPr="00D21129" w:rsidRDefault="009761CB" w:rsidP="00EA5ABE">
            <w:pPr>
              <w:pStyle w:val="PACellText"/>
              <w:tabs>
                <w:tab w:val="left" w:pos="4587"/>
              </w:tabs>
              <w:jc w:val="center"/>
              <w:rPr>
                <w:rFonts w:ascii="Times New Roman" w:hAnsi="Times New Roman"/>
                <w:sz w:val="24"/>
                <w:szCs w:val="24"/>
                <w:u w:color="000000"/>
              </w:rPr>
            </w:pPr>
            <w:r>
              <w:rPr>
                <w:rFonts w:ascii="Times New Roman" w:hAnsi="Times New Roman"/>
                <w:sz w:val="24"/>
                <w:szCs w:val="24"/>
              </w:rPr>
              <w:t xml:space="preserve">               </w:t>
            </w:r>
            <w:r w:rsidR="00491C8A" w:rsidRPr="00D21129">
              <w:rPr>
                <w:rFonts w:ascii="Times New Roman" w:hAnsi="Times New Roman"/>
                <w:sz w:val="24"/>
                <w:szCs w:val="24"/>
              </w:rPr>
              <w:t>Chief Financial Officer</w:t>
            </w:r>
          </w:p>
        </w:tc>
      </w:tr>
      <w:tr w:rsidR="009761CB" w:rsidRPr="00D21129" w14:paraId="0B9D37C3" w14:textId="77777777" w:rsidTr="00EA5ABE">
        <w:trPr>
          <w:cantSplit/>
          <w:trHeight w:val="288"/>
        </w:trPr>
        <w:tc>
          <w:tcPr>
            <w:tcW w:w="5400" w:type="dxa"/>
            <w:vAlign w:val="bottom"/>
          </w:tcPr>
          <w:p w14:paraId="18D4640E" w14:textId="77777777" w:rsidR="009761CB" w:rsidRPr="00D21129" w:rsidRDefault="009761CB" w:rsidP="009761CB">
            <w:pPr>
              <w:pStyle w:val="PACellText"/>
              <w:tabs>
                <w:tab w:val="left" w:pos="4586"/>
              </w:tabs>
              <w:rPr>
                <w:rFonts w:ascii="Times New Roman" w:hAnsi="Times New Roman"/>
                <w:sz w:val="24"/>
                <w:szCs w:val="24"/>
              </w:rPr>
            </w:pPr>
          </w:p>
        </w:tc>
        <w:tc>
          <w:tcPr>
            <w:tcW w:w="4950" w:type="dxa"/>
            <w:vAlign w:val="bottom"/>
          </w:tcPr>
          <w:p w14:paraId="270F28CE" w14:textId="77777777" w:rsidR="009761CB" w:rsidRDefault="009761CB" w:rsidP="00EA5ABE">
            <w:pPr>
              <w:pStyle w:val="PACellText"/>
              <w:tabs>
                <w:tab w:val="left" w:pos="4587"/>
              </w:tabs>
              <w:jc w:val="center"/>
              <w:rPr>
                <w:rFonts w:ascii="Times New Roman" w:hAnsi="Times New Roman"/>
                <w:sz w:val="24"/>
                <w:szCs w:val="24"/>
              </w:rPr>
            </w:pPr>
          </w:p>
        </w:tc>
      </w:tr>
    </w:tbl>
    <w:p w14:paraId="2970EDE9" w14:textId="77777777" w:rsidR="00491C8A" w:rsidRPr="006110E4" w:rsidRDefault="00491C8A" w:rsidP="00491C8A">
      <w:pPr>
        <w:rPr>
          <w:rFonts w:asciiTheme="majorHAnsi" w:hAnsiTheme="majorHAnsi" w:cstheme="minorHAnsi"/>
        </w:rPr>
      </w:pPr>
    </w:p>
    <w:p w14:paraId="6C63D4B7" w14:textId="77777777" w:rsidR="00491C8A" w:rsidRPr="006110E4" w:rsidRDefault="00491C8A" w:rsidP="00491C8A">
      <w:pPr>
        <w:rPr>
          <w:rFonts w:asciiTheme="majorHAnsi" w:hAnsiTheme="majorHAnsi" w:cstheme="minorHAnsi"/>
          <w:i/>
        </w:rPr>
      </w:pPr>
    </w:p>
    <w:p w14:paraId="4CE45ED9" w14:textId="77777777" w:rsidR="00491C8A" w:rsidRDefault="00491C8A" w:rsidP="00491C8A">
      <w:pPr>
        <w:rPr>
          <w:rFonts w:asciiTheme="majorHAnsi" w:hAnsiTheme="majorHAnsi" w:cstheme="minorHAnsi"/>
        </w:rPr>
      </w:pPr>
    </w:p>
    <w:p w14:paraId="70179A19" w14:textId="77777777" w:rsidR="00491C8A" w:rsidRDefault="00491C8A" w:rsidP="00491C8A">
      <w:pPr>
        <w:rPr>
          <w:rFonts w:asciiTheme="majorHAnsi" w:hAnsiTheme="majorHAnsi" w:cstheme="minorHAnsi"/>
        </w:rPr>
      </w:pPr>
    </w:p>
    <w:p w14:paraId="547FA72B" w14:textId="77777777" w:rsidR="00491C8A" w:rsidRDefault="00491C8A" w:rsidP="00491C8A">
      <w:pPr>
        <w:rPr>
          <w:rFonts w:asciiTheme="majorHAnsi" w:hAnsiTheme="majorHAnsi" w:cstheme="minorHAnsi"/>
        </w:rPr>
      </w:pPr>
    </w:p>
    <w:p w14:paraId="403D00A7" w14:textId="77777777" w:rsidR="00491C8A" w:rsidRDefault="00491C8A" w:rsidP="00491C8A">
      <w:pPr>
        <w:rPr>
          <w:rFonts w:asciiTheme="majorHAnsi" w:hAnsiTheme="majorHAnsi" w:cstheme="minorHAnsi"/>
        </w:rPr>
      </w:pPr>
    </w:p>
    <w:p w14:paraId="7F4ECCF2" w14:textId="77777777" w:rsidR="00491C8A" w:rsidRPr="006110E4" w:rsidRDefault="00491C8A" w:rsidP="00491C8A">
      <w:pPr>
        <w:rPr>
          <w:rFonts w:asciiTheme="majorHAnsi" w:hAnsiTheme="majorHAnsi" w:cstheme="minorHAnsi"/>
        </w:rPr>
      </w:pPr>
      <w:r w:rsidRPr="006110E4">
        <w:rPr>
          <w:rFonts w:asciiTheme="majorHAnsi" w:hAnsiTheme="majorHAnsi" w:cstheme="minorHAnsi"/>
        </w:rPr>
        <w:t>Notes:</w:t>
      </w:r>
    </w:p>
    <w:p w14:paraId="0D196EA8" w14:textId="6DF09B88" w:rsidR="00491C8A" w:rsidRPr="006110E4" w:rsidRDefault="00491C8A" w:rsidP="00491C8A">
      <w:pPr>
        <w:pStyle w:val="ListParagraph"/>
        <w:numPr>
          <w:ilvl w:val="0"/>
          <w:numId w:val="1"/>
        </w:numPr>
        <w:spacing w:after="120" w:line="276" w:lineRule="auto"/>
        <w:contextualSpacing w:val="0"/>
        <w:rPr>
          <w:rFonts w:asciiTheme="majorHAnsi" w:hAnsiTheme="majorHAnsi" w:cstheme="minorHAnsi"/>
        </w:rPr>
      </w:pPr>
      <w:r w:rsidRPr="006110E4">
        <w:rPr>
          <w:rFonts w:asciiTheme="majorHAnsi" w:hAnsiTheme="majorHAnsi" w:cstheme="minorHAnsi"/>
        </w:rPr>
        <w:t xml:space="preserve">This certification is </w:t>
      </w:r>
      <w:r w:rsidR="00532BB1">
        <w:rPr>
          <w:rFonts w:asciiTheme="majorHAnsi" w:hAnsiTheme="majorHAnsi" w:cstheme="minorHAnsi"/>
        </w:rPr>
        <w:t xml:space="preserve">required </w:t>
      </w:r>
      <w:r w:rsidR="00BC269B">
        <w:rPr>
          <w:rFonts w:asciiTheme="majorHAnsi" w:hAnsiTheme="majorHAnsi" w:cstheme="minorHAnsi"/>
        </w:rPr>
        <w:t>to be</w:t>
      </w:r>
      <w:r w:rsidRPr="006110E4">
        <w:rPr>
          <w:rFonts w:asciiTheme="majorHAnsi" w:hAnsiTheme="majorHAnsi" w:cstheme="minorHAnsi"/>
        </w:rPr>
        <w:t xml:space="preserve"> submitted with the annual financial report to the Office of the Utah State Auditor</w:t>
      </w:r>
      <w:r w:rsidR="00532BB1">
        <w:rPr>
          <w:rFonts w:asciiTheme="majorHAnsi" w:hAnsiTheme="majorHAnsi" w:cstheme="minorHAnsi"/>
        </w:rPr>
        <w:t xml:space="preserve"> in accordance with </w:t>
      </w:r>
      <w:r w:rsidR="00532BB1" w:rsidRPr="00532BB1">
        <w:rPr>
          <w:rFonts w:asciiTheme="majorHAnsi" w:hAnsiTheme="majorHAnsi" w:cstheme="minorHAnsi"/>
          <w:i/>
          <w:iCs/>
        </w:rPr>
        <w:t>Utah Code</w:t>
      </w:r>
      <w:r w:rsidR="00532BB1">
        <w:rPr>
          <w:rFonts w:asciiTheme="majorHAnsi" w:hAnsiTheme="majorHAnsi" w:cstheme="minorHAnsi"/>
        </w:rPr>
        <w:t xml:space="preserve"> 11-50-201</w:t>
      </w:r>
    </w:p>
    <w:p w14:paraId="23B6D78F" w14:textId="77777777" w:rsidR="00491C8A" w:rsidRPr="006110E4" w:rsidRDefault="00491C8A" w:rsidP="00491C8A">
      <w:pPr>
        <w:pStyle w:val="ListParagraph"/>
        <w:numPr>
          <w:ilvl w:val="0"/>
          <w:numId w:val="1"/>
        </w:numPr>
        <w:spacing w:after="120" w:line="276" w:lineRule="auto"/>
        <w:contextualSpacing w:val="0"/>
        <w:rPr>
          <w:rFonts w:asciiTheme="majorHAnsi" w:hAnsiTheme="majorHAnsi" w:cstheme="minorHAnsi"/>
        </w:rPr>
      </w:pPr>
      <w:r w:rsidRPr="006110E4">
        <w:rPr>
          <w:rFonts w:asciiTheme="majorHAnsi" w:hAnsiTheme="majorHAnsi" w:cstheme="minorHAnsi"/>
          <w:i/>
        </w:rPr>
        <w:t>Utah Code</w:t>
      </w:r>
      <w:r w:rsidRPr="006110E4">
        <w:rPr>
          <w:rFonts w:asciiTheme="majorHAnsi" w:hAnsiTheme="majorHAnsi" w:cstheme="minorHAnsi"/>
        </w:rPr>
        <w:t xml:space="preserve"> 11-50-202 designates the </w:t>
      </w:r>
      <w:r w:rsidRPr="006110E4">
        <w:rPr>
          <w:rFonts w:asciiTheme="majorHAnsi" w:hAnsiTheme="majorHAnsi" w:cstheme="minorHAnsi"/>
          <w:b/>
          <w:u w:val="single"/>
        </w:rPr>
        <w:t>chief administrative officer</w:t>
      </w:r>
      <w:r w:rsidRPr="006110E4">
        <w:rPr>
          <w:rFonts w:asciiTheme="majorHAnsi" w:hAnsiTheme="majorHAnsi" w:cstheme="minorHAnsi"/>
        </w:rPr>
        <w:t xml:space="preserve"> as </w:t>
      </w:r>
      <w:r w:rsidRPr="006110E4">
        <w:rPr>
          <w:rFonts w:asciiTheme="majorHAnsi" w:hAnsiTheme="majorHAnsi" w:cstheme="minorHAnsi"/>
          <w:iCs/>
          <w:color w:val="222222"/>
        </w:rPr>
        <w:t>the individual appointed as the chief administrative officer of the political</w:t>
      </w:r>
      <w:r w:rsidRPr="006110E4">
        <w:rPr>
          <w:rFonts w:asciiTheme="majorHAnsi" w:hAnsiTheme="majorHAnsi" w:cstheme="minorHAnsi"/>
          <w:color w:val="222222"/>
          <w:shd w:val="clear" w:color="auto" w:fill="FFFFFF"/>
        </w:rPr>
        <w:t> </w:t>
      </w:r>
      <w:r w:rsidRPr="006110E4">
        <w:rPr>
          <w:rFonts w:asciiTheme="majorHAnsi" w:hAnsiTheme="majorHAnsi" w:cstheme="minorHAnsi"/>
          <w:iCs/>
          <w:color w:val="222222"/>
        </w:rPr>
        <w:t>subdivision in accordance with statute; or if a chief administrative officer is not appointed in accordance with statute, the</w:t>
      </w:r>
      <w:r w:rsidRPr="006110E4">
        <w:rPr>
          <w:rFonts w:asciiTheme="majorHAnsi" w:hAnsiTheme="majorHAnsi" w:cstheme="minorHAnsi"/>
          <w:color w:val="222222"/>
          <w:shd w:val="clear" w:color="auto" w:fill="FFFFFF"/>
        </w:rPr>
        <w:t> </w:t>
      </w:r>
      <w:r w:rsidRPr="006110E4">
        <w:rPr>
          <w:rFonts w:asciiTheme="majorHAnsi" w:hAnsiTheme="majorHAnsi" w:cstheme="minorHAnsi"/>
          <w:iCs/>
          <w:color w:val="222222"/>
        </w:rPr>
        <w:t>individual designated as the chief administrative officer by the governing body of the political</w:t>
      </w:r>
      <w:r w:rsidRPr="006110E4">
        <w:rPr>
          <w:rStyle w:val="apple-converted-space"/>
          <w:rFonts w:asciiTheme="majorHAnsi" w:hAnsiTheme="majorHAnsi" w:cstheme="minorHAnsi"/>
          <w:color w:val="222222"/>
          <w:shd w:val="clear" w:color="auto" w:fill="FFFFFF"/>
        </w:rPr>
        <w:t> </w:t>
      </w:r>
      <w:r w:rsidRPr="006110E4">
        <w:rPr>
          <w:rFonts w:asciiTheme="majorHAnsi" w:hAnsiTheme="majorHAnsi" w:cstheme="minorHAnsi"/>
          <w:iCs/>
          <w:color w:val="222222"/>
        </w:rPr>
        <w:t>subdivision.  In designating a chief administrative officer</w:t>
      </w:r>
      <w:r>
        <w:rPr>
          <w:rFonts w:asciiTheme="majorHAnsi" w:hAnsiTheme="majorHAnsi" w:cstheme="minorHAnsi"/>
          <w:iCs/>
          <w:color w:val="222222"/>
        </w:rPr>
        <w:t>,</w:t>
      </w:r>
      <w:r w:rsidRPr="006110E4">
        <w:rPr>
          <w:rFonts w:asciiTheme="majorHAnsi" w:hAnsiTheme="majorHAnsi" w:cstheme="minorHAnsi"/>
          <w:iCs/>
          <w:color w:val="222222"/>
        </w:rPr>
        <w:t xml:space="preserve"> the</w:t>
      </w:r>
      <w:r w:rsidRPr="006110E4">
        <w:rPr>
          <w:rStyle w:val="apple-converted-space"/>
          <w:rFonts w:asciiTheme="majorHAnsi" w:hAnsiTheme="majorHAnsi" w:cstheme="minorHAnsi"/>
          <w:color w:val="222222"/>
          <w:shd w:val="clear" w:color="auto" w:fill="FFFFFF"/>
        </w:rPr>
        <w:t> </w:t>
      </w:r>
      <w:r w:rsidRPr="006110E4">
        <w:rPr>
          <w:rFonts w:asciiTheme="majorHAnsi" w:hAnsiTheme="majorHAnsi" w:cstheme="minorHAnsi"/>
          <w:iCs/>
          <w:color w:val="222222"/>
        </w:rPr>
        <w:t>governing body shall designate the individual who holds a managerial or similar position to</w:t>
      </w:r>
      <w:r w:rsidRPr="006110E4">
        <w:rPr>
          <w:rStyle w:val="apple-converted-space"/>
          <w:rFonts w:asciiTheme="majorHAnsi" w:hAnsiTheme="majorHAnsi" w:cstheme="minorHAnsi"/>
          <w:color w:val="222222"/>
          <w:shd w:val="clear" w:color="auto" w:fill="FFFFFF"/>
        </w:rPr>
        <w:t> </w:t>
      </w:r>
      <w:r w:rsidRPr="006110E4">
        <w:rPr>
          <w:rFonts w:asciiTheme="majorHAnsi" w:hAnsiTheme="majorHAnsi" w:cstheme="minorHAnsi"/>
          <w:iCs/>
          <w:color w:val="222222"/>
        </w:rPr>
        <w:t>perform administrative duties or functions for the political subdivision.</w:t>
      </w:r>
    </w:p>
    <w:p w14:paraId="76F38425" w14:textId="15F0DD25" w:rsidR="00EB6A74" w:rsidRPr="00532BB1" w:rsidRDefault="00491C8A" w:rsidP="00532BB1">
      <w:pPr>
        <w:pStyle w:val="ListParagraph"/>
        <w:numPr>
          <w:ilvl w:val="0"/>
          <w:numId w:val="1"/>
        </w:numPr>
        <w:spacing w:after="200" w:line="276" w:lineRule="auto"/>
        <w:rPr>
          <w:rFonts w:asciiTheme="majorHAnsi" w:hAnsiTheme="majorHAnsi" w:cstheme="minorHAnsi"/>
        </w:rPr>
      </w:pPr>
      <w:r w:rsidRPr="006110E4">
        <w:rPr>
          <w:rFonts w:asciiTheme="majorHAnsi" w:hAnsiTheme="majorHAnsi" w:cstheme="minorHAnsi"/>
          <w:i/>
        </w:rPr>
        <w:t xml:space="preserve">Utah Code </w:t>
      </w:r>
      <w:r w:rsidRPr="006110E4">
        <w:rPr>
          <w:rFonts w:asciiTheme="majorHAnsi" w:hAnsiTheme="majorHAnsi" w:cstheme="minorHAnsi"/>
        </w:rPr>
        <w:t xml:space="preserve">11-50-202 designates the </w:t>
      </w:r>
      <w:r w:rsidRPr="006110E4">
        <w:rPr>
          <w:rFonts w:asciiTheme="majorHAnsi" w:hAnsiTheme="majorHAnsi" w:cstheme="minorHAnsi"/>
          <w:b/>
          <w:u w:val="single"/>
        </w:rPr>
        <w:t>chief financial officer</w:t>
      </w:r>
      <w:r w:rsidRPr="006110E4">
        <w:rPr>
          <w:rFonts w:asciiTheme="majorHAnsi" w:hAnsiTheme="majorHAnsi" w:cstheme="minorHAnsi"/>
        </w:rPr>
        <w:t xml:space="preserve"> as</w:t>
      </w:r>
      <w:r w:rsidRPr="006110E4">
        <w:rPr>
          <w:rFonts w:asciiTheme="majorHAnsi" w:hAnsiTheme="majorHAnsi" w:cstheme="minorHAnsi"/>
          <w:iCs/>
          <w:color w:val="222222"/>
        </w:rPr>
        <w:t xml:space="preserve"> the individual appointed as the chief financial officer of the political subdivision in accordance with statute; or if a chief financial officer is not appointed in accordance with statute, the individual</w:t>
      </w:r>
      <w:r w:rsidRPr="006110E4">
        <w:rPr>
          <w:rStyle w:val="apple-converted-space"/>
          <w:rFonts w:asciiTheme="majorHAnsi" w:hAnsiTheme="majorHAnsi" w:cstheme="minorHAnsi"/>
          <w:color w:val="222222"/>
          <w:shd w:val="clear" w:color="auto" w:fill="FFFFFF"/>
        </w:rPr>
        <w:t> </w:t>
      </w:r>
      <w:r w:rsidRPr="006110E4">
        <w:rPr>
          <w:rFonts w:asciiTheme="majorHAnsi" w:hAnsiTheme="majorHAnsi" w:cstheme="minorHAnsi"/>
          <w:iCs/>
          <w:color w:val="222222"/>
        </w:rPr>
        <w:t>designated as the chief financial officer by the governing body of the political subdivision.  In designating a chief financial officer, the governing</w:t>
      </w:r>
      <w:r w:rsidRPr="006110E4">
        <w:rPr>
          <w:rStyle w:val="apple-converted-space"/>
          <w:rFonts w:asciiTheme="majorHAnsi" w:hAnsiTheme="majorHAnsi" w:cstheme="minorHAnsi"/>
          <w:color w:val="222222"/>
          <w:shd w:val="clear" w:color="auto" w:fill="FFFFFF"/>
        </w:rPr>
        <w:t> </w:t>
      </w:r>
      <w:r w:rsidRPr="006110E4">
        <w:rPr>
          <w:rFonts w:asciiTheme="majorHAnsi" w:hAnsiTheme="majorHAnsi" w:cstheme="minorHAnsi"/>
          <w:iCs/>
          <w:color w:val="222222"/>
        </w:rPr>
        <w:t>body shall designate the individual who has primary responsibility for preparing the annual</w:t>
      </w:r>
      <w:r w:rsidRPr="006110E4">
        <w:rPr>
          <w:rStyle w:val="apple-converted-space"/>
          <w:rFonts w:asciiTheme="majorHAnsi" w:hAnsiTheme="majorHAnsi" w:cstheme="minorHAnsi"/>
          <w:color w:val="222222"/>
          <w:shd w:val="clear" w:color="auto" w:fill="FFFFFF"/>
        </w:rPr>
        <w:t> </w:t>
      </w:r>
      <w:r w:rsidRPr="006110E4">
        <w:rPr>
          <w:rFonts w:asciiTheme="majorHAnsi" w:hAnsiTheme="majorHAnsi" w:cstheme="minorHAnsi"/>
          <w:iCs/>
          <w:color w:val="222222"/>
        </w:rPr>
        <w:t>financial report.</w:t>
      </w:r>
    </w:p>
    <w:sectPr w:rsidR="00EB6A74" w:rsidRPr="00532BB1" w:rsidSect="00715DB7">
      <w:headerReference w:type="default" r:id="rId7"/>
      <w:footerReference w:type="default" r:id="rId8"/>
      <w:headerReference w:type="first" r:id="rId9"/>
      <w:footerReference w:type="first" r:id="rId10"/>
      <w:type w:val="continuous"/>
      <w:pgSz w:w="12240" w:h="15840"/>
      <w:pgMar w:top="1350" w:right="1440" w:bottom="540" w:left="1440" w:header="720" w:footer="560" w:gutter="0"/>
      <w:cols w:space="540" w:equalWidth="0">
        <w:col w:w="9360" w:space="54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5575" w14:textId="77777777" w:rsidR="009752F9" w:rsidRDefault="009752F9" w:rsidP="00775090">
      <w:r>
        <w:separator/>
      </w:r>
    </w:p>
  </w:endnote>
  <w:endnote w:type="continuationSeparator" w:id="0">
    <w:p w14:paraId="211C7EEC" w14:textId="77777777" w:rsidR="009752F9" w:rsidRDefault="009752F9" w:rsidP="0077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16C4" w14:textId="77777777" w:rsidR="00FF6945" w:rsidRDefault="00FF6945" w:rsidP="00937AC8">
    <w:pPr>
      <w:pStyle w:val="Footer"/>
      <w:pBdr>
        <w:bottom w:val="single" w:sz="6" w:space="1" w:color="auto"/>
      </w:pBdr>
      <w:tabs>
        <w:tab w:val="clear" w:pos="9360"/>
      </w:tabs>
      <w:ind w:left="-720" w:right="-720"/>
      <w:rPr>
        <w:sz w:val="16"/>
      </w:rPr>
    </w:pPr>
  </w:p>
  <w:p w14:paraId="448A1B9E" w14:textId="77777777" w:rsidR="00FF6945" w:rsidRDefault="00FF6945" w:rsidP="00937AC8">
    <w:pPr>
      <w:pStyle w:val="Footer"/>
      <w:pBdr>
        <w:bottom w:val="single" w:sz="6" w:space="1" w:color="auto"/>
      </w:pBdr>
      <w:tabs>
        <w:tab w:val="clear" w:pos="9360"/>
      </w:tabs>
      <w:ind w:left="-720" w:right="-720"/>
      <w:rPr>
        <w:sz w:val="16"/>
      </w:rPr>
    </w:pPr>
  </w:p>
  <w:p w14:paraId="01526201" w14:textId="77777777" w:rsidR="00FF6945" w:rsidRPr="00937AC8" w:rsidRDefault="00FF6945" w:rsidP="00937AC8">
    <w:pPr>
      <w:pStyle w:val="Footer"/>
      <w:tabs>
        <w:tab w:val="clear" w:pos="9360"/>
      </w:tabs>
      <w:spacing w:before="120"/>
      <w:ind w:left="-720" w:right="-720"/>
      <w:jc w:val="center"/>
      <w:rPr>
        <w:sz w:val="16"/>
      </w:rPr>
    </w:pPr>
    <w:r>
      <w:rPr>
        <w:sz w:val="16"/>
      </w:rPr>
      <w:t xml:space="preserve">Utah State Capitol Complex, </w:t>
    </w:r>
    <w:r w:rsidRPr="00775090">
      <w:rPr>
        <w:sz w:val="16"/>
      </w:rPr>
      <w:t>East Office Building, Suite E</w:t>
    </w:r>
    <w:proofErr w:type="gramStart"/>
    <w:r w:rsidRPr="00775090">
      <w:rPr>
        <w:sz w:val="16"/>
      </w:rPr>
      <w:t>310</w:t>
    </w:r>
    <w:r>
      <w:rPr>
        <w:sz w:val="16"/>
      </w:rPr>
      <w:t xml:space="preserve"> </w:t>
    </w:r>
    <w:r w:rsidRPr="00775090">
      <w:rPr>
        <w:sz w:val="16"/>
      </w:rPr>
      <w:t xml:space="preserve"> </w:t>
    </w:r>
    <w:r>
      <w:rPr>
        <w:sz w:val="16"/>
      </w:rPr>
      <w:t>•</w:t>
    </w:r>
    <w:proofErr w:type="gramEnd"/>
    <w:r w:rsidRPr="00775090">
      <w:rPr>
        <w:sz w:val="16"/>
      </w:rPr>
      <w:t xml:space="preserve"> </w:t>
    </w:r>
    <w:r>
      <w:rPr>
        <w:sz w:val="16"/>
      </w:rPr>
      <w:t xml:space="preserve"> </w:t>
    </w:r>
    <w:r w:rsidRPr="00775090">
      <w:rPr>
        <w:sz w:val="16"/>
      </w:rPr>
      <w:t>Salt Lake City, Utah 84114-</w:t>
    </w:r>
    <w:proofErr w:type="gramStart"/>
    <w:r w:rsidRPr="00775090">
      <w:rPr>
        <w:sz w:val="16"/>
      </w:rPr>
      <w:t xml:space="preserve">2310 </w:t>
    </w:r>
    <w:r>
      <w:rPr>
        <w:sz w:val="16"/>
      </w:rPr>
      <w:t xml:space="preserve"> •</w:t>
    </w:r>
    <w:proofErr w:type="gramEnd"/>
    <w:r>
      <w:rPr>
        <w:sz w:val="16"/>
      </w:rPr>
      <w:t xml:space="preserve"> </w:t>
    </w:r>
    <w:r w:rsidRPr="00775090">
      <w:rPr>
        <w:sz w:val="16"/>
      </w:rPr>
      <w:t xml:space="preserve"> Tel: </w:t>
    </w:r>
    <w:r>
      <w:rPr>
        <w:sz w:val="16"/>
      </w:rPr>
      <w:t>(801) 538-</w:t>
    </w:r>
    <w:proofErr w:type="gramStart"/>
    <w:r>
      <w:rPr>
        <w:sz w:val="16"/>
      </w:rPr>
      <w:t>1025  •</w:t>
    </w:r>
    <w:proofErr w:type="gramEnd"/>
    <w:r>
      <w:rPr>
        <w:sz w:val="16"/>
      </w:rPr>
      <w:t xml:space="preserve">  Fax: (801) 538-1383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4A0C" w14:textId="2CEEEB4C" w:rsidR="00FF6945" w:rsidRPr="00AC3504" w:rsidRDefault="00FF6945" w:rsidP="00B17C18">
    <w:pPr>
      <w:pStyle w:val="Footer"/>
      <w:tabs>
        <w:tab w:val="clear" w:pos="9360"/>
      </w:tabs>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7508" w14:textId="77777777" w:rsidR="009752F9" w:rsidRDefault="009752F9" w:rsidP="00775090">
      <w:r>
        <w:separator/>
      </w:r>
    </w:p>
  </w:footnote>
  <w:footnote w:type="continuationSeparator" w:id="0">
    <w:p w14:paraId="10E4404E" w14:textId="77777777" w:rsidR="009752F9" w:rsidRDefault="009752F9" w:rsidP="0077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904D" w14:textId="77777777" w:rsidR="00FF6945" w:rsidRDefault="00FF6945" w:rsidP="00937AC8">
    <w:pPr>
      <w:ind w:left="1620"/>
      <w:rPr>
        <w:b/>
        <w:smallCaps/>
        <w:sz w:val="22"/>
        <w:szCs w:val="22"/>
      </w:rPr>
    </w:pPr>
  </w:p>
  <w:p w14:paraId="7D21AC51" w14:textId="77777777" w:rsidR="00EB6A74" w:rsidRDefault="00EB6A74" w:rsidP="00937AC8">
    <w:pPr>
      <w:ind w:left="1620"/>
      <w:rPr>
        <w:b/>
        <w:smallCaps/>
        <w:noProof/>
        <w:sz w:val="22"/>
        <w:szCs w:val="22"/>
      </w:rPr>
    </w:pPr>
  </w:p>
  <w:p w14:paraId="0FDC912C" w14:textId="77777777" w:rsidR="00EB6A74" w:rsidRDefault="00EB6A74" w:rsidP="00937AC8">
    <w:pPr>
      <w:ind w:left="1620"/>
      <w:rPr>
        <w:b/>
        <w:smallCaps/>
        <w:noProof/>
        <w:sz w:val="22"/>
        <w:szCs w:val="22"/>
      </w:rPr>
    </w:pPr>
  </w:p>
  <w:p w14:paraId="1BB9EE46" w14:textId="77777777" w:rsidR="00AE3EEC" w:rsidRDefault="00AE3EEC" w:rsidP="00937AC8">
    <w:pPr>
      <w:ind w:left="1620"/>
      <w:rPr>
        <w:b/>
        <w:smallCaps/>
        <w:sz w:val="22"/>
        <w:szCs w:val="22"/>
      </w:rPr>
    </w:pPr>
  </w:p>
  <w:p w14:paraId="46F6AA21" w14:textId="77777777" w:rsidR="00AE3EEC" w:rsidRDefault="00AE3EEC" w:rsidP="00EB6A74">
    <w:pPr>
      <w:rPr>
        <w:b/>
        <w:smallCaps/>
        <w:sz w:val="22"/>
        <w:szCs w:val="22"/>
      </w:rPr>
    </w:pPr>
  </w:p>
  <w:p w14:paraId="7FE97E63" w14:textId="77777777" w:rsidR="00EB6A74" w:rsidRDefault="00EB6A74" w:rsidP="00AE3EEC">
    <w:pPr>
      <w:ind w:left="477" w:firstLine="720"/>
      <w:rPr>
        <w:b/>
        <w:smallCaps/>
        <w:sz w:val="22"/>
        <w:szCs w:val="22"/>
      </w:rPr>
    </w:pPr>
  </w:p>
  <w:p w14:paraId="3BA2AA54" w14:textId="77777777" w:rsidR="00AE3EEC" w:rsidRDefault="00AE3EEC" w:rsidP="00AE3EEC">
    <w:pPr>
      <w:rPr>
        <w:b/>
        <w:smallCaps/>
        <w:sz w:val="22"/>
        <w:szCs w:val="22"/>
      </w:rPr>
    </w:pPr>
  </w:p>
  <w:p w14:paraId="6A6D36D9" w14:textId="77777777" w:rsidR="00FF6945" w:rsidRDefault="00FF6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3C9A" w14:textId="4AF9FEBF" w:rsidR="00531824" w:rsidRDefault="00531824" w:rsidP="00B17C18">
    <w:pPr>
      <w:rPr>
        <w:noProof/>
      </w:rPr>
    </w:pPr>
  </w:p>
  <w:p w14:paraId="263CCE18" w14:textId="466EA113" w:rsidR="00531824" w:rsidRDefault="00531824" w:rsidP="00AC3504">
    <w:pPr>
      <w:ind w:left="1620"/>
      <w:rPr>
        <w:noProof/>
      </w:rPr>
    </w:pPr>
  </w:p>
  <w:p w14:paraId="05BB22A6" w14:textId="77777777" w:rsidR="00531824" w:rsidRDefault="00531824" w:rsidP="00BB44E3">
    <w:pPr>
      <w:rPr>
        <w:noProof/>
      </w:rPr>
    </w:pPr>
  </w:p>
  <w:p w14:paraId="408BD7DE" w14:textId="77777777" w:rsidR="00FF6945" w:rsidRDefault="00FF6945" w:rsidP="00AC3504">
    <w:pPr>
      <w:jc w:val="center"/>
    </w:pPr>
  </w:p>
  <w:p w14:paraId="4FE5439A" w14:textId="77777777" w:rsidR="00FF6945" w:rsidRDefault="00FF6945" w:rsidP="00AC3504">
    <w:pPr>
      <w:jc w:val="center"/>
    </w:pPr>
  </w:p>
  <w:p w14:paraId="295F50A0" w14:textId="77777777" w:rsidR="00FF6945" w:rsidRDefault="00FF6945" w:rsidP="00AC3504">
    <w:pPr>
      <w:jc w:val="center"/>
    </w:pPr>
  </w:p>
  <w:p w14:paraId="48A4D042" w14:textId="77777777" w:rsidR="00FF6945" w:rsidRDefault="00FF6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10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o:colormru v:ext="edit" colors="#c3d111"/>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3087"/>
    <w:rsid w:val="00014D62"/>
    <w:rsid w:val="00023DF0"/>
    <w:rsid w:val="00080B5A"/>
    <w:rsid w:val="000871BE"/>
    <w:rsid w:val="000A1FA4"/>
    <w:rsid w:val="000A68B0"/>
    <w:rsid w:val="000C73F1"/>
    <w:rsid w:val="000C7EA0"/>
    <w:rsid w:val="000E78B4"/>
    <w:rsid w:val="001004A7"/>
    <w:rsid w:val="00125E2C"/>
    <w:rsid w:val="001402FC"/>
    <w:rsid w:val="00170F6E"/>
    <w:rsid w:val="00177A95"/>
    <w:rsid w:val="0018387F"/>
    <w:rsid w:val="001A5331"/>
    <w:rsid w:val="001D24C8"/>
    <w:rsid w:val="001E672B"/>
    <w:rsid w:val="001E7B49"/>
    <w:rsid w:val="0021602D"/>
    <w:rsid w:val="00232743"/>
    <w:rsid w:val="00243565"/>
    <w:rsid w:val="00254689"/>
    <w:rsid w:val="0027089F"/>
    <w:rsid w:val="00280C9E"/>
    <w:rsid w:val="002C2486"/>
    <w:rsid w:val="002C2487"/>
    <w:rsid w:val="002E006A"/>
    <w:rsid w:val="003062D4"/>
    <w:rsid w:val="003352E5"/>
    <w:rsid w:val="00345DAF"/>
    <w:rsid w:val="0035290B"/>
    <w:rsid w:val="00353709"/>
    <w:rsid w:val="003537EA"/>
    <w:rsid w:val="003542E9"/>
    <w:rsid w:val="00382054"/>
    <w:rsid w:val="003B06FD"/>
    <w:rsid w:val="003B7BE2"/>
    <w:rsid w:val="003C7AA3"/>
    <w:rsid w:val="00412F7B"/>
    <w:rsid w:val="00437721"/>
    <w:rsid w:val="00470A98"/>
    <w:rsid w:val="004744E9"/>
    <w:rsid w:val="00491C8A"/>
    <w:rsid w:val="004A15C5"/>
    <w:rsid w:val="004B1507"/>
    <w:rsid w:val="004B6C56"/>
    <w:rsid w:val="004C1DAC"/>
    <w:rsid w:val="004E0D9A"/>
    <w:rsid w:val="004E112C"/>
    <w:rsid w:val="004E317C"/>
    <w:rsid w:val="004E6D32"/>
    <w:rsid w:val="004F4537"/>
    <w:rsid w:val="0051703D"/>
    <w:rsid w:val="00531824"/>
    <w:rsid w:val="00532BB1"/>
    <w:rsid w:val="0054023A"/>
    <w:rsid w:val="005403B4"/>
    <w:rsid w:val="00563087"/>
    <w:rsid w:val="00580033"/>
    <w:rsid w:val="00592751"/>
    <w:rsid w:val="005A249F"/>
    <w:rsid w:val="005B654F"/>
    <w:rsid w:val="005C06F4"/>
    <w:rsid w:val="005E6EE4"/>
    <w:rsid w:val="005E6FAE"/>
    <w:rsid w:val="005E7B58"/>
    <w:rsid w:val="006213DA"/>
    <w:rsid w:val="006340E6"/>
    <w:rsid w:val="00635FE4"/>
    <w:rsid w:val="00643584"/>
    <w:rsid w:val="0065699B"/>
    <w:rsid w:val="006738C6"/>
    <w:rsid w:val="00675E70"/>
    <w:rsid w:val="00683546"/>
    <w:rsid w:val="006849E2"/>
    <w:rsid w:val="00685242"/>
    <w:rsid w:val="006868D6"/>
    <w:rsid w:val="006C3ACB"/>
    <w:rsid w:val="006E6EE4"/>
    <w:rsid w:val="006F5E3D"/>
    <w:rsid w:val="0070671E"/>
    <w:rsid w:val="00707E83"/>
    <w:rsid w:val="007116FF"/>
    <w:rsid w:val="00715DB7"/>
    <w:rsid w:val="00735D56"/>
    <w:rsid w:val="00744690"/>
    <w:rsid w:val="00754D91"/>
    <w:rsid w:val="0075735B"/>
    <w:rsid w:val="00761DF0"/>
    <w:rsid w:val="00767465"/>
    <w:rsid w:val="00775090"/>
    <w:rsid w:val="00787386"/>
    <w:rsid w:val="007D0250"/>
    <w:rsid w:val="007E071E"/>
    <w:rsid w:val="007F4350"/>
    <w:rsid w:val="007F7C1C"/>
    <w:rsid w:val="0080660F"/>
    <w:rsid w:val="00823108"/>
    <w:rsid w:val="00827F8E"/>
    <w:rsid w:val="00856118"/>
    <w:rsid w:val="00856228"/>
    <w:rsid w:val="00861037"/>
    <w:rsid w:val="0087610C"/>
    <w:rsid w:val="00886A69"/>
    <w:rsid w:val="00893EA1"/>
    <w:rsid w:val="008A3A88"/>
    <w:rsid w:val="008A7D91"/>
    <w:rsid w:val="008C2627"/>
    <w:rsid w:val="008F3F2A"/>
    <w:rsid w:val="009169E8"/>
    <w:rsid w:val="00937AC8"/>
    <w:rsid w:val="00945595"/>
    <w:rsid w:val="009620FF"/>
    <w:rsid w:val="009648CC"/>
    <w:rsid w:val="009752F9"/>
    <w:rsid w:val="009761CB"/>
    <w:rsid w:val="00997B3B"/>
    <w:rsid w:val="009C28AF"/>
    <w:rsid w:val="009F2357"/>
    <w:rsid w:val="009F4AE3"/>
    <w:rsid w:val="00A17D20"/>
    <w:rsid w:val="00A34D95"/>
    <w:rsid w:val="00A35C1C"/>
    <w:rsid w:val="00A50A03"/>
    <w:rsid w:val="00A64B9E"/>
    <w:rsid w:val="00A7070C"/>
    <w:rsid w:val="00A8698A"/>
    <w:rsid w:val="00A90560"/>
    <w:rsid w:val="00AB12C0"/>
    <w:rsid w:val="00AB575F"/>
    <w:rsid w:val="00AC3504"/>
    <w:rsid w:val="00AD27F0"/>
    <w:rsid w:val="00AE3EEC"/>
    <w:rsid w:val="00AF0AC3"/>
    <w:rsid w:val="00B05D87"/>
    <w:rsid w:val="00B17C18"/>
    <w:rsid w:val="00B40877"/>
    <w:rsid w:val="00B41502"/>
    <w:rsid w:val="00B4273B"/>
    <w:rsid w:val="00B60200"/>
    <w:rsid w:val="00B602F2"/>
    <w:rsid w:val="00B72511"/>
    <w:rsid w:val="00B94A10"/>
    <w:rsid w:val="00BB44E3"/>
    <w:rsid w:val="00BC269B"/>
    <w:rsid w:val="00BC7DB8"/>
    <w:rsid w:val="00BD1E70"/>
    <w:rsid w:val="00BE00FA"/>
    <w:rsid w:val="00BF009A"/>
    <w:rsid w:val="00BF7ECD"/>
    <w:rsid w:val="00C05929"/>
    <w:rsid w:val="00C26DD6"/>
    <w:rsid w:val="00C345C9"/>
    <w:rsid w:val="00C50962"/>
    <w:rsid w:val="00C84EA5"/>
    <w:rsid w:val="00C8713F"/>
    <w:rsid w:val="00CF08FE"/>
    <w:rsid w:val="00CF7A20"/>
    <w:rsid w:val="00D06EC7"/>
    <w:rsid w:val="00D21129"/>
    <w:rsid w:val="00D319FF"/>
    <w:rsid w:val="00D739B3"/>
    <w:rsid w:val="00DA499C"/>
    <w:rsid w:val="00DB2919"/>
    <w:rsid w:val="00DB66F5"/>
    <w:rsid w:val="00DD0A52"/>
    <w:rsid w:val="00E004D1"/>
    <w:rsid w:val="00E06093"/>
    <w:rsid w:val="00E06D1A"/>
    <w:rsid w:val="00E37DFA"/>
    <w:rsid w:val="00E455FC"/>
    <w:rsid w:val="00E90510"/>
    <w:rsid w:val="00EA5D32"/>
    <w:rsid w:val="00EA7698"/>
    <w:rsid w:val="00EB3E9F"/>
    <w:rsid w:val="00EB6A74"/>
    <w:rsid w:val="00EC176B"/>
    <w:rsid w:val="00ED3484"/>
    <w:rsid w:val="00F26C71"/>
    <w:rsid w:val="00F50C89"/>
    <w:rsid w:val="00F73F51"/>
    <w:rsid w:val="00F77F59"/>
    <w:rsid w:val="00FC5593"/>
    <w:rsid w:val="00FC5CE9"/>
    <w:rsid w:val="00FD7B18"/>
    <w:rsid w:val="00FE51BD"/>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3d111"/>
    </o:shapedefaults>
    <o:shapelayout v:ext="edit">
      <o:idmap v:ext="edit" data="1"/>
    </o:shapelayout>
  </w:shapeDefaults>
  <w:decimalSymbol w:val="."/>
  <w:listSeparator w:val=","/>
  <w14:docId w14:val="580D4AF3"/>
  <w15:docId w15:val="{24FD015C-6473-4CC0-AC75-8618CAE1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739B3"/>
    <w:pPr>
      <w:shd w:val="clear" w:color="auto" w:fill="000080"/>
    </w:pPr>
    <w:rPr>
      <w:rFonts w:ascii="Tahoma" w:hAnsi="Tahoma"/>
    </w:rPr>
  </w:style>
  <w:style w:type="paragraph" w:styleId="BalloonText">
    <w:name w:val="Balloon Text"/>
    <w:basedOn w:val="Normal"/>
    <w:semiHidden/>
    <w:rsid w:val="00FD7B18"/>
    <w:rPr>
      <w:rFonts w:ascii="Tahoma" w:hAnsi="Tahoma" w:cs="Tahoma"/>
      <w:sz w:val="16"/>
      <w:szCs w:val="16"/>
    </w:rPr>
  </w:style>
  <w:style w:type="paragraph" w:styleId="Header">
    <w:name w:val="header"/>
    <w:basedOn w:val="Normal"/>
    <w:link w:val="HeaderChar"/>
    <w:uiPriority w:val="99"/>
    <w:unhideWhenUsed/>
    <w:rsid w:val="00775090"/>
    <w:pPr>
      <w:tabs>
        <w:tab w:val="center" w:pos="4680"/>
        <w:tab w:val="right" w:pos="9360"/>
      </w:tabs>
    </w:pPr>
  </w:style>
  <w:style w:type="character" w:customStyle="1" w:styleId="HeaderChar">
    <w:name w:val="Header Char"/>
    <w:basedOn w:val="DefaultParagraphFont"/>
    <w:link w:val="Header"/>
    <w:uiPriority w:val="99"/>
    <w:rsid w:val="00775090"/>
  </w:style>
  <w:style w:type="paragraph" w:styleId="Footer">
    <w:name w:val="footer"/>
    <w:basedOn w:val="Normal"/>
    <w:link w:val="FooterChar"/>
    <w:uiPriority w:val="99"/>
    <w:unhideWhenUsed/>
    <w:rsid w:val="00775090"/>
    <w:pPr>
      <w:tabs>
        <w:tab w:val="center" w:pos="4680"/>
        <w:tab w:val="right" w:pos="9360"/>
      </w:tabs>
    </w:pPr>
  </w:style>
  <w:style w:type="character" w:customStyle="1" w:styleId="FooterChar">
    <w:name w:val="Footer Char"/>
    <w:basedOn w:val="DefaultParagraphFont"/>
    <w:link w:val="Footer"/>
    <w:uiPriority w:val="99"/>
    <w:rsid w:val="00775090"/>
  </w:style>
  <w:style w:type="character" w:styleId="Hyperlink">
    <w:name w:val="Hyperlink"/>
    <w:basedOn w:val="DefaultParagraphFont"/>
    <w:uiPriority w:val="99"/>
    <w:unhideWhenUsed/>
    <w:rsid w:val="00B05D87"/>
    <w:rPr>
      <w:color w:val="0000FF" w:themeColor="hyperlink"/>
      <w:u w:val="single"/>
    </w:rPr>
  </w:style>
  <w:style w:type="paragraph" w:customStyle="1" w:styleId="msotitle3">
    <w:name w:val="msotitle3"/>
    <w:rsid w:val="00470A98"/>
    <w:pPr>
      <w:jc w:val="center"/>
    </w:pPr>
    <w:rPr>
      <w:rFonts w:ascii="Century Schoolbook" w:hAnsi="Century Schoolbook"/>
      <w:b/>
      <w:bCs/>
      <w:color w:val="000000"/>
      <w:kern w:val="28"/>
      <w:sz w:val="48"/>
      <w:szCs w:val="48"/>
    </w:rPr>
  </w:style>
  <w:style w:type="paragraph" w:styleId="ListParagraph">
    <w:name w:val="List Paragraph"/>
    <w:basedOn w:val="Normal"/>
    <w:uiPriority w:val="34"/>
    <w:qFormat/>
    <w:rsid w:val="00D21129"/>
    <w:pPr>
      <w:ind w:left="720"/>
      <w:contextualSpacing/>
    </w:pPr>
    <w:rPr>
      <w:color w:val="000000"/>
    </w:rPr>
  </w:style>
  <w:style w:type="paragraph" w:customStyle="1" w:styleId="PACellText">
    <w:name w:val="PA_CellText"/>
    <w:basedOn w:val="Normal"/>
    <w:rsid w:val="00D21129"/>
    <w:rPr>
      <w:rFonts w:ascii="Arial" w:eastAsia="SimSun" w:hAnsi="Arial"/>
      <w:lang w:eastAsia="zh-CN"/>
    </w:rPr>
  </w:style>
  <w:style w:type="character" w:customStyle="1" w:styleId="apple-converted-space">
    <w:name w:val="apple-converted-space"/>
    <w:basedOn w:val="DefaultParagraphFont"/>
    <w:rsid w:val="00D2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26040">
      <w:bodyDiv w:val="1"/>
      <w:marLeft w:val="0"/>
      <w:marRight w:val="0"/>
      <w:marTop w:val="0"/>
      <w:marBottom w:val="0"/>
      <w:divBdr>
        <w:top w:val="none" w:sz="0" w:space="0" w:color="auto"/>
        <w:left w:val="none" w:sz="0" w:space="0" w:color="auto"/>
        <w:bottom w:val="none" w:sz="0" w:space="0" w:color="auto"/>
        <w:right w:val="none" w:sz="0" w:space="0" w:color="auto"/>
      </w:divBdr>
      <w:divsChild>
        <w:div w:id="88818258">
          <w:marLeft w:val="0"/>
          <w:marRight w:val="0"/>
          <w:marTop w:val="0"/>
          <w:marBottom w:val="0"/>
          <w:divBdr>
            <w:top w:val="none" w:sz="0" w:space="0" w:color="auto"/>
            <w:left w:val="none" w:sz="0" w:space="0" w:color="auto"/>
            <w:bottom w:val="none" w:sz="0" w:space="0" w:color="auto"/>
            <w:right w:val="none" w:sz="0" w:space="0" w:color="auto"/>
          </w:divBdr>
        </w:div>
      </w:divsChild>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90321493">
      <w:bodyDiv w:val="1"/>
      <w:marLeft w:val="0"/>
      <w:marRight w:val="0"/>
      <w:marTop w:val="0"/>
      <w:marBottom w:val="0"/>
      <w:divBdr>
        <w:top w:val="none" w:sz="0" w:space="0" w:color="auto"/>
        <w:left w:val="none" w:sz="0" w:space="0" w:color="auto"/>
        <w:bottom w:val="none" w:sz="0" w:space="0" w:color="auto"/>
        <w:right w:val="none" w:sz="0" w:space="0" w:color="auto"/>
      </w:divBdr>
    </w:div>
    <w:div w:id="1508864237">
      <w:bodyDiv w:val="1"/>
      <w:marLeft w:val="0"/>
      <w:marRight w:val="0"/>
      <w:marTop w:val="0"/>
      <w:marBottom w:val="0"/>
      <w:divBdr>
        <w:top w:val="none" w:sz="0" w:space="0" w:color="auto"/>
        <w:left w:val="none" w:sz="0" w:space="0" w:color="auto"/>
        <w:bottom w:val="none" w:sz="0" w:space="0" w:color="auto"/>
        <w:right w:val="none" w:sz="0" w:space="0" w:color="auto"/>
      </w:divBdr>
    </w:div>
    <w:div w:id="1522620846">
      <w:bodyDiv w:val="1"/>
      <w:marLeft w:val="0"/>
      <w:marRight w:val="0"/>
      <w:marTop w:val="0"/>
      <w:marBottom w:val="0"/>
      <w:divBdr>
        <w:top w:val="none" w:sz="0" w:space="0" w:color="auto"/>
        <w:left w:val="none" w:sz="0" w:space="0" w:color="auto"/>
        <w:bottom w:val="none" w:sz="0" w:space="0" w:color="auto"/>
        <w:right w:val="none" w:sz="0" w:space="0" w:color="auto"/>
      </w:divBdr>
      <w:divsChild>
        <w:div w:id="1204826490">
          <w:marLeft w:val="0"/>
          <w:marRight w:val="0"/>
          <w:marTop w:val="0"/>
          <w:marBottom w:val="0"/>
          <w:divBdr>
            <w:top w:val="none" w:sz="0" w:space="0" w:color="auto"/>
            <w:left w:val="none" w:sz="0" w:space="0" w:color="auto"/>
            <w:bottom w:val="none" w:sz="0" w:space="0" w:color="auto"/>
            <w:right w:val="none" w:sz="0" w:space="0" w:color="auto"/>
          </w:divBdr>
        </w:div>
        <w:div w:id="491339978">
          <w:marLeft w:val="0"/>
          <w:marRight w:val="0"/>
          <w:marTop w:val="0"/>
          <w:marBottom w:val="0"/>
          <w:divBdr>
            <w:top w:val="none" w:sz="0" w:space="0" w:color="auto"/>
            <w:left w:val="none" w:sz="0" w:space="0" w:color="auto"/>
            <w:bottom w:val="none" w:sz="0" w:space="0" w:color="auto"/>
            <w:right w:val="none" w:sz="0" w:space="0" w:color="auto"/>
          </w:divBdr>
        </w:div>
        <w:div w:id="278070046">
          <w:marLeft w:val="0"/>
          <w:marRight w:val="0"/>
          <w:marTop w:val="0"/>
          <w:marBottom w:val="0"/>
          <w:divBdr>
            <w:top w:val="none" w:sz="0" w:space="0" w:color="auto"/>
            <w:left w:val="none" w:sz="0" w:space="0" w:color="auto"/>
            <w:bottom w:val="none" w:sz="0" w:space="0" w:color="auto"/>
            <w:right w:val="none" w:sz="0" w:space="0" w:color="auto"/>
          </w:divBdr>
        </w:div>
        <w:div w:id="759523862">
          <w:marLeft w:val="0"/>
          <w:marRight w:val="0"/>
          <w:marTop w:val="0"/>
          <w:marBottom w:val="0"/>
          <w:divBdr>
            <w:top w:val="none" w:sz="0" w:space="0" w:color="auto"/>
            <w:left w:val="none" w:sz="0" w:space="0" w:color="auto"/>
            <w:bottom w:val="none" w:sz="0" w:space="0" w:color="auto"/>
            <w:right w:val="none" w:sz="0" w:space="0" w:color="auto"/>
          </w:divBdr>
        </w:div>
        <w:div w:id="1992129651">
          <w:marLeft w:val="0"/>
          <w:marRight w:val="0"/>
          <w:marTop w:val="0"/>
          <w:marBottom w:val="0"/>
          <w:divBdr>
            <w:top w:val="none" w:sz="0" w:space="0" w:color="auto"/>
            <w:left w:val="none" w:sz="0" w:space="0" w:color="auto"/>
            <w:bottom w:val="none" w:sz="0" w:space="0" w:color="auto"/>
            <w:right w:val="none" w:sz="0" w:space="0" w:color="auto"/>
          </w:divBdr>
        </w:div>
        <w:div w:id="2111974175">
          <w:marLeft w:val="0"/>
          <w:marRight w:val="0"/>
          <w:marTop w:val="0"/>
          <w:marBottom w:val="0"/>
          <w:divBdr>
            <w:top w:val="none" w:sz="0" w:space="0" w:color="auto"/>
            <w:left w:val="none" w:sz="0" w:space="0" w:color="auto"/>
            <w:bottom w:val="none" w:sz="0" w:space="0" w:color="auto"/>
            <w:right w:val="none" w:sz="0" w:space="0" w:color="auto"/>
          </w:divBdr>
        </w:div>
        <w:div w:id="372467174">
          <w:marLeft w:val="0"/>
          <w:marRight w:val="0"/>
          <w:marTop w:val="0"/>
          <w:marBottom w:val="0"/>
          <w:divBdr>
            <w:top w:val="none" w:sz="0" w:space="0" w:color="auto"/>
            <w:left w:val="none" w:sz="0" w:space="0" w:color="auto"/>
            <w:bottom w:val="none" w:sz="0" w:space="0" w:color="auto"/>
            <w:right w:val="none" w:sz="0" w:space="0" w:color="auto"/>
          </w:divBdr>
          <w:divsChild>
            <w:div w:id="1483693713">
              <w:marLeft w:val="0"/>
              <w:marRight w:val="0"/>
              <w:marTop w:val="0"/>
              <w:marBottom w:val="0"/>
              <w:divBdr>
                <w:top w:val="none" w:sz="0" w:space="0" w:color="auto"/>
                <w:left w:val="none" w:sz="0" w:space="0" w:color="auto"/>
                <w:bottom w:val="none" w:sz="0" w:space="0" w:color="auto"/>
                <w:right w:val="none" w:sz="0" w:space="0" w:color="auto"/>
              </w:divBdr>
              <w:divsChild>
                <w:div w:id="1815678822">
                  <w:marLeft w:val="0"/>
                  <w:marRight w:val="0"/>
                  <w:marTop w:val="0"/>
                  <w:marBottom w:val="0"/>
                  <w:divBdr>
                    <w:top w:val="none" w:sz="0" w:space="0" w:color="auto"/>
                    <w:left w:val="none" w:sz="0" w:space="0" w:color="auto"/>
                    <w:bottom w:val="none" w:sz="0" w:space="0" w:color="auto"/>
                    <w:right w:val="none" w:sz="0" w:space="0" w:color="auto"/>
                  </w:divBdr>
                </w:div>
                <w:div w:id="10720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809">
      <w:bodyDiv w:val="1"/>
      <w:marLeft w:val="0"/>
      <w:marRight w:val="0"/>
      <w:marTop w:val="0"/>
      <w:marBottom w:val="0"/>
      <w:divBdr>
        <w:top w:val="none" w:sz="0" w:space="0" w:color="auto"/>
        <w:left w:val="none" w:sz="0" w:space="0" w:color="auto"/>
        <w:bottom w:val="none" w:sz="0" w:space="0" w:color="auto"/>
        <w:right w:val="none" w:sz="0" w:space="0" w:color="auto"/>
      </w:divBdr>
    </w:div>
    <w:div w:id="1742487771">
      <w:bodyDiv w:val="1"/>
      <w:marLeft w:val="0"/>
      <w:marRight w:val="0"/>
      <w:marTop w:val="0"/>
      <w:marBottom w:val="0"/>
      <w:divBdr>
        <w:top w:val="none" w:sz="0" w:space="0" w:color="auto"/>
        <w:left w:val="none" w:sz="0" w:space="0" w:color="auto"/>
        <w:bottom w:val="none" w:sz="0" w:space="0" w:color="auto"/>
        <w:right w:val="none" w:sz="0" w:space="0" w:color="auto"/>
      </w:divBdr>
    </w:div>
    <w:div w:id="1882204010">
      <w:bodyDiv w:val="1"/>
      <w:marLeft w:val="0"/>
      <w:marRight w:val="0"/>
      <w:marTop w:val="0"/>
      <w:marBottom w:val="0"/>
      <w:divBdr>
        <w:top w:val="none" w:sz="0" w:space="0" w:color="auto"/>
        <w:left w:val="none" w:sz="0" w:space="0" w:color="auto"/>
        <w:bottom w:val="none" w:sz="0" w:space="0" w:color="auto"/>
        <w:right w:val="none" w:sz="0" w:space="0" w:color="auto"/>
      </w:divBdr>
    </w:div>
    <w:div w:id="21391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 Auditor</vt:lpstr>
    </vt:vector>
  </TitlesOfParts>
  <Company>Utah State Auditor's Office</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Auditor</dc:title>
  <dc:creator>LSIEBENH</dc:creator>
  <cp:lastModifiedBy>Parker Van Eerden</cp:lastModifiedBy>
  <cp:revision>3</cp:revision>
  <cp:lastPrinted>2018-01-23T21:26:00Z</cp:lastPrinted>
  <dcterms:created xsi:type="dcterms:W3CDTF">2025-10-24T17:50:00Z</dcterms:created>
  <dcterms:modified xsi:type="dcterms:W3CDTF">2025-10-24T17:52:00Z</dcterms:modified>
</cp:coreProperties>
</file>