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jc w:val="right"/>
        <w:rPr>
          <w:rFonts w:ascii="Open Sans" w:cs="Open Sans" w:eastAsia="Open Sans" w:hAnsi="Open Sans"/>
          <w:b w:val="1"/>
          <w:sz w:val="20"/>
          <w:szCs w:val="20"/>
          <w:u w:val="single"/>
        </w:rPr>
      </w:pPr>
      <w:bookmarkStart w:colFirst="0" w:colLast="0" w:name="_heading=h.njpx44b8apwx" w:id="0"/>
      <w:bookmarkEnd w:id="0"/>
      <w:r w:rsidDel="00000000" w:rsidR="00000000" w:rsidRPr="00000000">
        <w:rPr>
          <w:rFonts w:ascii="Open Sans" w:cs="Open Sans" w:eastAsia="Open Sans" w:hAnsi="Open Sans"/>
          <w:b w:val="1"/>
          <w:sz w:val="20"/>
          <w:szCs w:val="20"/>
          <w:u w:val="single"/>
          <w:rtl w:val="0"/>
        </w:rPr>
        <w:t xml:space="preserve">Siaran Pers</w:t>
      </w:r>
    </w:p>
    <w:p w:rsidR="00000000" w:rsidDel="00000000" w:rsidP="00000000" w:rsidRDefault="00000000" w:rsidRPr="00000000" w14:paraId="00000002">
      <w:pPr>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Untuk segera dipublikasikan</w:t>
      </w:r>
    </w:p>
    <w:p w:rsidR="00000000" w:rsidDel="00000000" w:rsidP="00000000" w:rsidRDefault="00000000" w:rsidRPr="00000000" w14:paraId="00000003">
      <w:pPr>
        <w:pStyle w:val="Title"/>
        <w:spacing w:after="0" w:before="0" w:lineRule="auto"/>
        <w:jc w:val="center"/>
        <w:rPr>
          <w:rFonts w:ascii="Open Sans" w:cs="Open Sans" w:eastAsia="Open Sans" w:hAnsi="Open Sans"/>
          <w:b w:val="1"/>
          <w:sz w:val="32"/>
          <w:szCs w:val="32"/>
        </w:rPr>
      </w:pPr>
      <w:bookmarkStart w:colFirst="0" w:colLast="0" w:name="_heading=h.v9u5t44ovw1f" w:id="1"/>
      <w:bookmarkEnd w:id="1"/>
      <w:r w:rsidDel="00000000" w:rsidR="00000000" w:rsidRPr="00000000">
        <w:rPr>
          <w:rtl w:val="0"/>
        </w:rPr>
      </w:r>
    </w:p>
    <w:p w:rsidR="00000000" w:rsidDel="00000000" w:rsidP="00000000" w:rsidRDefault="00000000" w:rsidRPr="00000000" w14:paraId="00000004">
      <w:pPr>
        <w:pStyle w:val="Title"/>
        <w:spacing w:after="0" w:before="0" w:lineRule="auto"/>
        <w:jc w:val="center"/>
        <w:rPr>
          <w:rFonts w:ascii="Open Sans" w:cs="Open Sans" w:eastAsia="Open Sans" w:hAnsi="Open Sans"/>
          <w:b w:val="1"/>
          <w:sz w:val="28"/>
          <w:szCs w:val="28"/>
        </w:rPr>
      </w:pPr>
      <w:bookmarkStart w:colFirst="0" w:colLast="0" w:name="_heading=h.41ci4el2p1fg" w:id="2"/>
      <w:bookmarkEnd w:id="2"/>
      <w:r w:rsidDel="00000000" w:rsidR="00000000" w:rsidRPr="00000000">
        <w:rPr>
          <w:rFonts w:ascii="Open Sans" w:cs="Open Sans" w:eastAsia="Open Sans" w:hAnsi="Open Sans"/>
          <w:b w:val="1"/>
          <w:sz w:val="28"/>
          <w:szCs w:val="28"/>
          <w:rtl w:val="0"/>
        </w:rPr>
        <w:t xml:space="preserve">Xurya Ekspansi Bisnis ke Luar Skema </w:t>
      </w:r>
      <w:r w:rsidDel="00000000" w:rsidR="00000000" w:rsidRPr="00000000">
        <w:rPr>
          <w:rFonts w:ascii="Open Sans" w:cs="Open Sans" w:eastAsia="Open Sans" w:hAnsi="Open Sans"/>
          <w:b w:val="1"/>
          <w:i w:val="1"/>
          <w:sz w:val="28"/>
          <w:szCs w:val="28"/>
          <w:rtl w:val="0"/>
        </w:rPr>
        <w:t xml:space="preserve">On-Grid</w:t>
      </w:r>
      <w:r w:rsidDel="00000000" w:rsidR="00000000" w:rsidRPr="00000000">
        <w:rPr>
          <w:rFonts w:ascii="Open Sans" w:cs="Open Sans" w:eastAsia="Open Sans" w:hAnsi="Open Sans"/>
          <w:b w:val="1"/>
          <w:sz w:val="28"/>
          <w:szCs w:val="28"/>
          <w:rtl w:val="0"/>
        </w:rPr>
        <w:t xml:space="preserve">, Jajaki Pasar PLTS </w:t>
      </w:r>
      <w:r w:rsidDel="00000000" w:rsidR="00000000" w:rsidRPr="00000000">
        <w:rPr>
          <w:rFonts w:ascii="Open Sans" w:cs="Open Sans" w:eastAsia="Open Sans" w:hAnsi="Open Sans"/>
          <w:b w:val="1"/>
          <w:i w:val="1"/>
          <w:sz w:val="28"/>
          <w:szCs w:val="28"/>
          <w:rtl w:val="0"/>
        </w:rPr>
        <w:t xml:space="preserve">Off-Grid</w:t>
      </w:r>
      <w:r w:rsidDel="00000000" w:rsidR="00000000" w:rsidRPr="00000000">
        <w:rPr>
          <w:rFonts w:ascii="Open Sans" w:cs="Open Sans" w:eastAsia="Open Sans" w:hAnsi="Open Sans"/>
          <w:b w:val="1"/>
          <w:sz w:val="28"/>
          <w:szCs w:val="28"/>
          <w:rtl w:val="0"/>
        </w:rPr>
        <w:t xml:space="preserve"> dan IPP di Indonesia </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jc w:val="center"/>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Xurya gandeng konsultan global tier-1 dan Australian Development Investments, </w:t>
      </w:r>
    </w:p>
    <w:p w:rsidR="00000000" w:rsidDel="00000000" w:rsidP="00000000" w:rsidRDefault="00000000" w:rsidRPr="00000000" w14:paraId="00000007">
      <w:pPr>
        <w:spacing w:after="0" w:before="0" w:lineRule="auto"/>
        <w:jc w:val="center"/>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umumkan ekspansi bisnis</w:t>
      </w:r>
    </w:p>
    <w:p w:rsidR="00000000" w:rsidDel="00000000" w:rsidP="00000000" w:rsidRDefault="00000000" w:rsidRPr="00000000" w14:paraId="00000008">
      <w:pPr>
        <w:spacing w:after="0" w:before="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spacing w:after="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Jakarta, 1 Oktober 2025</w:t>
      </w:r>
      <w:r w:rsidDel="00000000" w:rsidR="00000000" w:rsidRPr="00000000">
        <w:rPr>
          <w:rFonts w:ascii="Open Sans" w:cs="Open Sans" w:eastAsia="Open Sans" w:hAnsi="Open Sans"/>
          <w:sz w:val="20"/>
          <w:szCs w:val="20"/>
          <w:rtl w:val="0"/>
        </w:rPr>
        <w:t xml:space="preserve"> – Xurya, pionir skema sewa sistem pembangkit listrik tenaga surya (PLTS) tanpa biaya awal di Indonesia, mengumumkan langkah ekspansi bisnis signifikan ke sektor PLTS </w:t>
      </w:r>
      <w:r w:rsidDel="00000000" w:rsidR="00000000" w:rsidRPr="00000000">
        <w:rPr>
          <w:rFonts w:ascii="Open Sans" w:cs="Open Sans" w:eastAsia="Open Sans" w:hAnsi="Open Sans"/>
          <w:i w:val="1"/>
          <w:sz w:val="20"/>
          <w:szCs w:val="20"/>
          <w:rtl w:val="0"/>
        </w:rPr>
        <w:t xml:space="preserve">off-grid</w:t>
      </w:r>
      <w:r w:rsidDel="00000000" w:rsidR="00000000" w:rsidRPr="00000000">
        <w:rPr>
          <w:rFonts w:ascii="Open Sans" w:cs="Open Sans" w:eastAsia="Open Sans" w:hAnsi="Open Sans"/>
          <w:sz w:val="20"/>
          <w:szCs w:val="20"/>
          <w:rtl w:val="0"/>
        </w:rPr>
        <w:t xml:space="preserve"> untuk segmen komersial &amp; industri (C&amp;I) serta proyek </w:t>
      </w:r>
      <w:r w:rsidDel="00000000" w:rsidR="00000000" w:rsidRPr="00000000">
        <w:rPr>
          <w:rFonts w:ascii="Open Sans" w:cs="Open Sans" w:eastAsia="Open Sans" w:hAnsi="Open Sans"/>
          <w:i w:val="1"/>
          <w:sz w:val="20"/>
          <w:szCs w:val="20"/>
          <w:rtl w:val="0"/>
        </w:rPr>
        <w:t xml:space="preserve">Independent Power Producer </w:t>
      </w:r>
      <w:r w:rsidDel="00000000" w:rsidR="00000000" w:rsidRPr="00000000">
        <w:rPr>
          <w:rFonts w:ascii="Open Sans" w:cs="Open Sans" w:eastAsia="Open Sans" w:hAnsi="Open Sans"/>
          <w:sz w:val="20"/>
          <w:szCs w:val="20"/>
          <w:rtl w:val="0"/>
        </w:rPr>
        <w:t xml:space="preserve">(IPP). </w:t>
      </w:r>
      <w:r w:rsidDel="00000000" w:rsidR="00000000" w:rsidRPr="00000000">
        <w:rPr>
          <w:rFonts w:ascii="Open Sans" w:cs="Open Sans" w:eastAsia="Open Sans" w:hAnsi="Open Sans"/>
          <w:sz w:val="20"/>
          <w:szCs w:val="20"/>
          <w:rtl w:val="0"/>
        </w:rPr>
        <w:t xml:space="preserve">Langkah ini menegaskan kembali komitmen Xurya untuk bergotong-royong dengan seluruh pemangku kepentingan dalam mewujudkan swasembada energi nasional, dan dengan demikian mengukuhkan peran Xurya sebagai katalis yang mempercepat transisi energi serta agenda pembangunan berkelanjutan di Indonesia.</w:t>
      </w:r>
    </w:p>
    <w:p w:rsidR="00000000" w:rsidDel="00000000" w:rsidP="00000000" w:rsidRDefault="00000000" w:rsidRPr="00000000" w14:paraId="0000000A">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Dikenal karena model bisnisnya yang inovatif, penguasaan teknis yang kuat, dan komitmen terhadap praktik bisnis yang berkelanjutan, Xurya merupakan katalisator pertumbuhan masif PLTS atap di Indonesia, dan kini telah berkembang pesat menjadi salah satu pemain utama di pasar energi surya nasional. Hingga saat ini, Xurya telah mendapatkan  lebih dari 200 MWp proyek PLTS di seluruh Indonesia, dan menawarkan solusi lengkap untuk pelaku industri di sektor komersial dan industri – mulai dari studi kelayakan, desain sistem, instalasi, hingga operasi dan pemeliharaan.</w:t>
      </w:r>
    </w:p>
    <w:p w:rsidR="00000000" w:rsidDel="00000000" w:rsidP="00000000" w:rsidRDefault="00000000" w:rsidRPr="00000000" w14:paraId="0000000C">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Strategi baru Xurya ini mendukung Rencana Usaha Penyediaan Tenaga Listrik (RUPTL) 2025-2035, yang menargetkan 38 GW kapasitas listrik dari energi terbarukan pada tahun 2035, dimana energi surya menjadi kontributor terbesar. RUPTL juga menyoroti pentingnya pemerataan akses energi di daerah tertinggal, terluar, dan terdepan (3T) dalam mendukung berbagai proyek prioritas pemerintah. </w:t>
      </w:r>
    </w:p>
    <w:p w:rsidR="00000000" w:rsidDel="00000000" w:rsidP="00000000" w:rsidRDefault="00000000" w:rsidRPr="00000000" w14:paraId="0000000E">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Eka Himawan, Managing Director Xurya</w:t>
      </w:r>
      <w:r w:rsidDel="00000000" w:rsidR="00000000" w:rsidRPr="00000000">
        <w:rPr>
          <w:rFonts w:ascii="Open Sans" w:cs="Open Sans" w:eastAsia="Open Sans" w:hAnsi="Open Sans"/>
          <w:sz w:val="20"/>
          <w:szCs w:val="20"/>
          <w:rtl w:val="0"/>
        </w:rPr>
        <w:t xml:space="preserve"> menjelaskan, “Keputusan ini bukan sekadar suatu langkah bisnis, tetapi lompatan besar dalam misi kami untuk menghadirkan energi bersih yang terjangkau bagi semua. Melalui RUPTL terbaru, pemerintah telah menunjukkan komitmen yang semakin kuat terhadap industri energi surya. Oleh karenanya, kami pun melihat tumbuhnya momentum dan peran penting dari segmen IPP – baik untuk PLN maupun kawasan industri – dalam transisi energi ke depannya. Xurya siap bergotong royong dengan seluruh pemangku kepentingan dalam berkontribusi kepada program swasembada energi nasional. Kami akan membawa pengalaman luas kami sebagai pengembang proyek energi surya paling terkemuka di Indonesia, kemampuan kami dalam mengoperasikan aset yang tersebar luas, serta tim ahli yang 100% berasal dari Indonesia.”</w:t>
      </w:r>
    </w:p>
    <w:p w:rsidR="00000000" w:rsidDel="00000000" w:rsidP="00000000" w:rsidRDefault="00000000" w:rsidRPr="00000000" w14:paraId="00000010">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Sebelumnya, Xurya telah bekerja sama dengan konsultan global tier-1 untuk melakukan studi kesiapan institusi dan kajian pasar secara komprehensif terhadap peluang proyek PLTS </w:t>
      </w:r>
      <w:r w:rsidDel="00000000" w:rsidR="00000000" w:rsidRPr="00000000">
        <w:rPr>
          <w:rFonts w:ascii="Open Sans" w:cs="Open Sans" w:eastAsia="Open Sans" w:hAnsi="Open Sans"/>
          <w:i w:val="1"/>
          <w:sz w:val="20"/>
          <w:szCs w:val="20"/>
          <w:rtl w:val="0"/>
        </w:rPr>
        <w:t xml:space="preserve">off-grid</w:t>
      </w:r>
      <w:r w:rsidDel="00000000" w:rsidR="00000000" w:rsidRPr="00000000">
        <w:rPr>
          <w:rFonts w:ascii="Open Sans" w:cs="Open Sans" w:eastAsia="Open Sans" w:hAnsi="Open Sans"/>
          <w:sz w:val="20"/>
          <w:szCs w:val="20"/>
          <w:rtl w:val="0"/>
        </w:rPr>
        <w:t xml:space="preserve"> dan IPP di Indonesia. Hasil studi ini telah membantu perusahaan dalam merumuskan suatu strategi eksekusi yang memanfaatkan kelebihan-kelebihan Xurya sebagai pemimpin dalam pasar PLTS </w:t>
      </w:r>
      <w:r w:rsidDel="00000000" w:rsidR="00000000" w:rsidRPr="00000000">
        <w:rPr>
          <w:rFonts w:ascii="Open Sans" w:cs="Open Sans" w:eastAsia="Open Sans" w:hAnsi="Open Sans"/>
          <w:i w:val="1"/>
          <w:sz w:val="20"/>
          <w:szCs w:val="20"/>
          <w:rtl w:val="0"/>
        </w:rPr>
        <w:t xml:space="preserve">on-grid</w:t>
      </w:r>
      <w:r w:rsidDel="00000000" w:rsidR="00000000" w:rsidRPr="00000000">
        <w:rPr>
          <w:rFonts w:ascii="Open Sans" w:cs="Open Sans" w:eastAsia="Open Sans" w:hAnsi="Open Sans"/>
          <w:sz w:val="20"/>
          <w:szCs w:val="20"/>
          <w:rtl w:val="0"/>
        </w:rPr>
        <w:t xml:space="preserve">, sebagai perusahaan yang telah tersertifikasi B Corporation, serta perusahaan dengan budaya yang </w:t>
      </w:r>
      <w:r w:rsidDel="00000000" w:rsidR="00000000" w:rsidRPr="00000000">
        <w:rPr>
          <w:rFonts w:ascii="Open Sans" w:cs="Open Sans" w:eastAsia="Open Sans" w:hAnsi="Open Sans"/>
          <w:sz w:val="20"/>
          <w:szCs w:val="20"/>
          <w:rtl w:val="0"/>
        </w:rPr>
        <w:t xml:space="preserve">teknologi</w:t>
      </w:r>
      <w:r w:rsidDel="00000000" w:rsidR="00000000" w:rsidRPr="00000000">
        <w:rPr>
          <w:rFonts w:ascii="Open Sans" w:cs="Open Sans" w:eastAsia="Open Sans" w:hAnsi="Open Sans"/>
          <w:sz w:val="20"/>
          <w:szCs w:val="20"/>
          <w:rtl w:val="0"/>
        </w:rPr>
        <w:t xml:space="preserve">-sentris. Studi ini juga didukung oleh Australian Development Investments (ADI) melalui </w:t>
      </w:r>
      <w:r w:rsidDel="00000000" w:rsidR="00000000" w:rsidRPr="00000000">
        <w:rPr>
          <w:rFonts w:ascii="Open Sans" w:cs="Open Sans" w:eastAsia="Open Sans" w:hAnsi="Open Sans"/>
          <w:i w:val="1"/>
          <w:sz w:val="20"/>
          <w:szCs w:val="20"/>
          <w:rtl w:val="0"/>
        </w:rPr>
        <w:t xml:space="preserve">Technical Assistance Facility </w:t>
      </w:r>
      <w:r w:rsidDel="00000000" w:rsidR="00000000" w:rsidRPr="00000000">
        <w:rPr>
          <w:rFonts w:ascii="Open Sans" w:cs="Open Sans" w:eastAsia="Open Sans" w:hAnsi="Open Sans"/>
          <w:sz w:val="20"/>
          <w:szCs w:val="20"/>
          <w:rtl w:val="0"/>
        </w:rPr>
        <w:t xml:space="preserve">milik mereka.</w:t>
      </w:r>
    </w:p>
    <w:p w:rsidR="00000000" w:rsidDel="00000000" w:rsidP="00000000" w:rsidRDefault="00000000" w:rsidRPr="00000000" w14:paraId="00000012">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“Keputusan ini bukan hal yang instan,” tambah </w:t>
      </w:r>
      <w:r w:rsidDel="00000000" w:rsidR="00000000" w:rsidRPr="00000000">
        <w:rPr>
          <w:rFonts w:ascii="Open Sans" w:cs="Open Sans" w:eastAsia="Open Sans" w:hAnsi="Open Sans"/>
          <w:b w:val="1"/>
          <w:sz w:val="20"/>
          <w:szCs w:val="20"/>
          <w:rtl w:val="0"/>
        </w:rPr>
        <w:t xml:space="preserve">Edwin Widjonarko, Director of Technology Xurya</w:t>
      </w:r>
      <w:r w:rsidDel="00000000" w:rsidR="00000000" w:rsidRPr="00000000">
        <w:rPr>
          <w:rFonts w:ascii="Open Sans" w:cs="Open Sans" w:eastAsia="Open Sans" w:hAnsi="Open Sans"/>
          <w:sz w:val="20"/>
          <w:szCs w:val="20"/>
          <w:rtl w:val="0"/>
        </w:rPr>
        <w:t xml:space="preserve">. “Xurya telah mempersiapkan diri selama beberapa tahun terakhir: kami telah membangun keahlian teknis dan operasional dalam teknologi penyimpanan energi (baterai), memperluas kemitraan teknologi dengan lebih banyak pemain lokal, dan menjajaki pendekatan operasional yang efisien di wilayah terpencil. Kami juga telah memiliki beberapa proyek </w:t>
      </w:r>
      <w:r w:rsidDel="00000000" w:rsidR="00000000" w:rsidRPr="00000000">
        <w:rPr>
          <w:rFonts w:ascii="Open Sans" w:cs="Open Sans" w:eastAsia="Open Sans" w:hAnsi="Open Sans"/>
          <w:i w:val="1"/>
          <w:sz w:val="20"/>
          <w:szCs w:val="20"/>
          <w:rtl w:val="0"/>
        </w:rPr>
        <w:t xml:space="preserve">off-grid </w:t>
      </w:r>
      <w:r w:rsidDel="00000000" w:rsidR="00000000" w:rsidRPr="00000000">
        <w:rPr>
          <w:rFonts w:ascii="Open Sans" w:cs="Open Sans" w:eastAsia="Open Sans" w:hAnsi="Open Sans"/>
          <w:sz w:val="20"/>
          <w:szCs w:val="20"/>
          <w:rtl w:val="0"/>
        </w:rPr>
        <w:t xml:space="preserve">yang memberi kami kesempatan untuk menguji berbagai pendekatan tersebut langsung di lapangan, menyempurnakannya, dan meningkatkannya untuk proyek-proyek IPP berskala lebih besar.”</w:t>
      </w:r>
    </w:p>
    <w:p w:rsidR="00000000" w:rsidDel="00000000" w:rsidP="00000000" w:rsidRDefault="00000000" w:rsidRPr="00000000" w14:paraId="00000014">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Menariknya, riset ini juga menyoroti bahwa kesuksesan dalam segmen </w:t>
      </w:r>
      <w:r w:rsidDel="00000000" w:rsidR="00000000" w:rsidRPr="00000000">
        <w:rPr>
          <w:rFonts w:ascii="Open Sans" w:cs="Open Sans" w:eastAsia="Open Sans" w:hAnsi="Open Sans"/>
          <w:sz w:val="20"/>
          <w:szCs w:val="20"/>
          <w:rtl w:val="0"/>
        </w:rPr>
        <w:t xml:space="preserve">IPP</w:t>
      </w:r>
      <w:r w:rsidDel="00000000" w:rsidR="00000000" w:rsidRPr="00000000">
        <w:rPr>
          <w:rFonts w:ascii="Open Sans" w:cs="Open Sans" w:eastAsia="Open Sans" w:hAnsi="Open Sans"/>
          <w:sz w:val="20"/>
          <w:szCs w:val="20"/>
          <w:rtl w:val="0"/>
        </w:rPr>
        <w:t xml:space="preserve"> bukan hanya tergantung pada pembiayaan atau teknologi, tetapi juga pada kesiapan dari segi institusional. Terutamanya, faktor-faktor </w:t>
      </w:r>
      <w:r w:rsidDel="00000000" w:rsidR="00000000" w:rsidRPr="00000000">
        <w:rPr>
          <w:rFonts w:ascii="Open Sans" w:cs="Open Sans" w:eastAsia="Open Sans" w:hAnsi="Open Sans"/>
          <w:i w:val="1"/>
          <w:sz w:val="20"/>
          <w:szCs w:val="20"/>
          <w:rtl w:val="0"/>
        </w:rPr>
        <w:t xml:space="preserve">Environmental, Social, and Governance</w:t>
      </w:r>
      <w:r w:rsidDel="00000000" w:rsidR="00000000" w:rsidRPr="00000000">
        <w:rPr>
          <w:rFonts w:ascii="Open Sans" w:cs="Open Sans" w:eastAsia="Open Sans" w:hAnsi="Open Sans"/>
          <w:sz w:val="20"/>
          <w:szCs w:val="20"/>
          <w:rtl w:val="0"/>
        </w:rPr>
        <w:t xml:space="preserve"> (ESG), seperti Kesetaraan Gender, Disabilitas, dan Inklusi Sosial (GEDSI), telah semakin sering diangkat terutama oleh klien yang ingin selaras dengan standar dampak global, atau sebagai bagian dari mendapatkan pendanaan jangka panjang yang berkelanjutan.</w:t>
      </w:r>
    </w:p>
    <w:p w:rsidR="00000000" w:rsidDel="00000000" w:rsidP="00000000" w:rsidRDefault="00000000" w:rsidRPr="00000000" w14:paraId="00000016">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spacing w:after="0" w:before="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“Banyak tantangan dalam sektor </w:t>
      </w:r>
      <w:r w:rsidDel="00000000" w:rsidR="00000000" w:rsidRPr="00000000">
        <w:rPr>
          <w:rFonts w:ascii="Open Sans" w:cs="Open Sans" w:eastAsia="Open Sans" w:hAnsi="Open Sans"/>
          <w:i w:val="1"/>
          <w:sz w:val="20"/>
          <w:szCs w:val="20"/>
          <w:rtl w:val="0"/>
        </w:rPr>
        <w:t xml:space="preserve">off-grid</w:t>
      </w:r>
      <w:r w:rsidDel="00000000" w:rsidR="00000000" w:rsidRPr="00000000">
        <w:rPr>
          <w:rFonts w:ascii="Open Sans" w:cs="Open Sans" w:eastAsia="Open Sans" w:hAnsi="Open Sans"/>
          <w:sz w:val="20"/>
          <w:szCs w:val="20"/>
          <w:rtl w:val="0"/>
        </w:rPr>
        <w:t xml:space="preserve"> bukan bersifat teknis, tapi institusional. Selama ini, Xurya telah terus-menerus membangun bukan hanya kapabilitas teknis, tetapi juga tata kelola kami dan penekanan terhadap ESG. Hasilnya terlihat nyata dari berbagai pencapaian kami yang beruntun. Dua tahun lalu kami berhasil masuk dalam daftar </w:t>
      </w:r>
      <w:r w:rsidDel="00000000" w:rsidR="00000000" w:rsidRPr="00000000">
        <w:rPr>
          <w:rFonts w:ascii="Open Sans" w:cs="Open Sans" w:eastAsia="Open Sans" w:hAnsi="Open Sans"/>
          <w:i w:val="1"/>
          <w:sz w:val="20"/>
          <w:szCs w:val="20"/>
          <w:rtl w:val="0"/>
        </w:rPr>
        <w:t xml:space="preserve">Forbes Asia 100 to Watch</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rtl w:val="0"/>
        </w:rPr>
        <w:t xml:space="preserve"> Tahun lalu kami meraih sertifikasi B Corporation. Hari ini, Xurya bukan hanya hadir, tapi juga siap untuk memimpin. </w:t>
      </w:r>
      <w:r w:rsidDel="00000000" w:rsidR="00000000" w:rsidRPr="00000000">
        <w:rPr>
          <w:rFonts w:ascii="Open Sans" w:cs="Open Sans" w:eastAsia="Open Sans" w:hAnsi="Open Sans"/>
          <w:sz w:val="20"/>
          <w:szCs w:val="20"/>
          <w:rtl w:val="0"/>
        </w:rPr>
        <w:t xml:space="preserve">Selanjutnya, kami berkomitmen untuk terus memperkuat</w:t>
      </w:r>
      <w:r w:rsidDel="00000000" w:rsidR="00000000" w:rsidRPr="00000000">
        <w:rPr>
          <w:rFonts w:ascii="Open Sans" w:cs="Open Sans" w:eastAsia="Open Sans" w:hAnsi="Open Sans"/>
          <w:i w:val="1"/>
          <w:sz w:val="20"/>
          <w:szCs w:val="20"/>
          <w:rtl w:val="0"/>
        </w:rPr>
        <w:t xml:space="preserve"> </w:t>
      </w:r>
      <w:r w:rsidDel="00000000" w:rsidR="00000000" w:rsidRPr="00000000">
        <w:rPr>
          <w:rFonts w:ascii="Open Sans" w:cs="Open Sans" w:eastAsia="Open Sans" w:hAnsi="Open Sans"/>
          <w:sz w:val="20"/>
          <w:szCs w:val="20"/>
          <w:rtl w:val="0"/>
        </w:rPr>
        <w:t xml:space="preserve">strategi </w:t>
      </w:r>
      <w:r w:rsidDel="00000000" w:rsidR="00000000" w:rsidRPr="00000000">
        <w:rPr>
          <w:rFonts w:ascii="Open Sans" w:cs="Open Sans" w:eastAsia="Open Sans" w:hAnsi="Open Sans"/>
          <w:i w:val="1"/>
          <w:sz w:val="20"/>
          <w:szCs w:val="20"/>
          <w:rtl w:val="0"/>
        </w:rPr>
        <w:t xml:space="preserve">ESG</w:t>
      </w:r>
      <w:r w:rsidDel="00000000" w:rsidR="00000000" w:rsidRPr="00000000">
        <w:rPr>
          <w:rFonts w:ascii="Open Sans" w:cs="Open Sans" w:eastAsia="Open Sans" w:hAnsi="Open Sans"/>
          <w:sz w:val="20"/>
          <w:szCs w:val="20"/>
          <w:rtl w:val="0"/>
        </w:rPr>
        <w:t xml:space="preserve"> kami, termasuk mendorong inisiatif kesetaraan gender, memperkuat tanggung jawab terhadap lingkungan, serta memastikan dampak yang inklusif bagi seluruh pemangku kepentingan. Inilah cara kami untuk terus menjaga prestasi, meningkatkan pencapaian, dan berkontribusi nyata bagi swasembada energi nasional</w:t>
      </w:r>
      <w:r w:rsidDel="00000000" w:rsidR="00000000" w:rsidRPr="00000000">
        <w:rPr>
          <w:rFonts w:ascii="Open Sans" w:cs="Open Sans" w:eastAsia="Open Sans" w:hAnsi="Open Sans"/>
          <w:sz w:val="20"/>
          <w:szCs w:val="20"/>
          <w:rtl w:val="0"/>
        </w:rPr>
        <w:t xml:space="preserve">,” tutup Eka.</w:t>
      </w:r>
    </w:p>
    <w:p w:rsidR="00000000" w:rsidDel="00000000" w:rsidP="00000000" w:rsidRDefault="00000000" w:rsidRPr="00000000" w14:paraId="00000018">
      <w:pPr>
        <w:spacing w:after="0" w:before="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jc w:val="center"/>
        <w:rPr>
          <w:rFonts w:ascii="Open Sans" w:cs="Open Sans" w:eastAsia="Open Sans" w:hAnsi="Open Sans"/>
          <w:sz w:val="22"/>
          <w:szCs w:val="22"/>
        </w:rPr>
      </w:pPr>
      <w:r w:rsidDel="00000000" w:rsidR="00000000" w:rsidRPr="00000000">
        <w:rPr>
          <w:rFonts w:ascii="Open Sans" w:cs="Open Sans" w:eastAsia="Open Sans" w:hAnsi="Open Sans"/>
          <w:sz w:val="20"/>
          <w:szCs w:val="20"/>
          <w:rtl w:val="0"/>
        </w:rPr>
        <w:t xml:space="preserve">– selesai –</w:t>
      </w:r>
      <w:r w:rsidDel="00000000" w:rsidR="00000000" w:rsidRPr="00000000">
        <w:rPr>
          <w:rtl w:val="0"/>
        </w:rPr>
      </w:r>
    </w:p>
    <w:p w:rsidR="00000000" w:rsidDel="00000000" w:rsidP="00000000" w:rsidRDefault="00000000" w:rsidRPr="00000000" w14:paraId="0000001A">
      <w:pPr>
        <w:spacing w:after="0" w:line="276" w:lineRule="auto"/>
        <w:jc w:val="both"/>
        <w:rPr>
          <w:rFonts w:ascii="Open Sans" w:cs="Open Sans" w:eastAsia="Open Sans" w:hAnsi="Open Sans"/>
          <w:b w:val="1"/>
          <w:sz w:val="18"/>
          <w:szCs w:val="18"/>
          <w:u w:val="single"/>
        </w:rPr>
      </w:pPr>
      <w:r w:rsidDel="00000000" w:rsidR="00000000" w:rsidRPr="00000000">
        <w:rPr>
          <w:rtl w:val="0"/>
        </w:rPr>
      </w:r>
    </w:p>
    <w:p w:rsidR="00000000" w:rsidDel="00000000" w:rsidP="00000000" w:rsidRDefault="00000000" w:rsidRPr="00000000" w14:paraId="0000001B">
      <w:pPr>
        <w:spacing w:after="0" w:line="240" w:lineRule="auto"/>
        <w:jc w:val="both"/>
        <w:rPr>
          <w:rFonts w:ascii="Open Sans" w:cs="Open Sans" w:eastAsia="Open Sans" w:hAnsi="Open Sans"/>
          <w:b w:val="1"/>
          <w:sz w:val="18"/>
          <w:szCs w:val="18"/>
          <w:u w:val="single"/>
        </w:rPr>
      </w:pPr>
      <w:r w:rsidDel="00000000" w:rsidR="00000000" w:rsidRPr="00000000">
        <w:rPr>
          <w:rFonts w:ascii="Open Sans" w:cs="Open Sans" w:eastAsia="Open Sans" w:hAnsi="Open Sans"/>
          <w:b w:val="1"/>
          <w:sz w:val="18"/>
          <w:szCs w:val="18"/>
          <w:u w:val="single"/>
          <w:rtl w:val="0"/>
        </w:rPr>
        <w:t xml:space="preserve">Tentang Xurya Daya Indonesia</w:t>
      </w:r>
    </w:p>
    <w:p w:rsidR="00000000" w:rsidDel="00000000" w:rsidP="00000000" w:rsidRDefault="00000000" w:rsidRPr="00000000" w14:paraId="0000001C">
      <w:pPr>
        <w:widowControl w:val="0"/>
        <w:spacing w:after="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PT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Daya Indonesia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adalah perusahaan energi terbarukan yang berbasis di Indonesia dengan visi untuk merevolusi industri energi Indonesia.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mempelopori metode sewa tanpa biaya awal untuk memberikan insentif kepada perusahaan komersial dan industri untuk beralih ke energi surya.</w:t>
      </w:r>
    </w:p>
    <w:p w:rsidR="00000000" w:rsidDel="00000000" w:rsidP="00000000" w:rsidRDefault="00000000" w:rsidRPr="00000000" w14:paraId="0000001D">
      <w:pPr>
        <w:widowControl w:val="0"/>
        <w:spacing w:after="0"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bertujuan untuk memudahkan perusahaan menggunakan energi bersih dan terbarukan dengan memberikan solusi lengkap kepada klien mulai dari opsi pendanaan, desain teknis, studi kelayakan, instalasi, pengoperasian dan pemeliharaan.</w:t>
      </w:r>
    </w:p>
    <w:p w:rsidR="00000000" w:rsidDel="00000000" w:rsidP="00000000" w:rsidRDefault="00000000" w:rsidRPr="00000000" w14:paraId="0000001F">
      <w:pPr>
        <w:widowControl w:val="0"/>
        <w:spacing w:after="0"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Sampai saat ini, Xurya telah memasang dan mengoperasikan PLTS dengan kapasitas lebih dari 100 MW di lebih dari 100 perusahaan dari berbagai segmen industri, seperti hotel, pusat perbelanjaan, rumah sakit, cold storage, logistik, kawasan industri, dan manufaktur (air mineral, baja, ban mobil, benih sayuran, beton, cat, consumer goods, keramik, kimia, makanan, tekstil, dll). PLTS atap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tersebar di seluruh Indonesia, mulai dari Sumatera Utara, Sumatera Selatan, Lampung, DKI Jakarta, Banten, Jawa Barat, Jawa Tengah, Jawa Timur, Bali, Nusa Tenggara Timur, Kalimantan Selatan, dan Sulawesi Selatan.</w:t>
      </w:r>
    </w:p>
    <w:p w:rsidR="00000000" w:rsidDel="00000000" w:rsidP="00000000" w:rsidRDefault="00000000" w:rsidRPr="00000000" w14:paraId="00000021">
      <w:pPr>
        <w:widowControl w:val="0"/>
        <w:spacing w:after="0"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Informasi lebih lanjut mengenai Xurya Daya Indonesia dapat diakses melalui </w:t>
      </w:r>
      <w:hyperlink r:id="rId7">
        <w:r w:rsidDel="00000000" w:rsidR="00000000" w:rsidRPr="00000000">
          <w:rPr>
            <w:rFonts w:ascii="Open Sans" w:cs="Open Sans" w:eastAsia="Open Sans" w:hAnsi="Open Sans"/>
            <w:color w:val="1155cc"/>
            <w:sz w:val="18"/>
            <w:szCs w:val="18"/>
            <w:u w:val="single"/>
            <w:rtl w:val="0"/>
          </w:rPr>
          <w:t xml:space="preserve">xurya.com</w:t>
        </w:r>
      </w:hyperlink>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23">
      <w:pPr>
        <w:widowControl w:val="0"/>
        <w:spacing w:after="0"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4">
      <w:pPr>
        <w:spacing w:after="0" w:line="240" w:lineRule="auto"/>
        <w:jc w:val="both"/>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rFonts w:ascii="Open Sans" w:cs="Open Sans" w:eastAsia="Open Sans" w:hAnsi="Open Sans"/>
          <w:b w:val="1"/>
          <w:sz w:val="18"/>
          <w:szCs w:val="18"/>
          <w:u w:val="single"/>
        </w:rPr>
      </w:pPr>
      <w:r w:rsidDel="00000000" w:rsidR="00000000" w:rsidRPr="00000000">
        <w:rPr>
          <w:rFonts w:ascii="Open Sans" w:cs="Open Sans" w:eastAsia="Open Sans" w:hAnsi="Open Sans"/>
          <w:b w:val="1"/>
          <w:sz w:val="18"/>
          <w:szCs w:val="18"/>
          <w:rtl w:val="0"/>
        </w:rPr>
        <w:t xml:space="preserve">Informasi dan kontak media:</w:t>
        <w:tab/>
        <w:tab/>
        <w:tab/>
        <w:tab/>
        <w:tab/>
        <w:tab/>
        <w:tab/>
      </w:r>
      <w:r w:rsidDel="00000000" w:rsidR="00000000" w:rsidRPr="00000000">
        <w:rPr>
          <w:rtl w:val="0"/>
        </w:rPr>
      </w:r>
    </w:p>
    <w:p w:rsidR="00000000" w:rsidDel="00000000" w:rsidP="00000000" w:rsidRDefault="00000000" w:rsidRPr="00000000" w14:paraId="00000026">
      <w:pPr>
        <w:spacing w:after="0" w:line="240" w:lineRule="auto"/>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Bella Sakinah</w:t>
        <w:tab/>
        <w:tab/>
        <w:tab/>
        <w:tab/>
        <w:tab/>
        <w:tab/>
      </w:r>
    </w:p>
    <w:p w:rsidR="00000000" w:rsidDel="00000000" w:rsidP="00000000" w:rsidRDefault="00000000" w:rsidRPr="00000000" w14:paraId="00000027">
      <w:pPr>
        <w:spacing w:after="0" w:line="240" w:lineRule="auto"/>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Sr. PR Specialist </w:t>
      </w:r>
      <w:r w:rsidDel="00000000" w:rsidR="00000000" w:rsidRPr="00000000">
        <w:rPr>
          <w:rFonts w:ascii="Open Sans" w:cs="Open Sans" w:eastAsia="Open Sans" w:hAnsi="Open Sans"/>
          <w:b w:val="1"/>
          <w:sz w:val="18"/>
          <w:szCs w:val="18"/>
          <w:rtl w:val="0"/>
        </w:rPr>
        <w:t xml:space="preserve">Xurya</w:t>
      </w:r>
      <w:r w:rsidDel="00000000" w:rsidR="00000000" w:rsidRPr="00000000">
        <w:rPr>
          <w:rFonts w:ascii="Open Sans" w:cs="Open Sans" w:eastAsia="Open Sans" w:hAnsi="Open Sans"/>
          <w:b w:val="1"/>
          <w:sz w:val="18"/>
          <w:szCs w:val="18"/>
          <w:rtl w:val="0"/>
        </w:rPr>
        <w:t xml:space="preserve"> Daya Indonesia</w:t>
        <w:tab/>
        <w:tab/>
        <w:tab/>
      </w:r>
    </w:p>
    <w:p w:rsidR="00000000" w:rsidDel="00000000" w:rsidP="00000000" w:rsidRDefault="00000000" w:rsidRPr="00000000" w14:paraId="00000028">
      <w:pPr>
        <w:spacing w:after="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bella@xurya.com</w:t>
        <w:tab/>
        <w:tab/>
        <w:tab/>
        <w:tab/>
        <w:tab/>
        <w:tab/>
      </w:r>
    </w:p>
    <w:p w:rsidR="00000000" w:rsidDel="00000000" w:rsidP="00000000" w:rsidRDefault="00000000" w:rsidRPr="00000000" w14:paraId="00000029">
      <w:pPr>
        <w:spacing w:after="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0812 1412 4895</w:t>
      </w:r>
    </w:p>
    <w:p w:rsidR="00000000" w:rsidDel="00000000" w:rsidP="00000000" w:rsidRDefault="00000000" w:rsidRPr="00000000" w14:paraId="0000002A">
      <w:pPr>
        <w:jc w:val="left"/>
        <w:rPr>
          <w:rFonts w:ascii="Open Sans" w:cs="Open Sans" w:eastAsia="Open Sans" w:hAnsi="Open Sans"/>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center" w:leader="none" w:pos="4320"/>
        <w:tab w:val="right" w:leader="none" w:pos="8640"/>
      </w:tabs>
      <w:spacing w:after="0" w:line="240" w:lineRule="auto"/>
      <w:rPr/>
    </w:pPr>
    <w:r w:rsidDel="00000000" w:rsidR="00000000" w:rsidRPr="00000000">
      <w:rPr>
        <w:rFonts w:ascii="Arial" w:cs="Arial" w:eastAsia="Arial" w:hAnsi="Arial"/>
        <w:sz w:val="22"/>
        <w:szCs w:val="22"/>
      </w:rPr>
      <w:drawing>
        <wp:inline distB="114300" distT="114300" distL="114300" distR="114300">
          <wp:extent cx="5731200" cy="80010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00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0" w:line="276" w:lineRule="auto"/>
      <w:jc w:val="center"/>
      <w:rPr/>
    </w:pPr>
    <w:r w:rsidDel="00000000" w:rsidR="00000000" w:rsidRPr="00000000">
      <w:rPr>
        <w:rFonts w:ascii="Open Sans" w:cs="Open Sans" w:eastAsia="Open Sans" w:hAnsi="Open Sans"/>
        <w:sz w:val="22"/>
        <w:szCs w:val="22"/>
      </w:rPr>
      <w:drawing>
        <wp:inline distB="114300" distT="114300" distL="114300" distR="114300">
          <wp:extent cx="1104900" cy="11049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4900" cy="1104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300F5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0F5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0F5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0F5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0F5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0F5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0F5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0F5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0F5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0F5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0F5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0F5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00F5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00F5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0F5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0F5A"/>
    <w:rPr>
      <w:i w:val="1"/>
      <w:iCs w:val="1"/>
      <w:color w:val="404040" w:themeColor="text1" w:themeTint="0000BF"/>
    </w:rPr>
  </w:style>
  <w:style w:type="paragraph" w:styleId="ListParagraph">
    <w:name w:val="List Paragraph"/>
    <w:basedOn w:val="Normal"/>
    <w:uiPriority w:val="34"/>
    <w:qFormat w:val="1"/>
    <w:rsid w:val="00300F5A"/>
    <w:pPr>
      <w:ind w:left="720"/>
      <w:contextualSpacing w:val="1"/>
    </w:pPr>
  </w:style>
  <w:style w:type="character" w:styleId="IntenseEmphasis">
    <w:name w:val="Intense Emphasis"/>
    <w:basedOn w:val="DefaultParagraphFont"/>
    <w:uiPriority w:val="21"/>
    <w:qFormat w:val="1"/>
    <w:rsid w:val="00300F5A"/>
    <w:rPr>
      <w:i w:val="1"/>
      <w:iCs w:val="1"/>
      <w:color w:val="0f4761" w:themeColor="accent1" w:themeShade="0000BF"/>
    </w:rPr>
  </w:style>
  <w:style w:type="paragraph" w:styleId="IntenseQuote">
    <w:name w:val="Intense Quote"/>
    <w:basedOn w:val="Normal"/>
    <w:next w:val="Normal"/>
    <w:link w:val="IntenseQuoteChar"/>
    <w:uiPriority w:val="30"/>
    <w:qFormat w:val="1"/>
    <w:rsid w:val="00300F5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0F5A"/>
    <w:rPr>
      <w:i w:val="1"/>
      <w:iCs w:val="1"/>
      <w:color w:val="0f4761" w:themeColor="accent1" w:themeShade="0000BF"/>
    </w:rPr>
  </w:style>
  <w:style w:type="character" w:styleId="IntenseReference">
    <w:name w:val="Intense Reference"/>
    <w:basedOn w:val="DefaultParagraphFont"/>
    <w:uiPriority w:val="32"/>
    <w:qFormat w:val="1"/>
    <w:rsid w:val="00300F5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xurya.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b/36Sl53CKaPjU7/cFBnHpacA==">CgMxLjAi1AEKC0FBQUJwQnpZYk9zEp4BCgtBQUFCcEJ6WWJPcxILQUFBQnBCelliT3MaDQoJdGV4dC9odG1sEgAiDgoKdGV4dC9wbGFpbhIAKhsiFTExNjIzOTc0MTQ1MTgyMjI5MzM2NigAOAAwlPOMyIgzOJTzjMiIM1oMN3N4bGRmNW1kdnIycgIgAHgAggEUc3VnZ2VzdC5rNmM3eDU3cXU4ZHCaAQYIABAAGACwAQC4AQAYlPOMyIgzIJTzjMiIMzAAQhRzdWdnZXN0Lms2Yzd4NTdxdThkcCKfAgoLQUFBQnBCelliVXcS6QEKC0FBQUJwQnpZYlV3EgtBQUFCcEJ6WWJVdxoNCgl0ZXh0L2h0bWwSACIOCgp0ZXh0L3BsYWluEgAqGyIVMTE2MjM5NzQxNDUxODIyMjkzMzY2KAA4ADDc+fzIiDM4hP/8yIgzSkkKJGFwcGxpY2F0aW9uL3ZuZC5nb29nbGUtYXBwcy5kb2NzLm1kcxohwtfa5AEbChkKCAoCdGkQARgAEgsKBWJ1a2FuEAEYABgBWgxhNjZpZWk5dWZjcWZyAiAAeACCARRzdWdnZXN0Lm1ydHNmZG5tdGM0NJoBBggAEAAYALABALgBABjc+fzIiDMghP/8yIgzMABCFHN1Z2dlc3QubXJ0c2Zkbm10YzQ0Mg5oLm5qcHg0NGI4YXB3eDIOaC52OXU1dDQ0b3Z3MWYyDmguNDFjaTRlbDJwMWZnOABqKAoUc3VnZ2VzdC50YTc3bDBqcnNpcGkSEEVkd2luIFdpZGpvbmFya29qKAoUc3VnZ2VzdC5mMWhmOXQ0cHhvMmsSEEVkd2luIFdpZGpvbmFya29qKAoUc3VnZ2VzdC51NnZ5bGp2bmk4b3USEEVkd2luIFdpZGpvbmFya29qKAoUc3VnZ2VzdC5lZjRoeGZtcGF3MncSEEVkd2luIFdpZGpvbmFya29qKAoUc3VnZ2VzdC5xNWk4eG1ham1hZTQSEEVkd2luIFdpZGpvbmFya29qKAoUc3VnZ2VzdC5rNjVhanB1dHlsZzESEEVkd2luIFdpZGpvbmFya29qKAoUc3VnZ2VzdC5hNG43cnd4dmxlajMSEEVkd2luIFdpZGpvbmFya29qKAoUc3VnZ2VzdC5najUyaXZkeG0wcWgSEEVkd2luIFdpZGpvbmFya29qKAoUc3VnZ2VzdC5mNGcxeDQ4bTk3dDASEEVkd2luIFdpZGpvbmFya29qKAoUc3VnZ2VzdC45aWRmN29iOTJnMW8SEEVkd2luIFdpZGpvbmFya29qKAoUc3VnZ2VzdC5uZGtnYWNrNGIxZnkSEEVkd2luIFdpZGpvbmFya29qKAoUc3VnZ2VzdC5rMjRmcnRmOXM5cmISEEVkd2luIFdpZGpvbmFya29qKAoUc3VnZ2VzdC4zOWxsN2Y2YzNkbWsSEEVkd2luIFdpZGpvbmFya29qKAoUc3VnZ2VzdC5jandlOXVyYWpjMmwSEEVkd2luIFdpZGpvbmFya29qKAoUc3VnZ2VzdC5ydXkyNGVnaDd2YnMSEEVkd2luIFdpZGpvbmFya29qKAoUc3VnZ2VzdC5xbHBtOWZqaGx2czISEEVkd2luIFdpZGpvbmFya29qKAoUc3VnZ2VzdC5nM3E0cGwxOGk2aDgSEEVkd2luIFdpZGpvbmFya29qKAoUc3VnZ2VzdC5rZDU3MnluOHczMjASEEVkd2luIFdpZGpvbmFya29qKAoUc3VnZ2VzdC5rNmM3eDU3cXU4ZHASEEVkd2luIFdpZGpvbmFya29qKAoUc3VnZ2VzdC5ibDkwdnJ2aTI1MnYSEEVkd2luIFdpZGpvbmFya29qKAoUc3VnZ2VzdC5wZHkwNXAyZDRnenESEEVkd2luIFdpZGpvbmFya29qKAoUc3VnZ2VzdC5mbDNxM2QyMGxsbW0SEEVkd2luIFdpZGpvbmFya29qKAoUc3VnZ2VzdC5leTBvcndqdHo3d2wSEEVkd2luIFdpZGpvbmFya29qKAoUc3VnZ2VzdC5yMmMxN2dydmFibWESEEVkd2luIFdpZGpvbmFya29qJwoTc3VnZ2VzdC5saDU5ZXhzaDRyZxIQRWR3aW4gV2lkam9uYXJrb2ooChRzdWdnZXN0Lm50d29pMWQybGVlZRIQRWR3aW4gV2lkam9uYXJrb2ooChRzdWdnZXN0LnlwcG9kcThrMWkyZRIQRWR3aW4gV2lkam9uYXJrb2ooChRzdWdnZXN0LjRqdm40czdiNTZ2chIQRWR3aW4gV2lkam9uYXJrb2ooChRzdWdnZXN0LjRhYjBuMTJ5dmMxOBIQRWR3aW4gV2lkam9uYXJrb2ooChRzdWdnZXN0LmtnbTZ5NWZ6ZmhrahIQRWR3aW4gV2lkam9uYXJrb2ooChRzdWdnZXN0Lmd0a2IxcGprMGxqNxIQRWR3aW4gV2lkam9uYXJrb2ooChRzdWdnZXN0Lmhrd2RjeHU0ZnBybhIQRWR3aW4gV2lkam9uYXJrb2ooChRzdWdnZXN0LmdxemRhbDQxeXlobRIQRWR3aW4gV2lkam9uYXJrb2ooChRzdWdnZXN0Lm5yNmptM2RoZjkydxIQRWR3aW4gV2lkam9uYXJrb2ooChRzdWdnZXN0LjF1ZHYyZ3hhYWEweBIQRWR3aW4gV2lkam9uYXJrb2ooChRzdWdnZXN0LmtjYjdvNXc3dWdsNBIQRWR3aW4gV2lkam9uYXJrb2onChNzdWdnZXN0LjJ1YmJhMTJ0bTV4EhBFZHdpbiBXaWRqb25hcmtvaigKFHN1Z2dlc3Quc2trNmIwaTBja2kxEhBFZHdpbiBXaWRqb25hcmtvaigKFHN1Z2dlc3QuYWQ5YnVudmZpa2VnEhBFZHdpbiBXaWRqb25hcmtvaigKFHN1Z2dlc3QuNGM1NmtkaHR1N3RiEhBFZHdpbiBXaWRqb25hcmtvaigKFHN1Z2dlc3QudDZ1MG40dG9hZXVxEhBFZHdpbiBXaWRqb25hcmtvaigKFHN1Z2dlc3QuNDd3NGJobWFuMHJ1EhBFZHdpbiBXaWRqb25hcmtvaigKFHN1Z2dlc3QuamFxMHV4OG91eDAyEhBFZHdpbiBXaWRqb25hcmtvaigKFHN1Z2dlc3QuNXgwOXYxa2J5bzVvEhBFZHdpbiBXaWRqb25hcmtvaigKFHN1Z2dlc3Qud2c1N3E5ZGFjemExEhBFZHdpbiBXaWRqb25hcmtvaigKFHN1Z2dlc3QuNG9ncGcybjhwY3JpEhBFZHdpbiBXaWRqb25hcmtvaigKFHN1Z2dlc3QueDI3NzM1NXl2cWVpEhBFZHdpbiBXaWRqb25hcmtvaigKFHN1Z2dlc3QueGhtc29qYjFjbmd0EhBFZHdpbiBXaWRqb25hcmtvaigKFHN1Z2dlc3QuOGFmZTExa2M3NXNvEhBFZHdpbiBXaWRqb25hcmtvaigKFHN1Z2dlc3QubjNjanEyd2tvMWZyEhBFZHdpbiBXaWRqb25hcmtvaigKFHN1Z2dlc3QuOGZtNjlkZ3l2OTIwEhBFZHdpbiBXaWRqb25hcmtvaigKFHN1Z2dlc3QuOXgxdDMwdmVmOXI5EhBFZHdpbiBXaWRqb25hcmtvaigKFHN1Z2dlc3QuZzU0OTFzMjhkcDlhEhBFZHdpbiBXaWRqb25hcmtvaigKFHN1Z2dlc3QucGoyY2E5cWV5dHR4EhBFZHdpbiBXaWRqb25hcmtvaigKFHN1Z2dlc3QucGd0bnFxY3dwdGhpEhBFZHdpbiBXaWRqb25hcmtvaigKFHN1Z2dlc3QuYXFpbmd3ajR0Y2k0EhBFZHdpbiBXaWRqb25hcmtvaigKFHN1Z2dlc3QuMnZvaXQwNHIyeTJmEhBFZHdpbiBXaWRqb25hcmtvaigKFHN1Z2dlc3QuOXN0OTNmcmczNHM3EhBFZHdpbiBXaWRqb25hcmtvaigKFHN1Z2dlc3Qub29zZnB1aDVuNzlxEhBFZHdpbiBXaWRqb25hcmtvaigKFHN1Z2dlc3QudGl2OXQ4ZTV5NjBkEhBFZHdpbiBXaWRqb25hcmtvaigKFHN1Z2dlc3QubXJ0c2Zkbm10YzQ0EhBFZHdpbiBXaWRqb25hcmtvaigKFHN1Z2dlc3QuOHpuOXRwbjFucjdiEhBFZHdpbiBXaWRqb25hcmtvaicKE3N1Z2dlc3QuMmFyYTNnamMyZjgSEEVkd2luIFdpZGpvbmFya29qKAoUc3VnZ2VzdC5hc29nemZ1cWY5ZTgSEEVkd2luIFdpZGpvbmFya29qKAoUc3VnZ2VzdC43MnMwaDc4aHZ1NmkSEEVkd2luIFdpZGpvbmFya29qKAoUc3VnZ2VzdC5la2JwYmJjZ3V0NHcSEEVkd2luIFdpZGpvbmFya29qKAoUc3VnZ2VzdC5zNW1heDkzeDBiengSEEVkd2luIFdpZGpvbmFya29qKAoUc3VnZ2VzdC42MmZ3eGc2Ynd6ZG4SEEVkd2luIFdpZGpvbmFya29qKAoUc3VnZ2VzdC5lbHQ3YWIyczF4dXESEEVkd2luIFdpZGpvbmFya29qKAoUc3VnZ2VzdC5jd3duY3U4bG42NzQSEEVkd2luIFdpZGpvbmFya29qKAoUc3VnZ2VzdC55cHh0MTBtczBjMmoSEEVkd2luIFdpZGpvbmFya29qKAoUc3VnZ2VzdC5ueDNlY2MzZ2M0NHESEEVkd2luIFdpZGpvbmFya29qKAoUc3VnZ2VzdC4ybzQxcnJmZ3NudXASEEVkd2luIFdpZGpvbmFya29qKAoUc3VnZ2VzdC5ueno0dzhoYnN5czUSEEVkd2luIFdpZGpvbmFya29qKAoUc3VnZ2VzdC51cW1jODl6OHZuaHQSEEVkd2luIFdpZGpvbmFya29qKAoUc3VnZ2VzdC4yY3o1MGxremM0NW0SEEVkd2luIFdpZGpvbmFya29qKAoUc3VnZ2VzdC5xNXBlMTlxdzZwczQSEEVkd2luIFdpZGpvbmFya29qKAoUc3VnZ2VzdC5hYzR4bXZqbnMxdDcSEEVkd2luIFdpZGpvbmFya29yITE2VktzeW9uTGJEQk5BSDRNRnlnZ2xHSWNjQVpjcVZ5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2025-07-21T03:50:00Z</dcterms:created>
  <dc:creator>Michael Antonio</dc:creator>
</cp:coreProperties>
</file>