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3.0 -->
  <w:body>
    <w:p>
      <w:pPr>
        <w:spacing w:before="0" w:after="0"/>
        <w:ind w:right="283"/>
        <w:jc w:val="center"/>
      </w:pPr>
      <w:r>
        <w:t> </w:t>
      </w:r>
    </w:p>
    <w:p>
      <w:pPr>
        <w:spacing w:before="0" w:after="0"/>
        <w:ind w:right="283"/>
        <w:jc w:val="center"/>
        <w:rPr>
          <w:sz w:val="26"/>
          <w:szCs w:val="26"/>
        </w:rPr>
      </w:pPr>
      <w:r>
        <w:rPr>
          <w:strike w:val="0"/>
          <w:sz w:val="26"/>
          <w:szCs w:val="26"/>
          <w:u w:val="none"/>
        </w:rPr>
        <w:drawing>
          <wp:inline>
            <wp:extent cx="438150" cy="619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438150" cy="619125"/>
                    </a:xfrm>
                    <a:prstGeom prst="rect">
                      <a:avLst/>
                    </a:prstGeom>
                  </pic:spPr>
                </pic:pic>
              </a:graphicData>
            </a:graphic>
          </wp:inline>
        </w:drawing>
      </w:r>
    </w:p>
    <w:tbl>
      <w:tblPr>
        <w:tblCellMar>
          <w:top w:w="15" w:type="dxa"/>
          <w:left w:w="15" w:type="dxa"/>
          <w:bottom w:w="15" w:type="dxa"/>
          <w:right w:w="15" w:type="dxa"/>
        </w:tblCellMar>
      </w:tblPr>
      <w:tblGrid>
        <w:gridCol w:w="9066"/>
      </w:tblGrid>
      <w:tr>
        <w:tblPrEx>
          <w:tblCellMar>
            <w:top w:w="15" w:type="dxa"/>
            <w:left w:w="15" w:type="dxa"/>
            <w:bottom w:w="15" w:type="dxa"/>
            <w:right w:w="15" w:type="dxa"/>
          </w:tblCellMar>
        </w:tblPrEx>
        <w:tc>
          <w:tcPr>
            <w:tcW w:w="8830" w:type="dxa"/>
            <w:tcBorders>
              <w:bottom w:val="thinThickSmallGap" w:sz="24" w:space="0" w:color="000000"/>
            </w:tcBorders>
            <w:tcMar>
              <w:top w:w="20" w:type="dxa"/>
              <w:left w:w="113" w:type="dxa"/>
              <w:bottom w:w="60" w:type="dxa"/>
              <w:right w:w="113" w:type="dxa"/>
            </w:tcMar>
            <w:vAlign w:val="top"/>
            <w:hideMark/>
          </w:tcPr>
          <w:p>
            <w:pPr>
              <w:spacing w:before="0" w:after="0"/>
              <w:ind w:right="424"/>
              <w:jc w:val="center"/>
              <w:rPr>
                <w:sz w:val="26"/>
                <w:szCs w:val="26"/>
              </w:rPr>
            </w:pPr>
            <w:r>
              <w:rPr>
                <w:b/>
                <w:bCs/>
                <w:sz w:val="26"/>
                <w:szCs w:val="26"/>
              </w:rPr>
              <w:t>У К Р А Ї Н А</w:t>
            </w:r>
          </w:p>
          <w:p>
            <w:pPr>
              <w:keepNext/>
              <w:spacing w:before="0" w:after="0" w:line="280" w:lineRule="atLeast"/>
              <w:ind w:left="142" w:right="425"/>
              <w:jc w:val="center"/>
            </w:pPr>
            <w:r>
              <w:rPr>
                <w:b/>
                <w:bCs/>
                <w:sz w:val="28"/>
                <w:szCs w:val="28"/>
              </w:rPr>
              <w:t>ЮЖНОУКРАЇНСЬКА МІСЬКА РАДА</w:t>
            </w:r>
          </w:p>
          <w:p>
            <w:pPr>
              <w:keepNext/>
              <w:spacing w:before="0" w:after="0" w:line="280" w:lineRule="atLeast"/>
              <w:ind w:left="142" w:right="425"/>
              <w:jc w:val="center"/>
            </w:pPr>
            <w:r>
              <w:rPr>
                <w:b/>
                <w:bCs/>
                <w:sz w:val="28"/>
                <w:szCs w:val="28"/>
              </w:rPr>
              <w:t>МИКОЛАЇВСЬКОЇ ОБЛАСТІ</w:t>
            </w:r>
          </w:p>
          <w:p>
            <w:pPr>
              <w:spacing w:before="120" w:after="0" w:line="340" w:lineRule="atLeast"/>
              <w:jc w:val="center"/>
            </w:pPr>
            <w:r>
              <w:rPr>
                <w:b/>
                <w:bCs/>
                <w:sz w:val="44"/>
                <w:szCs w:val="44"/>
              </w:rPr>
              <w:t>Виконавчий комітет</w:t>
            </w:r>
          </w:p>
          <w:p>
            <w:pPr>
              <w:spacing w:before="120" w:after="0" w:line="340" w:lineRule="atLeast"/>
              <w:jc w:val="center"/>
            </w:pPr>
            <w:r>
              <w:rPr>
                <w:b/>
                <w:bCs/>
                <w:sz w:val="44"/>
                <w:szCs w:val="44"/>
              </w:rPr>
              <w:t>РІШЕННЯ</w:t>
            </w:r>
          </w:p>
        </w:tc>
      </w:tr>
    </w:tbl>
    <w:p>
      <w:pPr>
        <w:spacing w:before="120" w:after="0"/>
        <w:jc w:val="left"/>
      </w:pPr>
      <w:r>
        <w:t>від</w:t>
      </w:r>
      <w:r>
        <w:t xml:space="preserve">  </w:t>
      </w:r>
      <w:r>
        <w:t>«______» ________ 2022</w:t>
      </w:r>
      <w:r>
        <w:t xml:space="preserve">    </w:t>
      </w:r>
      <w:r>
        <w:t>№</w:t>
      </w:r>
      <w:r>
        <w:t xml:space="preserve">  </w:t>
      </w:r>
      <w:r>
        <w:t>______</w:t>
      </w:r>
    </w:p>
    <w:p>
      <w:pPr>
        <w:spacing w:before="0" w:after="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pPr>
        <w:widowControl w:val="0"/>
        <w:spacing w:before="0"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ПРОЕКТ</w:t>
      </w:r>
      <w:r>
        <w:rPr>
          <w:sz w:val="24"/>
          <w:szCs w:val="24"/>
        </w:rPr>
        <w:tab/>
      </w:r>
      <w:r>
        <w:rPr>
          <w:sz w:val="24"/>
          <w:szCs w:val="24"/>
        </w:rPr>
        <w:tab/>
      </w:r>
    </w:p>
    <w:p>
      <w:pPr>
        <w:widowControl w:val="0"/>
        <w:spacing w:before="0" w:after="0"/>
      </w:pPr>
      <w:r>
        <w:t> </w:t>
      </w:r>
    </w:p>
    <w:p>
      <w:pPr>
        <w:widowControl w:val="0"/>
        <w:spacing w:before="0" w:after="0"/>
      </w:pPr>
      <w:r>
        <w:t>Про внесення змін до</w:t>
      </w:r>
      <w:r>
        <w:t xml:space="preserve">  </w:t>
      </w:r>
      <w:r>
        <w:t>бюджету</w:t>
      </w:r>
    </w:p>
    <w:p>
      <w:pPr>
        <w:widowControl w:val="0"/>
        <w:spacing w:before="0" w:after="0"/>
      </w:pPr>
      <w:r>
        <w:t>Южноукраїнської міської</w:t>
      </w:r>
    </w:p>
    <w:p>
      <w:pPr>
        <w:widowControl w:val="0"/>
        <w:spacing w:before="0" w:after="0"/>
      </w:pPr>
      <w:r>
        <w:t>територіальної громади</w:t>
      </w:r>
    </w:p>
    <w:p>
      <w:pPr>
        <w:widowControl w:val="0"/>
        <w:spacing w:before="0" w:after="0"/>
        <w:rPr>
          <w:sz w:val="24"/>
          <w:szCs w:val="24"/>
        </w:rPr>
      </w:pPr>
      <w:r>
        <w:t>на 2022 рік</w:t>
      </w:r>
      <w:r>
        <w:rPr>
          <w:sz w:val="24"/>
          <w:szCs w:val="24"/>
        </w:rPr>
        <w:tab/>
      </w:r>
      <w:r>
        <w:rPr>
          <w:sz w:val="24"/>
          <w:szCs w:val="24"/>
        </w:rPr>
        <w:tab/>
      </w:r>
      <w:r>
        <w:rPr>
          <w:sz w:val="24"/>
          <w:szCs w:val="24"/>
        </w:rPr>
        <w:tab/>
      </w:r>
    </w:p>
    <w:p>
      <w:pPr>
        <w:spacing w:before="0" w:after="0"/>
      </w:pPr>
      <w:r>
        <w:t> </w:t>
      </w:r>
    </w:p>
    <w:p>
      <w:pPr>
        <w:spacing w:before="0" w:after="0"/>
      </w:pPr>
      <w:r>
        <w:rPr>
          <w:u w:val="single"/>
        </w:rPr>
        <w:t xml:space="preserve">14557000000 </w:t>
      </w:r>
    </w:p>
    <w:p>
      <w:pPr>
        <w:spacing w:before="0" w:after="0"/>
        <w:rPr>
          <w:sz w:val="18"/>
          <w:szCs w:val="18"/>
        </w:rPr>
      </w:pPr>
      <w:r>
        <w:rPr>
          <w:sz w:val="18"/>
          <w:szCs w:val="18"/>
        </w:rPr>
        <w:t>(код бюджету)</w:t>
      </w:r>
    </w:p>
    <w:p>
      <w:pPr>
        <w:spacing w:before="0" w:after="120"/>
        <w:ind w:firstLine="567"/>
      </w:pPr>
      <w:r>
        <w:t> </w:t>
      </w:r>
    </w:p>
    <w:p>
      <w:pPr>
        <w:spacing w:before="0" w:after="120"/>
        <w:ind w:firstLine="567"/>
      </w:pPr>
      <w:r>
        <w:t xml:space="preserve">Керуючись п.п.1 п.а ч.1 ст.28, п.1 ч.2 ст.52 Закону України «Про місцеве самоврядування в Україні», відповідно до абзацу четвертого п.п.2 п.22 розділу VI “Прикінцеві та перехідні положенняˮ Бюджетного кодексу України, згідно із постановою Кабінету Міністрів України від 11.03.2022 №252 «Деякі питання формування та виконання місцевих бюджетів у період воєнного стану», заслухавши та обговоривши інформацію начальника фінансового управління Южноукраїнської міської ради Гончарової Т.О. щодо необхідності внесення змін до бюджету Южноукраїнської міської територіальної громади на 2022 рік, виконавчий комітет Южноукраїнської міської ради </w:t>
      </w:r>
    </w:p>
    <w:p>
      <w:pPr>
        <w:spacing w:before="0" w:after="120"/>
        <w:ind w:firstLine="567"/>
        <w:jc w:val="center"/>
      </w:pPr>
      <w:r>
        <w:t>ВИРІШИВ:</w:t>
      </w:r>
    </w:p>
    <w:p>
      <w:pPr>
        <w:tabs>
          <w:tab w:val="left" w:pos="851"/>
        </w:tabs>
        <w:spacing w:before="0" w:after="120"/>
        <w:ind w:firstLine="567"/>
        <w:rPr>
          <w:sz w:val="24"/>
          <w:szCs w:val="24"/>
        </w:rPr>
      </w:pPr>
      <w:r>
        <w:t>1.</w:t>
      </w:r>
      <w:r>
        <w:rPr>
          <w:sz w:val="24"/>
          <w:szCs w:val="24"/>
        </w:rPr>
        <w:tab/>
      </w:r>
      <w:r>
        <w:t>Взяти до відома інформацію начальника фінансового управління Южноукраїнської міської ради Гончарової Т.О. про необхідність внесення</w:t>
      </w:r>
      <w:r>
        <w:t xml:space="preserve">  </w:t>
      </w:r>
      <w:r>
        <w:t>змін до бюджету Южноукраїнської міської територіальної громади на 2022 рік.</w:t>
      </w:r>
    </w:p>
    <w:p>
      <w:pPr>
        <w:spacing w:before="0" w:after="120"/>
        <w:ind w:firstLine="567"/>
      </w:pPr>
      <w:r>
        <w:t>2. Затвердити на 2022 рік:</w:t>
      </w:r>
    </w:p>
    <w:p>
      <w:pPr>
        <w:spacing w:before="0" w:after="120"/>
        <w:ind w:firstLine="567"/>
      </w:pPr>
      <w:r>
        <w:t xml:space="preserve">доходи бюджету Южноукраїнської міської територіальної громади у сумі </w:t>
      </w:r>
      <w:r>
        <w:t xml:space="preserve">    </w:t>
      </w:r>
      <w:r>
        <w:t xml:space="preserve"> </w:t>
      </w:r>
      <w:r>
        <w:t>760 924</w:t>
      </w:r>
      <w:r>
        <w:t> </w:t>
      </w:r>
      <w:r>
        <w:t>645,0 грн., у тому числі доходи загального фонду бюджету - у сумі</w:t>
      </w:r>
      <w:r>
        <w:t xml:space="preserve">               </w:t>
      </w:r>
      <w:r>
        <w:t xml:space="preserve"> </w:t>
      </w:r>
      <w:r>
        <w:t>749 610</w:t>
      </w:r>
      <w:r>
        <w:t> </w:t>
      </w:r>
      <w:r>
        <w:t>080,0 грн. та доходи спеціального фонду бюджету – у сумі 11 314</w:t>
      </w:r>
      <w:r>
        <w:t> </w:t>
      </w:r>
      <w:r>
        <w:t>565,0 грн. згідно з додатком 1 до цього рішення;</w:t>
      </w:r>
    </w:p>
    <w:p>
      <w:pPr>
        <w:spacing w:before="0" w:after="120"/>
        <w:ind w:firstLine="567"/>
      </w:pPr>
      <w:r>
        <w:t>видатки бюджету Южноукраїнської міської територіальної громади у сумі</w:t>
      </w:r>
      <w:r>
        <w:t xml:space="preserve">            </w:t>
      </w:r>
      <w:r>
        <w:t xml:space="preserve"> </w:t>
      </w:r>
      <w:r>
        <w:t>766 598 529,25 грн., у тому числі видатки загального фонду бюджету – у сумі</w:t>
      </w:r>
      <w:r>
        <w:t xml:space="preserve">           </w:t>
      </w:r>
      <w:r>
        <w:t>658 067 074,25 грн. та видатки спеціального фонду бюджету – у сумі 108 531 455,00 грн., в тому числі обсяг бюджету розвитку – у сумі 97 216 890,00 грн.;</w:t>
      </w:r>
    </w:p>
    <w:p>
      <w:pPr>
        <w:spacing w:before="0" w:after="120"/>
        <w:ind w:firstLine="567"/>
      </w:pPr>
      <w:r>
        <w:t>профіцит за загальним фондом бюджету у сумі –</w:t>
      </w:r>
      <w:r>
        <w:rPr>
          <w:sz w:val="20"/>
          <w:szCs w:val="20"/>
        </w:rPr>
        <w:t xml:space="preserve"> </w:t>
      </w:r>
      <w:r>
        <w:t xml:space="preserve">91 543 005,75 грн., </w:t>
      </w:r>
    </w:p>
    <w:p>
      <w:pPr>
        <w:numPr>
          <w:ilvl w:val="0"/>
          <w:numId w:val="1"/>
        </w:numPr>
        <w:tabs>
          <w:tab w:val="left" w:pos="1134"/>
        </w:tabs>
        <w:spacing w:before="0" w:after="120"/>
        <w:ind w:left="0" w:firstLine="567"/>
      </w:pPr>
      <w:r>
        <w:t>-</w:t>
      </w:r>
      <w:r>
        <w:rPr>
          <w:rFonts w:ascii="Times New Roman" w:eastAsia="Times New Roman" w:hAnsi="Times New Roman" w:cs="Times New Roman"/>
          <w:b w:val="0"/>
          <w:bCs w:val="0"/>
          <w:i w:val="0"/>
          <w:iCs w:val="0"/>
          <w:smallCaps w:val="0"/>
          <w:sz w:val="14"/>
          <w:szCs w:val="14"/>
        </w:rPr>
        <w:t xml:space="preserve">                 </w:t>
      </w:r>
      <w:r>
        <w:t xml:space="preserve">напрямом використання якого визначити кошти, що передаються із загального фонду бюджету до бюджету розвитку (спеціального фонду), у сумі </w:t>
      </w:r>
      <w:r>
        <w:t xml:space="preserve">          </w:t>
      </w:r>
      <w:r>
        <w:t xml:space="preserve">97 216 890,00 грн., із залученням вільного залишку коштів бюджету в сумі </w:t>
      </w:r>
      <w:r>
        <w:t xml:space="preserve">                </w:t>
      </w:r>
      <w:r>
        <w:t>4 961 034,00 грн., що утворився за рахунок надходжень</w:t>
      </w:r>
      <w:r>
        <w:rPr>
          <w:sz w:val="20"/>
          <w:szCs w:val="20"/>
        </w:rPr>
        <w:t xml:space="preserve"> </w:t>
      </w:r>
      <w:r>
        <w:t>за станом на 01.01.2022 податків, зборів та інших обов’язкових платежів;</w:t>
      </w:r>
    </w:p>
    <w:p>
      <w:pPr>
        <w:numPr>
          <w:ilvl w:val="0"/>
          <w:numId w:val="1"/>
        </w:numPr>
        <w:tabs>
          <w:tab w:val="left" w:pos="1134"/>
        </w:tabs>
        <w:spacing w:before="0" w:after="120"/>
        <w:ind w:left="0" w:firstLine="567"/>
      </w:pPr>
      <w:r>
        <w:t>-</w:t>
      </w:r>
      <w:r>
        <w:rPr>
          <w:rFonts w:ascii="Times New Roman" w:eastAsia="Times New Roman" w:hAnsi="Times New Roman" w:cs="Times New Roman"/>
          <w:b w:val="0"/>
          <w:bCs w:val="0"/>
          <w:i w:val="0"/>
          <w:iCs w:val="0"/>
          <w:smallCaps w:val="0"/>
          <w:sz w:val="14"/>
          <w:szCs w:val="14"/>
        </w:rPr>
        <w:t xml:space="preserve">                 </w:t>
      </w:r>
      <w:r>
        <w:t>із залученням вільного залишку коштів бюджету в сумі 712 850,25 грн. за рахунок коштів за станом на 01.01.2022, що надійшли з державного бюджету, а саме: субвенції з державного бюджету</w:t>
      </w:r>
      <w:r>
        <w:t xml:space="preserve">  </w:t>
      </w:r>
      <w:r>
        <w:t>місцевим бюджетам на реалізацію заходів спрямованих на підвищення</w:t>
      </w:r>
      <w:r>
        <w:t xml:space="preserve">  </w:t>
      </w:r>
      <w:r>
        <w:t xml:space="preserve">доступності широкосмугового доступу до Інтернету в сільській місцевості в сумі 576 625,00 грн. та субвенції з місцевого бюджету на здійснення переданих видатків у сфері освіти за рахунок коштів освітньої субвенції в сумі 136 225,25 грн., напрямом використання яких визначити видатки загального фонду бюджету відповідно бюджетного призначення; </w:t>
      </w:r>
    </w:p>
    <w:p>
      <w:pPr>
        <w:tabs>
          <w:tab w:val="left" w:pos="567"/>
        </w:tabs>
        <w:spacing w:before="0" w:after="120"/>
        <w:rPr>
          <w:sz w:val="24"/>
          <w:szCs w:val="24"/>
        </w:rPr>
      </w:pPr>
      <w:r>
        <w:t xml:space="preserve"> </w:t>
      </w:r>
      <w:r>
        <w:rPr>
          <w:sz w:val="24"/>
          <w:szCs w:val="24"/>
        </w:rPr>
        <w:tab/>
      </w:r>
      <w:r>
        <w:t>дефіцит за спеціальним фондом бюджету у сумі – 97 216 890,00 грн., джерелом покриття якого визначити:</w:t>
      </w:r>
    </w:p>
    <w:p>
      <w:pPr>
        <w:numPr>
          <w:ilvl w:val="0"/>
          <w:numId w:val="1"/>
        </w:numPr>
        <w:tabs>
          <w:tab w:val="left" w:pos="1134"/>
        </w:tabs>
        <w:spacing w:before="0" w:after="120"/>
        <w:ind w:left="0" w:firstLine="567"/>
      </w:pPr>
      <w:r>
        <w:t>-</w:t>
      </w:r>
      <w:r>
        <w:rPr>
          <w:rFonts w:ascii="Times New Roman" w:eastAsia="Times New Roman" w:hAnsi="Times New Roman" w:cs="Times New Roman"/>
          <w:b w:val="0"/>
          <w:bCs w:val="0"/>
          <w:i w:val="0"/>
          <w:iCs w:val="0"/>
          <w:smallCaps w:val="0"/>
          <w:sz w:val="14"/>
          <w:szCs w:val="14"/>
        </w:rPr>
        <w:t xml:space="preserve">                 </w:t>
      </w:r>
      <w:r>
        <w:t>кошти, що передаються із загального фонду бюджету до бюджету розвитку (спеціального фонду), у сумі 97 216 890,00 грн.</w:t>
      </w:r>
    </w:p>
    <w:p>
      <w:pPr>
        <w:numPr>
          <w:ilvl w:val="0"/>
          <w:numId w:val="2"/>
        </w:numPr>
        <w:tabs>
          <w:tab w:val="left" w:pos="851"/>
        </w:tabs>
        <w:spacing w:before="0" w:after="120"/>
        <w:ind w:left="0" w:right="0" w:firstLine="567"/>
        <w:jc w:val="left"/>
      </w:pPr>
      <w:r>
        <w:t>Затвердити бюджетні призначення головним розпорядникам коштів бюджету Южноукраїнської міської територіальної громади на 2022 рік у розрізі відповідальних виконавців за бюджетними програмами.</w:t>
      </w:r>
    </w:p>
    <w:p>
      <w:pPr>
        <w:numPr>
          <w:ilvl w:val="0"/>
          <w:numId w:val="2"/>
        </w:numPr>
        <w:tabs>
          <w:tab w:val="left" w:pos="851"/>
        </w:tabs>
        <w:spacing w:after="120"/>
        <w:ind w:left="0" w:right="0" w:firstLine="567"/>
        <w:jc w:val="left"/>
      </w:pPr>
      <w:r>
        <w:t>Затвердити обсяги додаткових асигнувань та перерозподіл бюджетних призначень за головними розпорядниками бюджетних коштів на 2022 рік.</w:t>
      </w:r>
    </w:p>
    <w:p>
      <w:pPr>
        <w:numPr>
          <w:ilvl w:val="0"/>
          <w:numId w:val="2"/>
        </w:numPr>
        <w:tabs>
          <w:tab w:val="left" w:pos="851"/>
        </w:tabs>
        <w:spacing w:after="120"/>
        <w:ind w:left="0" w:right="0" w:firstLine="567"/>
        <w:jc w:val="left"/>
      </w:pPr>
      <w:r>
        <w:t>Затвердити перелік об’єктів та заходів, видатки на які у 2022 році будуть проводитися за рахунок коштів цільового фонду охорони навколишнього природнього середовища.</w:t>
      </w:r>
    </w:p>
    <w:p>
      <w:pPr>
        <w:numPr>
          <w:ilvl w:val="0"/>
          <w:numId w:val="2"/>
        </w:numPr>
        <w:tabs>
          <w:tab w:val="left" w:pos="851"/>
        </w:tabs>
        <w:spacing w:after="120"/>
        <w:ind w:left="0" w:right="0" w:firstLine="567"/>
        <w:jc w:val="left"/>
      </w:pPr>
      <w:r>
        <w:t>Затвердити на 2022 рік обсяги міжбюджетних трансфертів.</w:t>
      </w:r>
    </w:p>
    <w:p>
      <w:pPr>
        <w:numPr>
          <w:ilvl w:val="0"/>
          <w:numId w:val="2"/>
        </w:numPr>
        <w:tabs>
          <w:tab w:val="left" w:pos="851"/>
        </w:tabs>
        <w:spacing w:after="120"/>
        <w:ind w:left="0" w:right="0" w:firstLine="567"/>
        <w:jc w:val="left"/>
      </w:pPr>
      <w:r>
        <w:t>Затвердити на 2022 рік обсяги капітальних вкладень у розрізі інвестиційних проектів.</w:t>
      </w:r>
    </w:p>
    <w:p>
      <w:pPr>
        <w:numPr>
          <w:ilvl w:val="0"/>
          <w:numId w:val="2"/>
        </w:numPr>
        <w:tabs>
          <w:tab w:val="left" w:pos="851"/>
        </w:tabs>
        <w:spacing w:after="120"/>
        <w:ind w:left="0" w:right="0" w:firstLine="567"/>
        <w:jc w:val="left"/>
      </w:pPr>
      <w:r>
        <w:t>Затвердити розподіл витрат бюджету Южноукраїнської міської територіальної громади на реалізацію місцевих/регіональних програм у 2022 році.</w:t>
      </w:r>
    </w:p>
    <w:p>
      <w:pPr>
        <w:numPr>
          <w:ilvl w:val="0"/>
          <w:numId w:val="2"/>
        </w:numPr>
        <w:tabs>
          <w:tab w:val="left" w:pos="1134"/>
        </w:tabs>
        <w:spacing w:after="120"/>
        <w:ind w:left="0" w:right="0" w:firstLine="567"/>
        <w:jc w:val="left"/>
        <w:rPr>
          <w:spacing w:val="-4"/>
        </w:rPr>
      </w:pPr>
      <w:r>
        <w:rPr>
          <w:rFonts w:ascii="Times New Roman" w:eastAsia="Times New Roman" w:hAnsi="Times New Roman" w:cs="Times New Roman"/>
          <w:b w:val="0"/>
          <w:bCs w:val="0"/>
          <w:i w:val="0"/>
          <w:iCs w:val="0"/>
          <w:smallCaps w:val="0"/>
          <w:spacing w:val="-4"/>
          <w:sz w:val="14"/>
          <w:szCs w:val="14"/>
        </w:rPr>
        <w:t xml:space="preserve">      </w:t>
      </w:r>
      <w:r>
        <w:rPr>
          <w:spacing w:val="0"/>
        </w:rPr>
        <w:t xml:space="preserve">Контроль за виконанням цього рішення покласти на </w:t>
      </w:r>
      <w:r>
        <w:rPr>
          <w:spacing w:val="-4"/>
        </w:rPr>
        <w:t>заступника міського голови з питань діяльності виконавчих органів ради Сіроуха Ю.М.</w:t>
      </w:r>
    </w:p>
    <w:p>
      <w:pPr>
        <w:spacing w:before="0" w:after="120"/>
      </w:pPr>
      <w:r>
        <w:t> </w:t>
      </w:r>
    </w:p>
    <w:p>
      <w:pPr>
        <w:spacing w:before="0" w:after="120"/>
      </w:pPr>
      <w:r>
        <w:t> </w:t>
      </w:r>
    </w:p>
    <w:p>
      <w:pPr>
        <w:spacing w:before="0" w:after="0"/>
        <w:ind w:left="360"/>
        <w:jc w:val="left"/>
      </w:pPr>
      <w:r>
        <w:t> </w:t>
      </w:r>
    </w:p>
    <w:p>
      <w:pPr>
        <w:spacing w:before="0" w:after="0"/>
        <w:jc w:val="left"/>
        <w:rPr>
          <w:sz w:val="24"/>
          <w:szCs w:val="24"/>
        </w:rPr>
      </w:pPr>
      <w:r>
        <w:t>Міський голова</w:t>
      </w:r>
      <w:r>
        <w:t xml:space="preserve">                   </w:t>
      </w:r>
      <w:r>
        <w:rPr>
          <w:sz w:val="24"/>
          <w:szCs w:val="24"/>
        </w:rPr>
        <w:tab/>
      </w:r>
      <w:r>
        <w:rPr>
          <w:sz w:val="24"/>
          <w:szCs w:val="24"/>
        </w:rPr>
        <w:tab/>
      </w:r>
      <w:r>
        <w:rPr>
          <w:sz w:val="24"/>
          <w:szCs w:val="24"/>
        </w:rPr>
        <w:tab/>
      </w:r>
      <w:r>
        <w:rPr>
          <w:sz w:val="24"/>
          <w:szCs w:val="24"/>
        </w:rPr>
        <w:tab/>
      </w:r>
      <w:r>
        <w:rPr>
          <w:sz w:val="24"/>
          <w:szCs w:val="24"/>
        </w:rPr>
        <w:tab/>
      </w:r>
      <w:r>
        <w:t xml:space="preserve">           </w:t>
      </w:r>
      <w:r>
        <w:t>Валерій ОНУФРІЄНКО</w:t>
      </w:r>
    </w:p>
    <w:p>
      <w:pPr>
        <w:spacing w:before="0" w:after="0"/>
        <w:ind w:left="360"/>
        <w:jc w:val="left"/>
      </w:pPr>
      <w:r>
        <w:t xml:space="preserve">       </w:t>
      </w:r>
    </w:p>
    <w:p>
      <w:pPr>
        <w:spacing w:before="0" w:after="0"/>
        <w:jc w:val="left"/>
      </w:pPr>
      <w:r>
        <w:t> </w:t>
      </w:r>
    </w:p>
    <w:p>
      <w:pPr>
        <w:spacing w:before="0" w:after="0"/>
        <w:jc w:val="left"/>
      </w:pPr>
      <w:r>
        <w:t> </w:t>
      </w:r>
    </w:p>
    <w:p>
      <w:pPr>
        <w:spacing w:before="0" w:after="0"/>
        <w:jc w:val="left"/>
        <w:rPr>
          <w:sz w:val="18"/>
          <w:szCs w:val="18"/>
        </w:rPr>
      </w:pPr>
      <w:r>
        <w:rPr>
          <w:sz w:val="18"/>
          <w:szCs w:val="18"/>
        </w:rPr>
        <w:t> </w:t>
      </w:r>
    </w:p>
    <w:p>
      <w:pPr>
        <w:spacing w:before="0" w:after="0"/>
        <w:jc w:val="left"/>
        <w:rPr>
          <w:sz w:val="18"/>
          <w:szCs w:val="18"/>
        </w:rPr>
      </w:pPr>
      <w:r>
        <w:rPr>
          <w:sz w:val="18"/>
          <w:szCs w:val="18"/>
        </w:rPr>
        <w:t> </w:t>
      </w:r>
    </w:p>
    <w:p>
      <w:pPr>
        <w:spacing w:before="0" w:after="0"/>
        <w:jc w:val="left"/>
        <w:rPr>
          <w:sz w:val="18"/>
          <w:szCs w:val="18"/>
        </w:rPr>
      </w:pPr>
      <w:r>
        <w:rPr>
          <w:sz w:val="18"/>
          <w:szCs w:val="18"/>
        </w:rPr>
        <w:t> </w:t>
      </w:r>
    </w:p>
    <w:p>
      <w:pPr>
        <w:spacing w:before="0" w:after="0"/>
        <w:jc w:val="left"/>
        <w:rPr>
          <w:sz w:val="18"/>
          <w:szCs w:val="18"/>
        </w:rPr>
      </w:pPr>
      <w:r>
        <w:rPr>
          <w:sz w:val="18"/>
          <w:szCs w:val="18"/>
        </w:rPr>
        <w:t> </w:t>
      </w:r>
    </w:p>
    <w:p>
      <w:pPr>
        <w:spacing w:before="0" w:after="0"/>
        <w:jc w:val="left"/>
        <w:rPr>
          <w:sz w:val="18"/>
          <w:szCs w:val="18"/>
        </w:rPr>
      </w:pPr>
      <w:r>
        <w:rPr>
          <w:sz w:val="18"/>
          <w:szCs w:val="18"/>
        </w:rPr>
        <w:t> </w:t>
      </w:r>
    </w:p>
    <w:p>
      <w:pPr>
        <w:spacing w:before="0" w:after="0"/>
        <w:jc w:val="left"/>
        <w:rPr>
          <w:sz w:val="18"/>
          <w:szCs w:val="18"/>
        </w:rPr>
      </w:pPr>
      <w:r>
        <w:rPr>
          <w:sz w:val="18"/>
          <w:szCs w:val="18"/>
        </w:rPr>
        <w:t> </w:t>
      </w:r>
    </w:p>
    <w:p>
      <w:pPr>
        <w:spacing w:before="0" w:after="0"/>
        <w:jc w:val="left"/>
        <w:rPr>
          <w:sz w:val="18"/>
          <w:szCs w:val="18"/>
        </w:rPr>
      </w:pPr>
      <w:r>
        <w:rPr>
          <w:sz w:val="18"/>
          <w:szCs w:val="18"/>
        </w:rPr>
        <w:t> </w:t>
      </w:r>
    </w:p>
    <w:p>
      <w:pPr>
        <w:spacing w:before="0" w:after="0"/>
        <w:jc w:val="left"/>
        <w:rPr>
          <w:sz w:val="18"/>
          <w:szCs w:val="18"/>
        </w:rPr>
      </w:pPr>
      <w:r>
        <w:rPr>
          <w:sz w:val="18"/>
          <w:szCs w:val="18"/>
        </w:rPr>
        <w:t>ГОНЧАРОВА Тетяна</w:t>
      </w:r>
    </w:p>
    <w:p>
      <w:pPr>
        <w:spacing w:before="0" w:after="0"/>
        <w:jc w:val="left"/>
        <w:rPr>
          <w:sz w:val="18"/>
          <w:szCs w:val="18"/>
        </w:rPr>
      </w:pPr>
      <w:r>
        <w:rPr>
          <w:sz w:val="18"/>
          <w:szCs w:val="18"/>
        </w:rPr>
        <w:t>5-81-01</w:t>
      </w:r>
    </w:p>
    <w:p>
      <w:pPr>
        <w:sectPr>
          <w:headerReference w:type="default" r:id="rId5"/>
          <w:pgMar w:header="720" w:footer="720"/>
          <w:cols w:space="720"/>
          <w:titlePg/>
        </w:sectPr>
      </w:pPr>
    </w:p>
    <w:p>
      <w:pPr>
        <w:spacing w:before="0" w:after="0"/>
        <w:jc w:val="left"/>
      </w:pPr>
      <w:r>
        <w:t> </w:t>
      </w:r>
    </w:p>
    <w:sectPr>
      <w:type w:val="nextPage"/>
      <w:pgMar w:header="720" w:footer="720"/>
      <w:cols w:space="720"/>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120"/>
      <w:ind w:firstLine="567"/>
      <w:jc w:val="center"/>
    </w:pPr>
    <w:r>
      <w:fldChar w:fldCharType="begin"/>
    </w:r>
    <w:r>
      <w:instrText>PAGE   \* MERGEFORMAT</w:instrText>
    </w:r>
    <w:r>
      <w:fldChar w:fldCharType="separate"/>
    </w:r>
    <w:r>
      <w:t>1</w:t>
    </w:r>
    <w:r>
      <w:fldChar w:fldCharType="end"/>
    </w:r>
  </w:p>
  <w:p>
    <w:pPr>
      <w:spacing w:before="0" w:after="120"/>
      <w:ind w:firstLine="567"/>
      <w:jc w:val="center"/>
    </w:pP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0" w:firstLine="0"/>
      </w:pPr>
      <w:rPr>
        <w:sz w:val="24"/>
        <w:szCs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Calibri" w:eastAsia="Calibri" w:hAnsi="Calibri" w:cs="Calibri"/>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Calibri" w:eastAsia="Calibri" w:hAnsi="Calibri" w:cs="Calibri"/>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Calibri" w:eastAsia="Calibri" w:hAnsi="Calibri" w:cs="Calibri"/>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